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2"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Start w:id="19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64"/>
        </w:numPr>
        <w:pStyle w:val="Compact"/>
      </w:pPr>
      <w:r>
        <w:rPr>
          <w:bCs/>
          <w:b/>
        </w:rPr>
        <w:t xml:space="preserve">Cards.</w:t>
      </w:r>
      <w:r>
        <w:t xml:space="preserve"> </w:t>
      </w:r>
      <w:r>
        <w:t xml:space="preserve">One subject, what’s true about it and what that permits: as narrow as a card earned in play.</w:t>
      </w:r>
    </w:p>
    <w:p>
      <w:pPr>
        <w:numPr>
          <w:ilvl w:val="0"/>
          <w:numId w:val="106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91"/>
    <w:bookmarkEnd w:id="192"/>
    <w:bookmarkStart w:id="19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3"/>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2026-10-23T13:39:05Z</dcterms:created>
  <dcterms:modified xsi:type="dcterms:W3CDTF">2026-10-23T13:39:05Z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