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-129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2382"/>
        <w:gridCol w:w="2579"/>
      </w:tblGrid>
      <w:tr w:rsidR="002125C5" w:rsidRPr="00AB4C0E" w14:paraId="435BD952" w14:textId="77777777" w:rsidTr="00B10AC9">
        <w:trPr>
          <w:trHeight w:val="458"/>
        </w:trPr>
        <w:tc>
          <w:tcPr>
            <w:tcW w:w="6630" w:type="dxa"/>
            <w:gridSpan w:val="2"/>
          </w:tcPr>
          <w:p w14:paraId="31B88F40" w14:textId="4511FF29" w:rsidR="002125C5" w:rsidRPr="00AB4C0E" w:rsidRDefault="002125C5" w:rsidP="002125C5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Nombre</w:t>
            </w:r>
            <w:r w:rsidRPr="02430DCF">
              <w:rPr>
                <w:rFonts w:ascii="Arial" w:hAnsi="Arial" w:cs="Arial"/>
              </w:rPr>
              <w:t xml:space="preserve">: </w:t>
            </w:r>
            <w:r w:rsidR="003A2CCD">
              <w:rPr>
                <w:rFonts w:ascii="Arial" w:hAnsi="Arial" w:cs="Arial"/>
              </w:rPr>
              <w:t>Hernández Silva Roberto Jaziel</w:t>
            </w:r>
          </w:p>
        </w:tc>
        <w:tc>
          <w:tcPr>
            <w:tcW w:w="2579" w:type="dxa"/>
          </w:tcPr>
          <w:p w14:paraId="105C6358" w14:textId="4CEE7249" w:rsidR="002125C5" w:rsidRPr="00AB4C0E" w:rsidRDefault="002125C5" w:rsidP="002125C5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Matrícula</w:t>
            </w:r>
            <w:r w:rsidRPr="02430DCF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1</w:t>
            </w:r>
            <w:r w:rsidR="003A2CCD">
              <w:rPr>
                <w:rFonts w:ascii="Arial" w:hAnsi="Arial" w:cs="Arial"/>
              </w:rPr>
              <w:t>918436</w:t>
            </w:r>
          </w:p>
        </w:tc>
      </w:tr>
      <w:tr w:rsidR="003A2CCD" w:rsidRPr="00AB4C0E" w14:paraId="793C1708" w14:textId="77777777" w:rsidTr="00B10AC9">
        <w:trPr>
          <w:trHeight w:val="458"/>
        </w:trPr>
        <w:tc>
          <w:tcPr>
            <w:tcW w:w="6630" w:type="dxa"/>
            <w:gridSpan w:val="2"/>
          </w:tcPr>
          <w:p w14:paraId="60CCFCA8" w14:textId="1E8D1144" w:rsidR="003A2CCD" w:rsidRPr="02430DCF" w:rsidRDefault="003A2CCD" w:rsidP="002125C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</w:t>
            </w:r>
            <w:r w:rsidRPr="02430DCF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Martínez Álvarez Alejandro</w:t>
            </w:r>
          </w:p>
        </w:tc>
        <w:tc>
          <w:tcPr>
            <w:tcW w:w="2579" w:type="dxa"/>
          </w:tcPr>
          <w:p w14:paraId="33059BF0" w14:textId="2593B962" w:rsidR="003A2CCD" w:rsidRPr="02430DCF" w:rsidRDefault="003A2CCD" w:rsidP="002125C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Matrícula</w:t>
            </w:r>
            <w:r w:rsidRPr="02430DCF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2052641</w:t>
            </w:r>
          </w:p>
        </w:tc>
      </w:tr>
      <w:tr w:rsidR="003A2CCD" w:rsidRPr="00AB4C0E" w14:paraId="63F6031E" w14:textId="77777777" w:rsidTr="00B10AC9">
        <w:trPr>
          <w:trHeight w:val="458"/>
        </w:trPr>
        <w:tc>
          <w:tcPr>
            <w:tcW w:w="6630" w:type="dxa"/>
            <w:gridSpan w:val="2"/>
          </w:tcPr>
          <w:p w14:paraId="5B647B25" w14:textId="4331E590" w:rsidR="003A2CCD" w:rsidRPr="02430DCF" w:rsidRDefault="003A2CCD" w:rsidP="002125C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</w:t>
            </w:r>
            <w:r w:rsidRPr="02430DCF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Rodríguez Ortiz Danna Saraí</w:t>
            </w:r>
          </w:p>
        </w:tc>
        <w:tc>
          <w:tcPr>
            <w:tcW w:w="2579" w:type="dxa"/>
          </w:tcPr>
          <w:p w14:paraId="38D524EA" w14:textId="4582100C" w:rsidR="003A2CCD" w:rsidRPr="02430DCF" w:rsidRDefault="003A2CCD" w:rsidP="002125C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Matrícula</w:t>
            </w:r>
            <w:r w:rsidRPr="02430DCF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2060308</w:t>
            </w:r>
          </w:p>
        </w:tc>
      </w:tr>
      <w:tr w:rsidR="002125C5" w:rsidRPr="00AB4C0E" w14:paraId="1C1EDCCA" w14:textId="77777777" w:rsidTr="00B10AC9">
        <w:trPr>
          <w:trHeight w:val="222"/>
        </w:trPr>
        <w:tc>
          <w:tcPr>
            <w:tcW w:w="4248" w:type="dxa"/>
          </w:tcPr>
          <w:p w14:paraId="35ACFB07" w14:textId="4135F142" w:rsidR="002125C5" w:rsidRPr="007D6318" w:rsidRDefault="002125C5" w:rsidP="002125C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 del curso:</w:t>
            </w:r>
            <w:r w:rsidRPr="02430DCF">
              <w:rPr>
                <w:rFonts w:ascii="Arial" w:hAnsi="Arial" w:cs="Arial"/>
              </w:rPr>
              <w:t xml:space="preserve"> </w:t>
            </w:r>
            <w:r w:rsidR="003A2CCD">
              <w:rPr>
                <w:rFonts w:ascii="Arial" w:hAnsi="Arial" w:cs="Arial"/>
              </w:rPr>
              <w:t>Componentes de Lógica de Negocio</w:t>
            </w:r>
          </w:p>
        </w:tc>
        <w:tc>
          <w:tcPr>
            <w:tcW w:w="4961" w:type="dxa"/>
            <w:gridSpan w:val="2"/>
          </w:tcPr>
          <w:p w14:paraId="48270606" w14:textId="77777777" w:rsidR="002125C5" w:rsidRPr="00AB4C0E" w:rsidRDefault="002125C5" w:rsidP="002125C5">
            <w:pPr>
              <w:spacing w:line="360" w:lineRule="auto"/>
              <w:rPr>
                <w:rFonts w:ascii="Arial" w:eastAsia="Arial" w:hAnsi="Arial" w:cs="Arial"/>
              </w:rPr>
            </w:pPr>
            <w:r w:rsidRPr="255DC1A1">
              <w:rPr>
                <w:rFonts w:ascii="Arial" w:eastAsia="Arial" w:hAnsi="Arial" w:cs="Arial"/>
                <w:b/>
                <w:bCs/>
              </w:rPr>
              <w:t>Nombre del profesor</w:t>
            </w:r>
            <w:r w:rsidRPr="255DC1A1">
              <w:rPr>
                <w:rFonts w:ascii="Arial" w:eastAsia="Arial" w:hAnsi="Arial" w:cs="Arial"/>
              </w:rPr>
              <w:t xml:space="preserve">: </w:t>
            </w:r>
            <w:r w:rsidRPr="255DC1A1">
              <w:rPr>
                <w:rFonts w:ascii="Arial" w:eastAsia="Arial" w:hAnsi="Arial" w:cs="Arial"/>
                <w:noProof/>
              </w:rPr>
              <w:t>Miguel Ángel Gómez Marroquín</w:t>
            </w:r>
          </w:p>
        </w:tc>
      </w:tr>
      <w:tr w:rsidR="002125C5" w:rsidRPr="00AB4C0E" w14:paraId="004ABB11" w14:textId="77777777" w:rsidTr="00B10AC9">
        <w:trPr>
          <w:trHeight w:val="121"/>
        </w:trPr>
        <w:tc>
          <w:tcPr>
            <w:tcW w:w="4248" w:type="dxa"/>
          </w:tcPr>
          <w:p w14:paraId="6708E53B" w14:textId="1FE6775B" w:rsidR="002125C5" w:rsidRPr="00AB4C0E" w:rsidRDefault="002125C5" w:rsidP="002125C5">
            <w:pPr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</w:rPr>
              <w:t xml:space="preserve">Modulo </w:t>
            </w:r>
            <w:proofErr w:type="spellStart"/>
            <w:r>
              <w:rPr>
                <w:rFonts w:ascii="Arial" w:hAnsi="Arial" w:cs="Arial"/>
                <w:b/>
                <w:bCs/>
              </w:rPr>
              <w:t>Netacad</w:t>
            </w:r>
            <w:proofErr w:type="spellEnd"/>
            <w:r w:rsidRPr="4231BFEB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 xml:space="preserve"> </w:t>
            </w:r>
            <w:r w:rsidR="003A2CCD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4961" w:type="dxa"/>
            <w:gridSpan w:val="2"/>
          </w:tcPr>
          <w:p w14:paraId="5B4EFCF2" w14:textId="591A5760" w:rsidR="002125C5" w:rsidRPr="00AB4C0E" w:rsidRDefault="002125C5" w:rsidP="002125C5">
            <w:pPr>
              <w:spacing w:line="360" w:lineRule="auto"/>
              <w:rPr>
                <w:rFonts w:ascii="Arial" w:hAnsi="Arial" w:cs="Arial"/>
              </w:rPr>
            </w:pPr>
            <w:r w:rsidRPr="66B26EEC">
              <w:rPr>
                <w:rFonts w:ascii="Arial" w:hAnsi="Arial" w:cs="Arial"/>
                <w:b/>
                <w:bCs/>
              </w:rPr>
              <w:t>Actividad</w:t>
            </w:r>
            <w:r w:rsidRPr="66B26EEC">
              <w:rPr>
                <w:rFonts w:ascii="Arial" w:hAnsi="Arial" w:cs="Arial"/>
              </w:rPr>
              <w:t xml:space="preserve">: </w:t>
            </w:r>
            <w:r w:rsidR="003A2CCD" w:rsidRPr="003A2CCD">
              <w:t xml:space="preserve"> </w:t>
            </w:r>
            <w:r w:rsidR="003A2CCD" w:rsidRPr="003A2CCD">
              <w:rPr>
                <w:rFonts w:ascii="Arial" w:hAnsi="Arial" w:cs="Arial"/>
              </w:rPr>
              <w:t>Diseño arquitectural del sistema</w:t>
            </w:r>
            <w:r w:rsidR="003A2CCD">
              <w:rPr>
                <w:rFonts w:ascii="Arial" w:hAnsi="Arial" w:cs="Arial"/>
              </w:rPr>
              <w:t xml:space="preserve"> </w:t>
            </w:r>
          </w:p>
        </w:tc>
      </w:tr>
      <w:tr w:rsidR="002125C5" w:rsidRPr="00AB4C0E" w14:paraId="1D4FDF28" w14:textId="77777777" w:rsidTr="00B10AC9">
        <w:trPr>
          <w:trHeight w:val="458"/>
        </w:trPr>
        <w:tc>
          <w:tcPr>
            <w:tcW w:w="9209" w:type="dxa"/>
            <w:gridSpan w:val="3"/>
          </w:tcPr>
          <w:p w14:paraId="4DF724E9" w14:textId="20F3095E" w:rsidR="002125C5" w:rsidRPr="00AB4C0E" w:rsidRDefault="002125C5" w:rsidP="002125C5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Fecha</w:t>
            </w:r>
            <w:r w:rsidRPr="02430DCF">
              <w:rPr>
                <w:rFonts w:ascii="Arial" w:hAnsi="Arial" w:cs="Arial"/>
              </w:rPr>
              <w:t xml:space="preserve">: </w:t>
            </w:r>
            <w:r w:rsidR="003A2CCD">
              <w:rPr>
                <w:rFonts w:ascii="Arial" w:hAnsi="Arial" w:cs="Arial"/>
              </w:rPr>
              <w:t>16/10/2026</w:t>
            </w:r>
          </w:p>
        </w:tc>
      </w:tr>
      <w:tr w:rsidR="002125C5" w:rsidRPr="00AB4C0E" w14:paraId="157FC9AD" w14:textId="77777777" w:rsidTr="00B10AC9">
        <w:trPr>
          <w:trHeight w:val="938"/>
        </w:trPr>
        <w:tc>
          <w:tcPr>
            <w:tcW w:w="9209" w:type="dxa"/>
            <w:gridSpan w:val="3"/>
          </w:tcPr>
          <w:p w14:paraId="70984DE2" w14:textId="77777777" w:rsidR="002125C5" w:rsidRDefault="002125C5" w:rsidP="002125C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472B17">
              <w:rPr>
                <w:rFonts w:ascii="Arial" w:hAnsi="Arial" w:cs="Arial"/>
                <w:b/>
                <w:bCs/>
              </w:rPr>
              <w:t>Bibliografia</w:t>
            </w:r>
            <w:proofErr w:type="spellEnd"/>
            <w:r w:rsidRPr="00472B17">
              <w:rPr>
                <w:rFonts w:ascii="Arial" w:hAnsi="Arial" w:cs="Arial"/>
                <w:b/>
                <w:bCs/>
              </w:rPr>
              <w:t xml:space="preserve"> (Formato APA)</w:t>
            </w:r>
          </w:p>
          <w:p w14:paraId="2F4CD08C" w14:textId="77777777" w:rsidR="003A2CCD" w:rsidRPr="001C27DC" w:rsidRDefault="003A2CCD" w:rsidP="003A2CCD">
            <w:pPr>
              <w:pStyle w:val="Prrafodelista"/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</w:rPr>
            </w:pPr>
            <w:r w:rsidRPr="003A2CCD">
              <w:rPr>
                <w:rFonts w:ascii="Arial" w:hAnsi="Arial" w:cs="Arial"/>
              </w:rPr>
              <w:t xml:space="preserve">Kappey, C., </w:t>
            </w:r>
            <w:proofErr w:type="spellStart"/>
            <w:r w:rsidRPr="003A2CCD">
              <w:rPr>
                <w:rFonts w:ascii="Arial" w:hAnsi="Arial" w:cs="Arial"/>
              </w:rPr>
              <w:t>Goby</w:t>
            </w:r>
            <w:proofErr w:type="spellEnd"/>
            <w:r w:rsidRPr="003A2CCD">
              <w:rPr>
                <w:rFonts w:ascii="Arial" w:hAnsi="Arial" w:cs="Arial"/>
              </w:rPr>
              <w:t xml:space="preserve">, D., &amp; Kunce, D. (2025, 20 de marzo). </w:t>
            </w:r>
            <w:proofErr w:type="gramStart"/>
            <w:r w:rsidRPr="003A2CCD">
              <w:rPr>
                <w:rFonts w:ascii="Arial" w:hAnsi="Arial" w:cs="Arial"/>
                <w:i/>
                <w:iCs/>
              </w:rPr>
              <w:t>Master</w:t>
            </w:r>
            <w:proofErr w:type="gramEnd"/>
            <w:r w:rsidRPr="003A2CCD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A2CCD">
              <w:rPr>
                <w:rFonts w:ascii="Arial" w:hAnsi="Arial" w:cs="Arial"/>
                <w:i/>
                <w:iCs/>
              </w:rPr>
              <w:t>architecture</w:t>
            </w:r>
            <w:proofErr w:type="spellEnd"/>
            <w:r w:rsidRPr="003A2CCD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A2CCD">
              <w:rPr>
                <w:rFonts w:ascii="Arial" w:hAnsi="Arial" w:cs="Arial"/>
                <w:i/>
                <w:iCs/>
              </w:rPr>
              <w:t>decision</w:t>
            </w:r>
            <w:proofErr w:type="spellEnd"/>
            <w:r w:rsidRPr="003A2CCD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A2CCD">
              <w:rPr>
                <w:rFonts w:ascii="Arial" w:hAnsi="Arial" w:cs="Arial"/>
                <w:i/>
                <w:iCs/>
              </w:rPr>
              <w:t>records</w:t>
            </w:r>
            <w:proofErr w:type="spellEnd"/>
            <w:r w:rsidRPr="003A2CCD">
              <w:rPr>
                <w:rFonts w:ascii="Arial" w:hAnsi="Arial" w:cs="Arial"/>
                <w:i/>
                <w:iCs/>
              </w:rPr>
              <w:t xml:space="preserve"> (</w:t>
            </w:r>
            <w:proofErr w:type="spellStart"/>
            <w:r w:rsidRPr="003A2CCD">
              <w:rPr>
                <w:rFonts w:ascii="Arial" w:hAnsi="Arial" w:cs="Arial"/>
                <w:i/>
                <w:iCs/>
              </w:rPr>
              <w:t>ADRs</w:t>
            </w:r>
            <w:proofErr w:type="spellEnd"/>
            <w:r w:rsidRPr="003A2CCD">
              <w:rPr>
                <w:rFonts w:ascii="Arial" w:hAnsi="Arial" w:cs="Arial"/>
                <w:i/>
                <w:iCs/>
              </w:rPr>
              <w:t xml:space="preserve">): Best </w:t>
            </w:r>
            <w:proofErr w:type="spellStart"/>
            <w:r w:rsidRPr="003A2CCD">
              <w:rPr>
                <w:rFonts w:ascii="Arial" w:hAnsi="Arial" w:cs="Arial"/>
                <w:i/>
                <w:iCs/>
              </w:rPr>
              <w:t>practices</w:t>
            </w:r>
            <w:proofErr w:type="spellEnd"/>
            <w:r w:rsidRPr="003A2CCD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A2CCD">
              <w:rPr>
                <w:rFonts w:ascii="Arial" w:hAnsi="Arial" w:cs="Arial"/>
                <w:i/>
                <w:iCs/>
              </w:rPr>
              <w:t>for</w:t>
            </w:r>
            <w:proofErr w:type="spellEnd"/>
            <w:r w:rsidRPr="003A2CCD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A2CCD">
              <w:rPr>
                <w:rFonts w:ascii="Arial" w:hAnsi="Arial" w:cs="Arial"/>
                <w:i/>
                <w:iCs/>
              </w:rPr>
              <w:t>effective</w:t>
            </w:r>
            <w:proofErr w:type="spellEnd"/>
            <w:r w:rsidRPr="003A2CCD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A2CCD">
              <w:rPr>
                <w:rFonts w:ascii="Arial" w:hAnsi="Arial" w:cs="Arial"/>
                <w:i/>
                <w:iCs/>
              </w:rPr>
              <w:t>decision-making</w:t>
            </w:r>
            <w:proofErr w:type="spellEnd"/>
            <w:r w:rsidRPr="003A2CCD">
              <w:rPr>
                <w:rFonts w:ascii="Arial" w:hAnsi="Arial" w:cs="Arial"/>
                <w:i/>
                <w:iCs/>
              </w:rPr>
              <w:t>.</w:t>
            </w:r>
          </w:p>
          <w:p w14:paraId="7B2E9BAC" w14:textId="461701FB" w:rsidR="001C27DC" w:rsidRDefault="001C27DC" w:rsidP="003A2CCD">
            <w:pPr>
              <w:pStyle w:val="Prrafodelista"/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Unidad 2. </w:t>
            </w:r>
            <w:proofErr w:type="spellStart"/>
            <w:r w:rsidRPr="003A2CCD">
              <w:rPr>
                <w:rFonts w:ascii="Arial" w:hAnsi="Arial" w:cs="Arial"/>
              </w:rPr>
              <w:t>MediNova</w:t>
            </w:r>
            <w:proofErr w:type="spellEnd"/>
            <w:r w:rsidRPr="003A2CCD">
              <w:rPr>
                <w:rFonts w:ascii="Arial" w:hAnsi="Arial" w:cs="Arial"/>
              </w:rPr>
              <w:t>: Documento de requerimientos de negocio (BRD)</w:t>
            </w:r>
            <w:r>
              <w:rPr>
                <w:rFonts w:ascii="Arial" w:hAnsi="Arial" w:cs="Arial"/>
              </w:rPr>
              <w:t>.</w:t>
            </w:r>
          </w:p>
          <w:p w14:paraId="1C30C199" w14:textId="465F34CA" w:rsidR="003A2CCD" w:rsidRPr="001C27DC" w:rsidRDefault="003A2CCD" w:rsidP="001C27DC">
            <w:pPr>
              <w:pStyle w:val="Prrafodelista"/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Unidad 2. </w:t>
            </w:r>
            <w:r w:rsidRPr="003A2CCD">
              <w:t xml:space="preserve"> </w:t>
            </w:r>
            <w:proofErr w:type="spellStart"/>
            <w:r w:rsidRPr="003A2CCD">
              <w:rPr>
                <w:rFonts w:ascii="Arial" w:hAnsi="Arial" w:cs="Arial"/>
              </w:rPr>
              <w:t>MediNova</w:t>
            </w:r>
            <w:proofErr w:type="spellEnd"/>
            <w:r w:rsidRPr="003A2CCD">
              <w:rPr>
                <w:rFonts w:ascii="Arial" w:hAnsi="Arial" w:cs="Arial"/>
              </w:rPr>
              <w:t>: Historias de usuario, escenarios y criterios de aceptación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6268A313" w14:textId="77777777" w:rsidR="002125C5" w:rsidRDefault="002125C5" w:rsidP="002125C5">
      <w:pPr>
        <w:rPr>
          <w:b/>
        </w:rPr>
      </w:pPr>
    </w:p>
    <w:p w14:paraId="7F20A4A6" w14:textId="77777777" w:rsidR="001C27DC" w:rsidRPr="001C27DC" w:rsidRDefault="001C27DC" w:rsidP="001C27DC">
      <w:pPr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es-MX" w:eastAsia="ja-JP"/>
        </w:rPr>
      </w:pPr>
      <w:r w:rsidRPr="001C27D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shd w:val="clear" w:color="auto" w:fill="FFFFFF"/>
          <w:lang w:val="es-MX" w:eastAsia="ja-JP"/>
        </w:rPr>
        <w:t>Objetivo:</w:t>
      </w:r>
    </w:p>
    <w:p w14:paraId="225960E9" w14:textId="77777777" w:rsidR="001C27DC" w:rsidRPr="001C27DC" w:rsidRDefault="001C27DC" w:rsidP="001C27DC">
      <w:pPr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es-MX" w:eastAsia="ja-JP"/>
        </w:rPr>
      </w:pPr>
      <w:r w:rsidRPr="001C27D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es-MX" w:eastAsia="ja-JP"/>
        </w:rPr>
        <w:t xml:space="preserve">Documentar y justificar las principales decisiones arquitectónicas del sistema </w:t>
      </w:r>
      <w:proofErr w:type="spellStart"/>
      <w:r w:rsidRPr="001C27D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es-MX" w:eastAsia="ja-JP"/>
        </w:rPr>
        <w:t>MediNova</w:t>
      </w:r>
      <w:proofErr w:type="spellEnd"/>
      <w:r w:rsidRPr="001C27D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es-MX" w:eastAsia="ja-JP"/>
        </w:rPr>
        <w:t>, considerando las necesidades del negocio y las reglas establecidas en la Unidad 2, con el propósito de definir una estructura de software organizada, coherente y adecuada para la gestión de citas médicas.</w:t>
      </w:r>
    </w:p>
    <w:p w14:paraId="47D8E823" w14:textId="77777777" w:rsidR="002125C5" w:rsidRDefault="002125C5" w:rsidP="002125C5">
      <w:pPr>
        <w:rPr>
          <w:b/>
          <w:bCs/>
        </w:rPr>
      </w:pPr>
    </w:p>
    <w:p w14:paraId="674E6F63" w14:textId="77777777" w:rsidR="002125C5" w:rsidRDefault="002125C5" w:rsidP="002125C5">
      <w:pPr>
        <w:rPr>
          <w:b/>
          <w:bCs/>
        </w:rPr>
      </w:pPr>
    </w:p>
    <w:p w14:paraId="47141FA7" w14:textId="77777777" w:rsidR="002125C5" w:rsidRDefault="002125C5" w:rsidP="002125C5">
      <w:pPr>
        <w:rPr>
          <w:b/>
          <w:bCs/>
        </w:rPr>
      </w:pPr>
    </w:p>
    <w:p w14:paraId="6A0F18B7" w14:textId="77777777" w:rsidR="002125C5" w:rsidRDefault="002125C5" w:rsidP="002125C5">
      <w:pPr>
        <w:rPr>
          <w:b/>
          <w:bCs/>
        </w:rPr>
      </w:pPr>
    </w:p>
    <w:p w14:paraId="60341685" w14:textId="77777777" w:rsidR="002125C5" w:rsidRDefault="002125C5" w:rsidP="002125C5">
      <w:pPr>
        <w:rPr>
          <w:b/>
          <w:bCs/>
        </w:rPr>
      </w:pPr>
    </w:p>
    <w:p w14:paraId="4950D7B0" w14:textId="77777777" w:rsidR="002125C5" w:rsidRDefault="002125C5" w:rsidP="002125C5">
      <w:pPr>
        <w:rPr>
          <w:b/>
          <w:bCs/>
        </w:rPr>
      </w:pPr>
    </w:p>
    <w:p w14:paraId="39970530" w14:textId="77777777" w:rsidR="00510153" w:rsidRDefault="00510153" w:rsidP="002125C5">
      <w:pPr>
        <w:rPr>
          <w:b/>
          <w:bCs/>
        </w:rPr>
      </w:pPr>
    </w:p>
    <w:p w14:paraId="5C2E627F" w14:textId="77777777" w:rsidR="00510153" w:rsidRDefault="00510153" w:rsidP="002125C5">
      <w:pPr>
        <w:rPr>
          <w:b/>
          <w:bCs/>
        </w:rPr>
      </w:pPr>
    </w:p>
    <w:p w14:paraId="3D6F5FF1" w14:textId="77777777" w:rsidR="002125C5" w:rsidRDefault="002125C5" w:rsidP="002125C5">
      <w:pPr>
        <w:rPr>
          <w:b/>
          <w:bCs/>
        </w:rPr>
      </w:pPr>
    </w:p>
    <w:p w14:paraId="3F1CDF03" w14:textId="77777777" w:rsidR="002125C5" w:rsidRDefault="002125C5" w:rsidP="002125C5">
      <w:pPr>
        <w:rPr>
          <w:b/>
          <w:bCs/>
        </w:rPr>
      </w:pPr>
    </w:p>
    <w:p w14:paraId="51A44344" w14:textId="77777777" w:rsidR="002125C5" w:rsidRDefault="002125C5" w:rsidP="002125C5">
      <w:r w:rsidRPr="0D613DB4">
        <w:rPr>
          <w:b/>
          <w:bCs/>
        </w:rPr>
        <w:lastRenderedPageBreak/>
        <w:t>Procedimiento</w:t>
      </w:r>
      <w:r>
        <w:t>:</w:t>
      </w:r>
    </w:p>
    <w:p w14:paraId="59E07839" w14:textId="77777777" w:rsidR="001C27DC" w:rsidRDefault="001C27DC" w:rsidP="002125C5">
      <w:pPr>
        <w:pStyle w:val="Ttulo2"/>
        <w:rPr>
          <w:sz w:val="32"/>
          <w:szCs w:val="32"/>
          <w:shd w:val="clear" w:color="auto" w:fill="FFFFFF"/>
          <w:lang w:eastAsia="ja-JP"/>
        </w:rPr>
      </w:pPr>
      <w:r w:rsidRPr="001C27DC">
        <w:rPr>
          <w:sz w:val="32"/>
          <w:szCs w:val="32"/>
          <w:shd w:val="clear" w:color="auto" w:fill="FFFFFF"/>
          <w:lang w:eastAsia="ja-JP"/>
        </w:rPr>
        <w:t>ARCHITECTURE DECISION RECORDS (ADR)</w:t>
      </w:r>
    </w:p>
    <w:p w14:paraId="554D6785" w14:textId="03716EE9" w:rsidR="00BD4174" w:rsidRPr="001A0A45" w:rsidRDefault="00BD4174" w:rsidP="002125C5">
      <w:pPr>
        <w:rPr>
          <w:sz w:val="8"/>
          <w:szCs w:val="8"/>
        </w:rPr>
      </w:pPr>
    </w:p>
    <w:p w14:paraId="10AC3B2A" w14:textId="0DCCF11A" w:rsidR="001A0A45" w:rsidRDefault="001A0A45" w:rsidP="002125C5">
      <w:r>
        <w:rPr>
          <w:b/>
        </w:rPr>
        <w:t xml:space="preserve">Propósito: </w:t>
      </w:r>
      <w:r>
        <w:t xml:space="preserve">Registrar las decisiones que guían el diseño del sistema </w:t>
      </w:r>
      <w:proofErr w:type="spellStart"/>
      <w:r>
        <w:t>MediNova</w:t>
      </w:r>
      <w:proofErr w:type="spellEnd"/>
      <w:r>
        <w:t>. Cada ADR contiene los siete campos solicitados en la guía: título, estado, contexto, alternativas, decisión, consecuencias y trazabilidad.</w:t>
      </w:r>
    </w:p>
    <w:p w14:paraId="5C947E43" w14:textId="77777777" w:rsidR="001A0A45" w:rsidRPr="001A0A45" w:rsidRDefault="001A0A45" w:rsidP="002125C5">
      <w:pPr>
        <w:rPr>
          <w:sz w:val="4"/>
          <w:szCs w:val="4"/>
        </w:rPr>
      </w:pPr>
    </w:p>
    <w:p w14:paraId="4B6128B4" w14:textId="77777777" w:rsidR="001A0A45" w:rsidRPr="001A0A45" w:rsidRDefault="001A0A45" w:rsidP="001A0A45">
      <w:pPr>
        <w:pStyle w:val="AdrHeading"/>
        <w:keepNext/>
        <w:rPr>
          <w:sz w:val="24"/>
          <w:szCs w:val="24"/>
        </w:rPr>
      </w:pPr>
      <w:r w:rsidRPr="001A0A45">
        <w:rPr>
          <w:sz w:val="24"/>
          <w:szCs w:val="24"/>
        </w:rPr>
        <w:t xml:space="preserve">ADR-001: Domain Model </w:t>
      </w:r>
      <w:proofErr w:type="spellStart"/>
      <w:r w:rsidRPr="001A0A45">
        <w:rPr>
          <w:sz w:val="24"/>
          <w:szCs w:val="24"/>
        </w:rPr>
        <w:t>como</w:t>
      </w:r>
      <w:proofErr w:type="spellEnd"/>
      <w:r w:rsidRPr="001A0A45">
        <w:rPr>
          <w:sz w:val="24"/>
          <w:szCs w:val="24"/>
        </w:rPr>
        <w:t xml:space="preserve"> </w:t>
      </w:r>
      <w:proofErr w:type="spellStart"/>
      <w:r w:rsidRPr="001A0A45">
        <w:rPr>
          <w:sz w:val="24"/>
          <w:szCs w:val="24"/>
        </w:rPr>
        <w:t>patrón</w:t>
      </w:r>
      <w:proofErr w:type="spellEnd"/>
      <w:r w:rsidRPr="001A0A45">
        <w:rPr>
          <w:sz w:val="24"/>
          <w:szCs w:val="24"/>
        </w:rPr>
        <w:t xml:space="preserve"> principal de </w:t>
      </w:r>
      <w:proofErr w:type="spellStart"/>
      <w:r w:rsidRPr="001A0A45">
        <w:rPr>
          <w:sz w:val="24"/>
          <w:szCs w:val="24"/>
        </w:rPr>
        <w:t>lógica</w:t>
      </w:r>
      <w:proofErr w:type="spellEnd"/>
      <w:r w:rsidRPr="001A0A45">
        <w:rPr>
          <w:sz w:val="24"/>
          <w:szCs w:val="24"/>
        </w:rPr>
        <w:t xml:space="preserve"> de </w:t>
      </w:r>
      <w:proofErr w:type="spellStart"/>
      <w:r w:rsidRPr="001A0A45">
        <w:rPr>
          <w:sz w:val="24"/>
          <w:szCs w:val="24"/>
        </w:rPr>
        <w:t>negocio</w:t>
      </w:r>
      <w:proofErr w:type="spellEnd"/>
    </w:p>
    <w:tbl>
      <w:tblPr>
        <w:tblW w:w="9356" w:type="dxa"/>
        <w:tblInd w:w="-290" w:type="dxa"/>
        <w:tblLayout w:type="fixed"/>
        <w:tblLook w:val="04A0" w:firstRow="1" w:lastRow="0" w:firstColumn="1" w:lastColumn="0" w:noHBand="0" w:noVBand="1"/>
      </w:tblPr>
      <w:tblGrid>
        <w:gridCol w:w="3724"/>
        <w:gridCol w:w="5632"/>
      </w:tblGrid>
      <w:tr w:rsidR="001A0A45" w14:paraId="48A3E83F" w14:textId="77777777" w:rsidTr="001A0A45">
        <w:trPr>
          <w:cantSplit/>
          <w:trHeight w:val="211"/>
        </w:trPr>
        <w:tc>
          <w:tcPr>
            <w:tcW w:w="3724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377BB5"/>
            <w:vAlign w:val="center"/>
          </w:tcPr>
          <w:p w14:paraId="69635D40" w14:textId="77777777" w:rsidR="001A0A45" w:rsidRPr="00C55C63" w:rsidRDefault="001A0A45" w:rsidP="0075067B">
            <w:pPr>
              <w:spacing w:after="0" w:line="252" w:lineRule="auto"/>
              <w:rPr>
                <w:sz w:val="17"/>
                <w:szCs w:val="17"/>
              </w:rPr>
            </w:pPr>
            <w:r w:rsidRPr="00C55C63">
              <w:rPr>
                <w:rFonts w:ascii="Arial" w:hAnsi="Arial"/>
                <w:b/>
                <w:color w:val="FFFFFF"/>
                <w:sz w:val="17"/>
                <w:szCs w:val="17"/>
              </w:rPr>
              <w:t>Campo del ADR</w:t>
            </w:r>
          </w:p>
        </w:tc>
        <w:tc>
          <w:tcPr>
            <w:tcW w:w="5632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377BB5"/>
            <w:vAlign w:val="center"/>
          </w:tcPr>
          <w:p w14:paraId="23FD549E" w14:textId="77777777" w:rsidR="001A0A45" w:rsidRPr="00C55C63" w:rsidRDefault="001A0A45" w:rsidP="0075067B">
            <w:pPr>
              <w:spacing w:after="0" w:line="252" w:lineRule="auto"/>
              <w:rPr>
                <w:sz w:val="17"/>
                <w:szCs w:val="17"/>
              </w:rPr>
            </w:pPr>
            <w:r w:rsidRPr="00C55C63">
              <w:rPr>
                <w:rFonts w:ascii="Arial" w:hAnsi="Arial"/>
                <w:b/>
                <w:color w:val="FFFFFF"/>
                <w:sz w:val="17"/>
                <w:szCs w:val="17"/>
              </w:rPr>
              <w:t>ADR-001</w:t>
            </w:r>
          </w:p>
        </w:tc>
      </w:tr>
      <w:tr w:rsidR="001A0A45" w14:paraId="0539CD1B" w14:textId="77777777" w:rsidTr="001A0A45">
        <w:trPr>
          <w:cantSplit/>
          <w:trHeight w:val="211"/>
        </w:trPr>
        <w:tc>
          <w:tcPr>
            <w:tcW w:w="3724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311913A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b/>
                <w:sz w:val="18"/>
                <w:szCs w:val="18"/>
              </w:rPr>
              <w:t>Título</w:t>
            </w:r>
          </w:p>
        </w:tc>
        <w:tc>
          <w:tcPr>
            <w:tcW w:w="5632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3FD3DD4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sz w:val="18"/>
                <w:szCs w:val="18"/>
              </w:rPr>
              <w:t>Domain Model como patrón principal de lógica de negocio</w:t>
            </w:r>
          </w:p>
        </w:tc>
      </w:tr>
      <w:tr w:rsidR="001A0A45" w14:paraId="78D02911" w14:textId="77777777" w:rsidTr="001A0A45">
        <w:trPr>
          <w:cantSplit/>
          <w:trHeight w:val="634"/>
        </w:trPr>
        <w:tc>
          <w:tcPr>
            <w:tcW w:w="3724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57E252E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b/>
                <w:sz w:val="18"/>
                <w:szCs w:val="18"/>
              </w:rPr>
              <w:t>Estado</w:t>
            </w:r>
          </w:p>
        </w:tc>
        <w:tc>
          <w:tcPr>
            <w:tcW w:w="5632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3651B2C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sz w:val="18"/>
                <w:szCs w:val="18"/>
              </w:rPr>
              <w:t>Aceptada para el diseño (Domain Model fue seleccionado en la Etapa 2 y se utiliza como patrón principal del informe).</w:t>
            </w:r>
          </w:p>
        </w:tc>
      </w:tr>
      <w:tr w:rsidR="001A0A45" w14:paraId="214FE751" w14:textId="77777777" w:rsidTr="001A0A45">
        <w:trPr>
          <w:cantSplit/>
          <w:trHeight w:val="634"/>
        </w:trPr>
        <w:tc>
          <w:tcPr>
            <w:tcW w:w="3724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4C47952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b/>
                <w:sz w:val="18"/>
                <w:szCs w:val="18"/>
              </w:rPr>
              <w:t>Contexto</w:t>
            </w:r>
          </w:p>
        </w:tc>
        <w:tc>
          <w:tcPr>
            <w:tcW w:w="5632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06F1A46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proofErr w:type="spellStart"/>
            <w:r w:rsidRPr="00C55C63">
              <w:rPr>
                <w:rFonts w:cstheme="minorHAnsi"/>
                <w:sz w:val="18"/>
                <w:szCs w:val="18"/>
              </w:rPr>
              <w:t>MediNova</w:t>
            </w:r>
            <w:proofErr w:type="spellEnd"/>
            <w:r w:rsidRPr="00C55C63">
              <w:rPr>
                <w:rFonts w:cstheme="minorHAnsi"/>
                <w:sz w:val="18"/>
                <w:szCs w:val="18"/>
              </w:rPr>
              <w:t xml:space="preserve"> necesita organizar la agenda de tres sucursales y aplicar reglas distintas: evitar citas duplicadas, registrar cancelaciones, identificar no-</w:t>
            </w:r>
            <w:proofErr w:type="gramStart"/>
            <w:r w:rsidRPr="00C55C63">
              <w:rPr>
                <w:rFonts w:cstheme="minorHAnsi"/>
                <w:sz w:val="18"/>
                <w:szCs w:val="18"/>
              </w:rPr>
              <w:t>shows</w:t>
            </w:r>
            <w:proofErr w:type="gramEnd"/>
            <w:r w:rsidRPr="00C55C63">
              <w:rPr>
                <w:rFonts w:cstheme="minorHAnsi"/>
                <w:sz w:val="18"/>
                <w:szCs w:val="18"/>
              </w:rPr>
              <w:t xml:space="preserve"> y controlar sobrecupos según cada médico.</w:t>
            </w:r>
          </w:p>
        </w:tc>
      </w:tr>
      <w:tr w:rsidR="001A0A45" w14:paraId="1C62B342" w14:textId="77777777" w:rsidTr="001A0A45">
        <w:trPr>
          <w:cantSplit/>
          <w:trHeight w:val="634"/>
        </w:trPr>
        <w:tc>
          <w:tcPr>
            <w:tcW w:w="3724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169D9E2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b/>
                <w:sz w:val="18"/>
                <w:szCs w:val="18"/>
              </w:rPr>
              <w:t>Alternativas</w:t>
            </w:r>
          </w:p>
        </w:tc>
        <w:tc>
          <w:tcPr>
            <w:tcW w:w="5632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4D86335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proofErr w:type="spellStart"/>
            <w:r w:rsidRPr="00C55C63">
              <w:rPr>
                <w:rFonts w:cstheme="minorHAnsi"/>
                <w:sz w:val="18"/>
                <w:szCs w:val="18"/>
              </w:rPr>
              <w:t>Transaction</w:t>
            </w:r>
            <w:proofErr w:type="spellEnd"/>
            <w:r w:rsidRPr="00C55C63">
              <w:rPr>
                <w:rFonts w:cstheme="minorHAnsi"/>
                <w:sz w:val="18"/>
                <w:szCs w:val="18"/>
              </w:rPr>
              <w:t xml:space="preserve"> Script: es sencillo, pero las reglas podrían repetirse en varias operaciones. Table Module: agrupa operaciones por registros, aunque algunas reglas relacionan citas, pacientes y médicos. Domain Model: permite ubicar reglas en los componentes del negocio.</w:t>
            </w:r>
          </w:p>
        </w:tc>
      </w:tr>
      <w:tr w:rsidR="001A0A45" w14:paraId="187FBDED" w14:textId="77777777" w:rsidTr="001A0A45">
        <w:trPr>
          <w:cantSplit/>
          <w:trHeight w:val="945"/>
        </w:trPr>
        <w:tc>
          <w:tcPr>
            <w:tcW w:w="3724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183BE00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b/>
                <w:sz w:val="18"/>
                <w:szCs w:val="18"/>
              </w:rPr>
              <w:t>Decisión</w:t>
            </w:r>
          </w:p>
        </w:tc>
        <w:tc>
          <w:tcPr>
            <w:tcW w:w="5632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61CC35F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sz w:val="18"/>
                <w:szCs w:val="18"/>
              </w:rPr>
              <w:t>Adoptar Domain Model como patrón principal para que las reglas se ubiquen en los componentes responsables y los servicios de aplicación coordinen los casos de uso.</w:t>
            </w:r>
          </w:p>
        </w:tc>
      </w:tr>
      <w:tr w:rsidR="001A0A45" w14:paraId="7396DE01" w14:textId="77777777" w:rsidTr="001A0A45">
        <w:trPr>
          <w:cantSplit/>
          <w:trHeight w:val="634"/>
        </w:trPr>
        <w:tc>
          <w:tcPr>
            <w:tcW w:w="3724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7A5D93A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b/>
                <w:sz w:val="18"/>
                <w:szCs w:val="18"/>
              </w:rPr>
              <w:t>Consecuencias</w:t>
            </w:r>
          </w:p>
        </w:tc>
        <w:tc>
          <w:tcPr>
            <w:tcW w:w="5632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08B85C0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sz w:val="18"/>
                <w:szCs w:val="18"/>
              </w:rPr>
              <w:t>Facilita mantener juntas las reglas relacionadas y revisar cada cambio. Requiere más trabajo al definir entidades, servicios y relaciones; también exige revisar bien los límites del modelo.</w:t>
            </w:r>
          </w:p>
        </w:tc>
      </w:tr>
      <w:tr w:rsidR="001A0A45" w14:paraId="32A2F415" w14:textId="77777777" w:rsidTr="001A0A45">
        <w:trPr>
          <w:cantSplit/>
          <w:trHeight w:val="1269"/>
        </w:trPr>
        <w:tc>
          <w:tcPr>
            <w:tcW w:w="3724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DCFC299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b/>
                <w:sz w:val="18"/>
                <w:szCs w:val="18"/>
              </w:rPr>
              <w:t>Trazabilidad</w:t>
            </w:r>
          </w:p>
        </w:tc>
        <w:tc>
          <w:tcPr>
            <w:tcW w:w="5632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66959B3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sz w:val="18"/>
                <w:szCs w:val="18"/>
              </w:rPr>
              <w:t>BRD: Gestión Centralizada y Concurrencia; Trazabilidad de Cancelaciones; Control de Historial y No-</w:t>
            </w:r>
            <w:proofErr w:type="gramStart"/>
            <w:r w:rsidRPr="00C55C63">
              <w:rPr>
                <w:rFonts w:cstheme="minorHAnsi"/>
                <w:sz w:val="18"/>
                <w:szCs w:val="18"/>
              </w:rPr>
              <w:t>shows</w:t>
            </w:r>
            <w:proofErr w:type="gramEnd"/>
            <w:r w:rsidRPr="00C55C63">
              <w:rPr>
                <w:rFonts w:cstheme="minorHAnsi"/>
                <w:sz w:val="18"/>
                <w:szCs w:val="18"/>
              </w:rPr>
              <w:t>; Validación de Sobrecupo y Retrasos. US-02, US-03, US-05, US-09 y US-11 (criterios de aceptación). CU-01 a CU-05 (Etapa 1).</w:t>
            </w:r>
          </w:p>
        </w:tc>
      </w:tr>
    </w:tbl>
    <w:p w14:paraId="6FD78F0E" w14:textId="77777777" w:rsidR="00C55C63" w:rsidRDefault="00C55C63" w:rsidP="001A0A45">
      <w:pPr>
        <w:spacing w:after="20"/>
      </w:pPr>
    </w:p>
    <w:p w14:paraId="4F92CD4B" w14:textId="77777777" w:rsidR="00C55C63" w:rsidRDefault="00C55C63" w:rsidP="001A0A45">
      <w:pPr>
        <w:spacing w:after="20"/>
      </w:pPr>
    </w:p>
    <w:p w14:paraId="53D6992C" w14:textId="77777777" w:rsidR="00C55C63" w:rsidRDefault="00C55C63" w:rsidP="001A0A45">
      <w:pPr>
        <w:spacing w:after="20"/>
      </w:pPr>
    </w:p>
    <w:p w14:paraId="409D59FC" w14:textId="77777777" w:rsidR="00C55C63" w:rsidRDefault="00C55C63" w:rsidP="001A0A45">
      <w:pPr>
        <w:spacing w:after="20"/>
      </w:pPr>
    </w:p>
    <w:p w14:paraId="4BEA3EB3" w14:textId="7311EAB3" w:rsidR="00C55C63" w:rsidRDefault="00C55C63" w:rsidP="001A0A45">
      <w:pPr>
        <w:spacing w:after="20"/>
      </w:pPr>
    </w:p>
    <w:p w14:paraId="2AB7F950" w14:textId="77777777" w:rsidR="00C55C63" w:rsidRDefault="00C55C63" w:rsidP="001A0A45">
      <w:pPr>
        <w:spacing w:after="20"/>
      </w:pPr>
    </w:p>
    <w:p w14:paraId="6837CE4B" w14:textId="77777777" w:rsidR="001A0A45" w:rsidRPr="001A0A45" w:rsidRDefault="001A0A45" w:rsidP="001A0A45">
      <w:pPr>
        <w:pStyle w:val="AdrHeading"/>
        <w:keepNext/>
        <w:rPr>
          <w:sz w:val="24"/>
          <w:szCs w:val="24"/>
        </w:rPr>
      </w:pPr>
      <w:r w:rsidRPr="001A0A45">
        <w:rPr>
          <w:sz w:val="24"/>
          <w:szCs w:val="24"/>
        </w:rPr>
        <w:lastRenderedPageBreak/>
        <w:t xml:space="preserve">ADR-002: </w:t>
      </w:r>
      <w:proofErr w:type="spellStart"/>
      <w:r w:rsidRPr="001A0A45">
        <w:rPr>
          <w:sz w:val="24"/>
          <w:szCs w:val="24"/>
        </w:rPr>
        <w:t>Separar</w:t>
      </w:r>
      <w:proofErr w:type="spellEnd"/>
      <w:r w:rsidRPr="001A0A45">
        <w:rPr>
          <w:sz w:val="24"/>
          <w:szCs w:val="24"/>
        </w:rPr>
        <w:t xml:space="preserve"> las </w:t>
      </w:r>
      <w:proofErr w:type="spellStart"/>
      <w:r w:rsidRPr="001A0A45">
        <w:rPr>
          <w:sz w:val="24"/>
          <w:szCs w:val="24"/>
        </w:rPr>
        <w:t>responsabilidades</w:t>
      </w:r>
      <w:proofErr w:type="spellEnd"/>
      <w:r w:rsidRPr="001A0A45">
        <w:rPr>
          <w:sz w:val="24"/>
          <w:szCs w:val="24"/>
        </w:rPr>
        <w:t xml:space="preserve"> de Cita y </w:t>
      </w:r>
      <w:proofErr w:type="spellStart"/>
      <w:r w:rsidRPr="001A0A45">
        <w:rPr>
          <w:sz w:val="24"/>
          <w:szCs w:val="24"/>
        </w:rPr>
        <w:t>Paciente</w:t>
      </w:r>
      <w:proofErr w:type="spellEnd"/>
    </w:p>
    <w:tbl>
      <w:tblPr>
        <w:tblW w:w="9566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3828"/>
        <w:gridCol w:w="5738"/>
      </w:tblGrid>
      <w:tr w:rsidR="001A0A45" w14:paraId="0D07A0BF" w14:textId="77777777" w:rsidTr="001A0A45">
        <w:trPr>
          <w:cantSplit/>
          <w:trHeight w:val="248"/>
        </w:trPr>
        <w:tc>
          <w:tcPr>
            <w:tcW w:w="3828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377BB5"/>
            <w:vAlign w:val="center"/>
          </w:tcPr>
          <w:p w14:paraId="3FF20FA1" w14:textId="77777777" w:rsidR="001A0A45" w:rsidRPr="00C55C63" w:rsidRDefault="001A0A45" w:rsidP="0075067B">
            <w:pPr>
              <w:spacing w:after="0" w:line="252" w:lineRule="auto"/>
              <w:rPr>
                <w:sz w:val="17"/>
                <w:szCs w:val="17"/>
              </w:rPr>
            </w:pPr>
            <w:r w:rsidRPr="00C55C63">
              <w:rPr>
                <w:rFonts w:ascii="Arial" w:hAnsi="Arial"/>
                <w:b/>
                <w:color w:val="FFFFFF"/>
                <w:sz w:val="17"/>
                <w:szCs w:val="17"/>
              </w:rPr>
              <w:t>Campo del ADR</w:t>
            </w:r>
          </w:p>
        </w:tc>
        <w:tc>
          <w:tcPr>
            <w:tcW w:w="5738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377BB5"/>
            <w:vAlign w:val="center"/>
          </w:tcPr>
          <w:p w14:paraId="444E5B0B" w14:textId="77777777" w:rsidR="001A0A45" w:rsidRPr="00C55C63" w:rsidRDefault="001A0A45" w:rsidP="0075067B">
            <w:pPr>
              <w:spacing w:after="0" w:line="252" w:lineRule="auto"/>
              <w:rPr>
                <w:sz w:val="17"/>
                <w:szCs w:val="17"/>
              </w:rPr>
            </w:pPr>
            <w:r w:rsidRPr="00C55C63">
              <w:rPr>
                <w:rFonts w:ascii="Arial" w:hAnsi="Arial"/>
                <w:b/>
                <w:color w:val="FFFFFF"/>
                <w:sz w:val="17"/>
                <w:szCs w:val="17"/>
              </w:rPr>
              <w:t>ADR-002</w:t>
            </w:r>
          </w:p>
        </w:tc>
      </w:tr>
      <w:tr w:rsidR="001A0A45" w14:paraId="558B163D" w14:textId="77777777" w:rsidTr="001A0A45">
        <w:trPr>
          <w:cantSplit/>
          <w:trHeight w:val="248"/>
        </w:trPr>
        <w:tc>
          <w:tcPr>
            <w:tcW w:w="3828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8AE7A81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24"/>
              </w:rPr>
            </w:pPr>
            <w:r w:rsidRPr="00C55C63">
              <w:rPr>
                <w:rFonts w:cstheme="minorHAnsi"/>
                <w:b/>
                <w:sz w:val="18"/>
                <w:szCs w:val="24"/>
              </w:rPr>
              <w:t>Título</w:t>
            </w:r>
          </w:p>
        </w:tc>
        <w:tc>
          <w:tcPr>
            <w:tcW w:w="5738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89E8CC4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24"/>
              </w:rPr>
            </w:pPr>
            <w:r w:rsidRPr="00C55C63">
              <w:rPr>
                <w:rFonts w:cstheme="minorHAnsi"/>
                <w:sz w:val="18"/>
                <w:szCs w:val="24"/>
              </w:rPr>
              <w:t>Separar las responsabilidades de Cita y Paciente</w:t>
            </w:r>
          </w:p>
        </w:tc>
      </w:tr>
      <w:tr w:rsidR="001A0A45" w14:paraId="3B2B400F" w14:textId="77777777" w:rsidTr="001A0A45">
        <w:trPr>
          <w:cantSplit/>
          <w:trHeight w:val="746"/>
        </w:trPr>
        <w:tc>
          <w:tcPr>
            <w:tcW w:w="3828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3E11699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24"/>
              </w:rPr>
            </w:pPr>
            <w:r w:rsidRPr="00C55C63">
              <w:rPr>
                <w:rFonts w:cstheme="minorHAnsi"/>
                <w:b/>
                <w:sz w:val="18"/>
                <w:szCs w:val="24"/>
              </w:rPr>
              <w:t>Estado</w:t>
            </w:r>
          </w:p>
        </w:tc>
        <w:tc>
          <w:tcPr>
            <w:tcW w:w="5738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D2CCFC2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24"/>
              </w:rPr>
            </w:pPr>
            <w:r w:rsidRPr="00C55C63">
              <w:rPr>
                <w:rFonts w:cstheme="minorHAnsi"/>
                <w:sz w:val="18"/>
                <w:szCs w:val="24"/>
              </w:rPr>
              <w:t>Aceptada en el diseño (la separación entre Cita y Paciente está representada en el diagrama de clases y los flujos de US-05 y US-09).</w:t>
            </w:r>
          </w:p>
        </w:tc>
      </w:tr>
      <w:tr w:rsidR="001A0A45" w14:paraId="6B8408CA" w14:textId="77777777" w:rsidTr="001A0A45">
        <w:trPr>
          <w:cantSplit/>
          <w:trHeight w:val="497"/>
        </w:trPr>
        <w:tc>
          <w:tcPr>
            <w:tcW w:w="3828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5455F96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24"/>
              </w:rPr>
            </w:pPr>
            <w:r w:rsidRPr="00C55C63">
              <w:rPr>
                <w:rFonts w:cstheme="minorHAnsi"/>
                <w:b/>
                <w:sz w:val="18"/>
                <w:szCs w:val="24"/>
              </w:rPr>
              <w:t>Contexto</w:t>
            </w:r>
          </w:p>
        </w:tc>
        <w:tc>
          <w:tcPr>
            <w:tcW w:w="5738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170B2B1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24"/>
              </w:rPr>
            </w:pPr>
            <w:r w:rsidRPr="00C55C63">
              <w:rPr>
                <w:rFonts w:cstheme="minorHAnsi"/>
                <w:sz w:val="18"/>
                <w:szCs w:val="24"/>
              </w:rPr>
              <w:t>US-05 exige conservar los datos de una cancelación; US-09 requiere cambiar el estado de la cita, registrar la inasistencia en el historial del paciente y liberar el espacio de la agenda.</w:t>
            </w:r>
          </w:p>
        </w:tc>
      </w:tr>
      <w:tr w:rsidR="001A0A45" w14:paraId="67FBEAA7" w14:textId="77777777" w:rsidTr="001A0A45">
        <w:trPr>
          <w:cantSplit/>
          <w:trHeight w:val="746"/>
        </w:trPr>
        <w:tc>
          <w:tcPr>
            <w:tcW w:w="3828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3521B14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24"/>
              </w:rPr>
            </w:pPr>
            <w:r w:rsidRPr="00C55C63">
              <w:rPr>
                <w:rFonts w:cstheme="minorHAnsi"/>
                <w:b/>
                <w:sz w:val="18"/>
                <w:szCs w:val="24"/>
              </w:rPr>
              <w:t>Alternativas</w:t>
            </w:r>
          </w:p>
        </w:tc>
        <w:tc>
          <w:tcPr>
            <w:tcW w:w="5738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FE5A51C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24"/>
              </w:rPr>
            </w:pPr>
            <w:r w:rsidRPr="00C55C63">
              <w:rPr>
                <w:rFonts w:cstheme="minorHAnsi"/>
                <w:sz w:val="18"/>
                <w:szCs w:val="24"/>
              </w:rPr>
              <w:t>Colocar toda la información en una sola clase: simplifica algunas operaciones, pero mezcla las responsabilidades de la cita con las del paciente. Separar Cita y Paciente: facilita organizar sus datos y coordinar los cambios necesarios.</w:t>
            </w:r>
          </w:p>
        </w:tc>
      </w:tr>
      <w:tr w:rsidR="001A0A45" w14:paraId="4133C2FB" w14:textId="77777777" w:rsidTr="001A0A45">
        <w:trPr>
          <w:cantSplit/>
          <w:trHeight w:val="972"/>
        </w:trPr>
        <w:tc>
          <w:tcPr>
            <w:tcW w:w="3828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665ED72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24"/>
              </w:rPr>
            </w:pPr>
            <w:r w:rsidRPr="00C55C63">
              <w:rPr>
                <w:rFonts w:cstheme="minorHAnsi"/>
                <w:b/>
                <w:sz w:val="18"/>
                <w:szCs w:val="24"/>
              </w:rPr>
              <w:t>Decisión</w:t>
            </w:r>
          </w:p>
        </w:tc>
        <w:tc>
          <w:tcPr>
            <w:tcW w:w="5738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F531404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24"/>
              </w:rPr>
            </w:pPr>
            <w:r w:rsidRPr="00C55C63">
              <w:rPr>
                <w:rFonts w:cstheme="minorHAnsi"/>
                <w:sz w:val="18"/>
                <w:szCs w:val="24"/>
              </w:rPr>
              <w:t>Separar Cita y Paciente como entidades con responsabilidades distintas. Cita gestiona su estado y los datos de cancelación; Paciente mantiene su relación con el historial de citas. Los cambios relacionados se coordinan desde la aplicación.</w:t>
            </w:r>
          </w:p>
        </w:tc>
      </w:tr>
      <w:tr w:rsidR="001A0A45" w14:paraId="1CB447C6" w14:textId="77777777" w:rsidTr="001A0A45">
        <w:trPr>
          <w:cantSplit/>
          <w:trHeight w:val="746"/>
        </w:trPr>
        <w:tc>
          <w:tcPr>
            <w:tcW w:w="3828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9CBF5BD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24"/>
              </w:rPr>
            </w:pPr>
            <w:r w:rsidRPr="00C55C63">
              <w:rPr>
                <w:rFonts w:cstheme="minorHAnsi"/>
                <w:b/>
                <w:sz w:val="18"/>
                <w:szCs w:val="24"/>
              </w:rPr>
              <w:t>Consecuencias</w:t>
            </w:r>
          </w:p>
        </w:tc>
        <w:tc>
          <w:tcPr>
            <w:tcW w:w="5738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09F5CB5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24"/>
              </w:rPr>
            </w:pPr>
            <w:r w:rsidRPr="00C55C63">
              <w:rPr>
                <w:rFonts w:cstheme="minorHAnsi"/>
                <w:sz w:val="18"/>
                <w:szCs w:val="24"/>
              </w:rPr>
              <w:t>La estructura resulta más clara y evita concentrar todo en una clase. Como una operación puede afectar varios elementos, será necesario definir cómo guardar sus cambios conjuntamente.</w:t>
            </w:r>
          </w:p>
        </w:tc>
      </w:tr>
      <w:tr w:rsidR="001A0A45" w14:paraId="10B546DF" w14:textId="77777777" w:rsidTr="001A0A45">
        <w:trPr>
          <w:cantSplit/>
          <w:trHeight w:val="981"/>
        </w:trPr>
        <w:tc>
          <w:tcPr>
            <w:tcW w:w="3828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B323D5D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24"/>
              </w:rPr>
            </w:pPr>
            <w:r w:rsidRPr="00C55C63">
              <w:rPr>
                <w:rFonts w:cstheme="minorHAnsi"/>
                <w:b/>
                <w:sz w:val="18"/>
                <w:szCs w:val="24"/>
              </w:rPr>
              <w:t>Trazabilidad</w:t>
            </w:r>
          </w:p>
        </w:tc>
        <w:tc>
          <w:tcPr>
            <w:tcW w:w="5738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168E8BB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24"/>
              </w:rPr>
            </w:pPr>
            <w:r w:rsidRPr="00C55C63">
              <w:rPr>
                <w:rFonts w:cstheme="minorHAnsi"/>
                <w:sz w:val="18"/>
                <w:szCs w:val="24"/>
              </w:rPr>
              <w:t>BRD: Trazabilidad de Cancelaciones; Control de Historial y No-</w:t>
            </w:r>
            <w:proofErr w:type="gramStart"/>
            <w:r w:rsidRPr="00C55C63">
              <w:rPr>
                <w:rFonts w:cstheme="minorHAnsi"/>
                <w:sz w:val="18"/>
                <w:szCs w:val="24"/>
              </w:rPr>
              <w:t>shows</w:t>
            </w:r>
            <w:proofErr w:type="gramEnd"/>
            <w:r w:rsidRPr="00C55C63">
              <w:rPr>
                <w:rFonts w:cstheme="minorHAnsi"/>
                <w:sz w:val="18"/>
                <w:szCs w:val="24"/>
              </w:rPr>
              <w:t>. US-05 (CA: motivo, usuario y fecha/hora); US-09 (CA: cambio de estado y registro en historial). CU-03 y CU-04. Glosario: #1 Paciente, #2 Cita, #9 No-</w:t>
            </w:r>
            <w:proofErr w:type="gramStart"/>
            <w:r w:rsidRPr="00C55C63">
              <w:rPr>
                <w:rFonts w:cstheme="minorHAnsi"/>
                <w:sz w:val="18"/>
                <w:szCs w:val="24"/>
              </w:rPr>
              <w:t>show</w:t>
            </w:r>
            <w:proofErr w:type="gramEnd"/>
            <w:r w:rsidRPr="00C55C63">
              <w:rPr>
                <w:rFonts w:cstheme="minorHAnsi"/>
                <w:sz w:val="18"/>
                <w:szCs w:val="24"/>
              </w:rPr>
              <w:t>, #11 Cancelación, #17 Historial de citas.</w:t>
            </w:r>
          </w:p>
        </w:tc>
      </w:tr>
    </w:tbl>
    <w:p w14:paraId="27A312F9" w14:textId="77777777" w:rsidR="001A0A45" w:rsidRDefault="001A0A45" w:rsidP="001A0A45">
      <w:pPr>
        <w:spacing w:after="20"/>
      </w:pPr>
    </w:p>
    <w:p w14:paraId="4491DD4D" w14:textId="77777777" w:rsidR="00C55C63" w:rsidRPr="00C55C63" w:rsidRDefault="00C55C63" w:rsidP="00C55C63">
      <w:pPr>
        <w:pStyle w:val="AdrHeading"/>
        <w:keepNext/>
        <w:pageBreakBefore/>
        <w:rPr>
          <w:sz w:val="24"/>
          <w:szCs w:val="24"/>
        </w:rPr>
      </w:pPr>
      <w:r w:rsidRPr="00C55C63">
        <w:rPr>
          <w:sz w:val="24"/>
          <w:szCs w:val="24"/>
        </w:rPr>
        <w:lastRenderedPageBreak/>
        <w:t xml:space="preserve">ADR-003: Validar las </w:t>
      </w:r>
      <w:proofErr w:type="spellStart"/>
      <w:r w:rsidRPr="00C55C63">
        <w:rPr>
          <w:sz w:val="24"/>
          <w:szCs w:val="24"/>
        </w:rPr>
        <w:t>citas</w:t>
      </w:r>
      <w:proofErr w:type="spellEnd"/>
      <w:r w:rsidRPr="00C55C63">
        <w:rPr>
          <w:sz w:val="24"/>
          <w:szCs w:val="24"/>
        </w:rPr>
        <w:t xml:space="preserve"> </w:t>
      </w:r>
      <w:proofErr w:type="spellStart"/>
      <w:r w:rsidRPr="00C55C63">
        <w:rPr>
          <w:sz w:val="24"/>
          <w:szCs w:val="24"/>
        </w:rPr>
        <w:t>duplicadas</w:t>
      </w:r>
      <w:proofErr w:type="spellEnd"/>
      <w:r w:rsidRPr="00C55C63">
        <w:rPr>
          <w:sz w:val="24"/>
          <w:szCs w:val="24"/>
        </w:rPr>
        <w:t xml:space="preserve"> antes de registrar </w:t>
      </w:r>
      <w:proofErr w:type="spellStart"/>
      <w:r w:rsidRPr="00C55C63">
        <w:rPr>
          <w:sz w:val="24"/>
          <w:szCs w:val="24"/>
        </w:rPr>
        <w:t>una</w:t>
      </w:r>
      <w:proofErr w:type="spellEnd"/>
      <w:r w:rsidRPr="00C55C63">
        <w:rPr>
          <w:sz w:val="24"/>
          <w:szCs w:val="24"/>
        </w:rPr>
        <w:t xml:space="preserve"> </w:t>
      </w:r>
      <w:proofErr w:type="spellStart"/>
      <w:r w:rsidRPr="00C55C63">
        <w:rPr>
          <w:sz w:val="24"/>
          <w:szCs w:val="24"/>
        </w:rPr>
        <w:t>nueva</w:t>
      </w:r>
      <w:proofErr w:type="spellEnd"/>
      <w:r w:rsidRPr="00C55C63">
        <w:rPr>
          <w:sz w:val="24"/>
          <w:szCs w:val="24"/>
        </w:rPr>
        <w:t xml:space="preserve"> </w:t>
      </w:r>
      <w:proofErr w:type="spellStart"/>
      <w:r w:rsidRPr="00C55C63">
        <w:rPr>
          <w:sz w:val="24"/>
          <w:szCs w:val="24"/>
        </w:rPr>
        <w:t>cita</w:t>
      </w:r>
      <w:proofErr w:type="spellEnd"/>
    </w:p>
    <w:tbl>
      <w:tblPr>
        <w:tblW w:w="9640" w:type="dxa"/>
        <w:tblInd w:w="-434" w:type="dxa"/>
        <w:tblBorders>
          <w:top w:val="single" w:sz="6" w:space="0" w:color="5C6B78"/>
          <w:left w:val="single" w:sz="6" w:space="0" w:color="5C6B78"/>
          <w:bottom w:val="single" w:sz="4" w:space="0" w:color="auto"/>
          <w:right w:val="single" w:sz="6" w:space="0" w:color="5C6B78"/>
          <w:insideH w:val="single" w:sz="6" w:space="0" w:color="5C6B78"/>
          <w:insideV w:val="single" w:sz="6" w:space="0" w:color="5C6B78"/>
        </w:tblBorders>
        <w:tblLayout w:type="fixed"/>
        <w:tblLook w:val="04A0" w:firstRow="1" w:lastRow="0" w:firstColumn="1" w:lastColumn="0" w:noHBand="0" w:noVBand="1"/>
      </w:tblPr>
      <w:tblGrid>
        <w:gridCol w:w="3835"/>
        <w:gridCol w:w="5805"/>
      </w:tblGrid>
      <w:tr w:rsidR="00C55C63" w14:paraId="59503E38" w14:textId="77777777" w:rsidTr="0075067B">
        <w:trPr>
          <w:cantSplit/>
          <w:trHeight w:val="210"/>
        </w:trPr>
        <w:tc>
          <w:tcPr>
            <w:tcW w:w="3835" w:type="dxa"/>
            <w:shd w:val="clear" w:color="auto" w:fill="377BB5"/>
            <w:vAlign w:val="center"/>
          </w:tcPr>
          <w:p w14:paraId="2AE3AE29" w14:textId="77777777" w:rsidR="00C55C63" w:rsidRDefault="00C55C63" w:rsidP="0075067B"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Campo del ADR</w:t>
            </w:r>
          </w:p>
        </w:tc>
        <w:tc>
          <w:tcPr>
            <w:tcW w:w="5805" w:type="dxa"/>
            <w:shd w:val="clear" w:color="auto" w:fill="377BB5"/>
            <w:vAlign w:val="center"/>
          </w:tcPr>
          <w:p w14:paraId="7B9D36E7" w14:textId="77777777" w:rsidR="00C55C63" w:rsidRDefault="00C55C63" w:rsidP="0075067B"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ADR-003</w:t>
            </w:r>
          </w:p>
        </w:tc>
      </w:tr>
      <w:tr w:rsidR="00C55C63" w14:paraId="0FE2CFED" w14:textId="77777777" w:rsidTr="0075067B">
        <w:trPr>
          <w:cantSplit/>
          <w:trHeight w:val="210"/>
        </w:trPr>
        <w:tc>
          <w:tcPr>
            <w:tcW w:w="3835" w:type="dxa"/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66FBF62" w14:textId="77777777" w:rsidR="00C55C63" w:rsidRPr="00C55C63" w:rsidRDefault="00C55C63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b/>
                <w:sz w:val="18"/>
                <w:szCs w:val="18"/>
              </w:rPr>
              <w:t>Título</w:t>
            </w:r>
          </w:p>
        </w:tc>
        <w:tc>
          <w:tcPr>
            <w:tcW w:w="5805" w:type="dxa"/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80E1906" w14:textId="77777777" w:rsidR="00C55C63" w:rsidRPr="00C55C63" w:rsidRDefault="00C55C63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sz w:val="18"/>
                <w:szCs w:val="18"/>
              </w:rPr>
              <w:t>Validar las citas duplicadas antes de registrar una nueva cita</w:t>
            </w:r>
          </w:p>
        </w:tc>
      </w:tr>
      <w:tr w:rsidR="00C55C63" w14:paraId="4AE0FEE9" w14:textId="77777777" w:rsidTr="0075067B">
        <w:trPr>
          <w:cantSplit/>
          <w:trHeight w:val="631"/>
        </w:trPr>
        <w:tc>
          <w:tcPr>
            <w:tcW w:w="3835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B4F7B49" w14:textId="77777777" w:rsidR="00C55C63" w:rsidRPr="00C55C63" w:rsidRDefault="00C55C63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b/>
                <w:sz w:val="18"/>
                <w:szCs w:val="18"/>
              </w:rPr>
              <w:t>Estado</w:t>
            </w:r>
          </w:p>
        </w:tc>
        <w:tc>
          <w:tcPr>
            <w:tcW w:w="5805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3395E3D" w14:textId="77777777" w:rsidR="00C55C63" w:rsidRPr="00C55C63" w:rsidRDefault="00C55C63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sz w:val="18"/>
                <w:szCs w:val="18"/>
              </w:rPr>
              <w:t>Aceptada para el diseño (US-03 exige bloquear las citas duplicadas; la solución propuesta aplica esta validación al registrar).</w:t>
            </w:r>
          </w:p>
        </w:tc>
      </w:tr>
      <w:tr w:rsidR="00C55C63" w14:paraId="7F965386" w14:textId="77777777" w:rsidTr="0075067B">
        <w:trPr>
          <w:cantSplit/>
          <w:trHeight w:val="631"/>
        </w:trPr>
        <w:tc>
          <w:tcPr>
            <w:tcW w:w="3835" w:type="dxa"/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4A005B1" w14:textId="77777777" w:rsidR="00C55C63" w:rsidRPr="00C55C63" w:rsidRDefault="00C55C63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b/>
                <w:sz w:val="18"/>
                <w:szCs w:val="18"/>
              </w:rPr>
              <w:t>Contexto</w:t>
            </w:r>
          </w:p>
        </w:tc>
        <w:tc>
          <w:tcPr>
            <w:tcW w:w="5805" w:type="dxa"/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A0727FF" w14:textId="77777777" w:rsidR="00C55C63" w:rsidRPr="00C55C63" w:rsidRDefault="00C55C63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sz w:val="18"/>
                <w:szCs w:val="18"/>
              </w:rPr>
              <w:t>El BRD señala los problemas de citas duplicadas entre sucursales. US-03 establece que un paciente no puede registrar otra cita activa en la misma fecha y hora, sin importar en qué sucursal se intente.</w:t>
            </w:r>
          </w:p>
        </w:tc>
      </w:tr>
      <w:tr w:rsidR="00C55C63" w14:paraId="12D525F2" w14:textId="77777777" w:rsidTr="0075067B">
        <w:trPr>
          <w:cantSplit/>
          <w:trHeight w:val="841"/>
        </w:trPr>
        <w:tc>
          <w:tcPr>
            <w:tcW w:w="3835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50F3F7B" w14:textId="77777777" w:rsidR="00C55C63" w:rsidRPr="00C55C63" w:rsidRDefault="00C55C63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b/>
                <w:sz w:val="18"/>
                <w:szCs w:val="18"/>
              </w:rPr>
              <w:t>Alternativas</w:t>
            </w:r>
          </w:p>
        </w:tc>
        <w:tc>
          <w:tcPr>
            <w:tcW w:w="5805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50318A3" w14:textId="77777777" w:rsidR="00C55C63" w:rsidRPr="00C55C63" w:rsidRDefault="00C55C63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sz w:val="18"/>
                <w:szCs w:val="18"/>
              </w:rPr>
              <w:t>Revisar los duplicados solo desde la pantalla de recepción: puede fallar cuando dos usuarios actúan al mismo tiempo. Comprobar las citas existentes como parte de la operación de registro: permite aplicar la regla desde el sistema, independientemente de la sucursal.</w:t>
            </w:r>
          </w:p>
        </w:tc>
      </w:tr>
      <w:tr w:rsidR="00C55C63" w14:paraId="086693E5" w14:textId="77777777" w:rsidTr="0075067B">
        <w:trPr>
          <w:cantSplit/>
          <w:trHeight w:val="420"/>
        </w:trPr>
        <w:tc>
          <w:tcPr>
            <w:tcW w:w="3835" w:type="dxa"/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61D6ACA" w14:textId="77777777" w:rsidR="00C55C63" w:rsidRPr="00C55C63" w:rsidRDefault="00C55C63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b/>
                <w:sz w:val="18"/>
                <w:szCs w:val="18"/>
              </w:rPr>
              <w:t>Decisión</w:t>
            </w:r>
          </w:p>
        </w:tc>
        <w:tc>
          <w:tcPr>
            <w:tcW w:w="5805" w:type="dxa"/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19691DE" w14:textId="77777777" w:rsidR="00C55C63" w:rsidRPr="00C55C63" w:rsidRDefault="00C55C63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sz w:val="18"/>
                <w:szCs w:val="18"/>
              </w:rPr>
              <w:t>Realizar la validación de duplicados antes de guardar la nueva cita y rechazar la operación cuando ya exista una cita activa del mismo paciente en la fecha y hora solicitadas.</w:t>
            </w:r>
          </w:p>
        </w:tc>
      </w:tr>
      <w:tr w:rsidR="00C55C63" w14:paraId="55B8A2C6" w14:textId="77777777" w:rsidTr="0075067B">
        <w:trPr>
          <w:cantSplit/>
          <w:trHeight w:val="631"/>
        </w:trPr>
        <w:tc>
          <w:tcPr>
            <w:tcW w:w="3835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2446C0B" w14:textId="77777777" w:rsidR="00C55C63" w:rsidRPr="00C55C63" w:rsidRDefault="00C55C63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b/>
                <w:sz w:val="18"/>
                <w:szCs w:val="18"/>
              </w:rPr>
              <w:t>Consecuencias</w:t>
            </w:r>
          </w:p>
        </w:tc>
        <w:tc>
          <w:tcPr>
            <w:tcW w:w="5805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5F1BBA5" w14:textId="77777777" w:rsidR="00C55C63" w:rsidRPr="00C55C63" w:rsidRDefault="00C55C63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sz w:val="18"/>
                <w:szCs w:val="18"/>
              </w:rPr>
              <w:t>Se respeta la regla de negocio en los distintos canales de atención. Para evitar registros simultáneos en una versión real, también se necesitará un control de concurrencia en la persistencia.</w:t>
            </w:r>
          </w:p>
        </w:tc>
      </w:tr>
      <w:tr w:rsidR="00C55C63" w14:paraId="30A2A3DF" w14:textId="77777777" w:rsidTr="0075067B">
        <w:trPr>
          <w:cantSplit/>
          <w:trHeight w:val="1262"/>
        </w:trPr>
        <w:tc>
          <w:tcPr>
            <w:tcW w:w="3835" w:type="dxa"/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7496D42" w14:textId="77777777" w:rsidR="00C55C63" w:rsidRPr="00C55C63" w:rsidRDefault="00C55C63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b/>
                <w:sz w:val="18"/>
                <w:szCs w:val="18"/>
              </w:rPr>
              <w:t>Trazabilidad</w:t>
            </w:r>
          </w:p>
        </w:tc>
        <w:tc>
          <w:tcPr>
            <w:tcW w:w="5805" w:type="dxa"/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6F142F6" w14:textId="77777777" w:rsidR="00C55C63" w:rsidRPr="00C55C63" w:rsidRDefault="00C55C63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sz w:val="18"/>
                <w:szCs w:val="18"/>
              </w:rPr>
              <w:t>BRD: Gestión Centralizada y Concurrencia; criterio de éxito «Reducción de Citas Duplicadas» (0 %). US-03 (CA: rechazar una segunda cita activa del paciente en la misma fecha y hora, sin importar la sucursal). CU-02. Glosario: #1 Paciente, #2 Cita, #5 Sucursal.</w:t>
            </w:r>
          </w:p>
        </w:tc>
      </w:tr>
    </w:tbl>
    <w:p w14:paraId="4ECDB47C" w14:textId="77777777" w:rsidR="00C55C63" w:rsidRDefault="00C55C63" w:rsidP="001A0A45">
      <w:pPr>
        <w:spacing w:after="20"/>
      </w:pPr>
    </w:p>
    <w:p w14:paraId="361BA35D" w14:textId="77777777" w:rsidR="001A0A45" w:rsidRPr="00C55C63" w:rsidRDefault="001A0A45" w:rsidP="001A0A45">
      <w:pPr>
        <w:pStyle w:val="AdrHeading"/>
        <w:keepNext/>
        <w:rPr>
          <w:sz w:val="24"/>
          <w:szCs w:val="24"/>
        </w:rPr>
      </w:pPr>
      <w:r w:rsidRPr="00C55C63">
        <w:rPr>
          <w:sz w:val="24"/>
          <w:szCs w:val="24"/>
        </w:rPr>
        <w:t xml:space="preserve">ADR-004: Registrar el no-show y sus </w:t>
      </w:r>
      <w:proofErr w:type="spellStart"/>
      <w:r w:rsidRPr="00C55C63">
        <w:rPr>
          <w:sz w:val="24"/>
          <w:szCs w:val="24"/>
        </w:rPr>
        <w:t>cambios</w:t>
      </w:r>
      <w:proofErr w:type="spellEnd"/>
      <w:r w:rsidRPr="00C55C63">
        <w:rPr>
          <w:sz w:val="24"/>
          <w:szCs w:val="24"/>
        </w:rPr>
        <w:t xml:space="preserve"> </w:t>
      </w:r>
      <w:proofErr w:type="spellStart"/>
      <w:r w:rsidRPr="00C55C63">
        <w:rPr>
          <w:sz w:val="24"/>
          <w:szCs w:val="24"/>
        </w:rPr>
        <w:t>como</w:t>
      </w:r>
      <w:proofErr w:type="spellEnd"/>
      <w:r w:rsidRPr="00C55C63">
        <w:rPr>
          <w:sz w:val="24"/>
          <w:szCs w:val="24"/>
        </w:rPr>
        <w:t xml:space="preserve"> </w:t>
      </w:r>
      <w:proofErr w:type="spellStart"/>
      <w:r w:rsidRPr="00C55C63">
        <w:rPr>
          <w:sz w:val="24"/>
          <w:szCs w:val="24"/>
        </w:rPr>
        <w:t>una</w:t>
      </w:r>
      <w:proofErr w:type="spellEnd"/>
      <w:r w:rsidRPr="00C55C63">
        <w:rPr>
          <w:sz w:val="24"/>
          <w:szCs w:val="24"/>
        </w:rPr>
        <w:t xml:space="preserve"> sola </w:t>
      </w:r>
      <w:proofErr w:type="spellStart"/>
      <w:r w:rsidRPr="00C55C63">
        <w:rPr>
          <w:sz w:val="24"/>
          <w:szCs w:val="24"/>
        </w:rPr>
        <w:t>operación</w:t>
      </w:r>
      <w:proofErr w:type="spellEnd"/>
    </w:p>
    <w:tbl>
      <w:tblPr>
        <w:tblW w:w="9640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3828"/>
        <w:gridCol w:w="5812"/>
      </w:tblGrid>
      <w:tr w:rsidR="001A0A45" w14:paraId="4AD85342" w14:textId="77777777" w:rsidTr="00C55C63">
        <w:trPr>
          <w:cantSplit/>
          <w:trHeight w:val="203"/>
        </w:trPr>
        <w:tc>
          <w:tcPr>
            <w:tcW w:w="3828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377BB5"/>
            <w:vAlign w:val="center"/>
          </w:tcPr>
          <w:p w14:paraId="5D56F682" w14:textId="77777777" w:rsidR="001A0A45" w:rsidRDefault="001A0A45" w:rsidP="0075067B"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Campo del ADR</w:t>
            </w:r>
          </w:p>
        </w:tc>
        <w:tc>
          <w:tcPr>
            <w:tcW w:w="5812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377BB5"/>
            <w:vAlign w:val="center"/>
          </w:tcPr>
          <w:p w14:paraId="6C3BBD41" w14:textId="77777777" w:rsidR="001A0A45" w:rsidRDefault="001A0A45" w:rsidP="0075067B"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ADR-004</w:t>
            </w:r>
          </w:p>
        </w:tc>
      </w:tr>
      <w:tr w:rsidR="001A0A45" w14:paraId="66BC948A" w14:textId="77777777" w:rsidTr="00C55C63">
        <w:trPr>
          <w:cantSplit/>
          <w:trHeight w:val="203"/>
        </w:trPr>
        <w:tc>
          <w:tcPr>
            <w:tcW w:w="3828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7FEF380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b/>
                <w:sz w:val="18"/>
                <w:szCs w:val="18"/>
              </w:rPr>
              <w:t>Título</w:t>
            </w:r>
          </w:p>
        </w:tc>
        <w:tc>
          <w:tcPr>
            <w:tcW w:w="5812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AD05E40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sz w:val="18"/>
                <w:szCs w:val="18"/>
              </w:rPr>
              <w:t>Registrar el no-</w:t>
            </w:r>
            <w:proofErr w:type="gramStart"/>
            <w:r w:rsidRPr="00C55C63">
              <w:rPr>
                <w:rFonts w:cstheme="minorHAnsi"/>
                <w:sz w:val="18"/>
                <w:szCs w:val="18"/>
              </w:rPr>
              <w:t>show</w:t>
            </w:r>
            <w:proofErr w:type="gramEnd"/>
            <w:r w:rsidRPr="00C55C63">
              <w:rPr>
                <w:rFonts w:cstheme="minorHAnsi"/>
                <w:sz w:val="18"/>
                <w:szCs w:val="18"/>
              </w:rPr>
              <w:t xml:space="preserve"> y sus cambios como una sola operación</w:t>
            </w:r>
          </w:p>
        </w:tc>
      </w:tr>
      <w:tr w:rsidR="001A0A45" w14:paraId="59B8803B" w14:textId="77777777" w:rsidTr="00C55C63">
        <w:trPr>
          <w:cantSplit/>
          <w:trHeight w:val="908"/>
        </w:trPr>
        <w:tc>
          <w:tcPr>
            <w:tcW w:w="3828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B9B636C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b/>
                <w:sz w:val="18"/>
                <w:szCs w:val="18"/>
              </w:rPr>
              <w:t>Estado</w:t>
            </w:r>
          </w:p>
        </w:tc>
        <w:tc>
          <w:tcPr>
            <w:tcW w:w="5812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34218A6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sz w:val="18"/>
                <w:szCs w:val="18"/>
              </w:rPr>
              <w:t xml:space="preserve">Propuesta (la coordinación con </w:t>
            </w:r>
            <w:proofErr w:type="spellStart"/>
            <w:r w:rsidRPr="00C55C63">
              <w:rPr>
                <w:rFonts w:cstheme="minorHAnsi"/>
                <w:sz w:val="18"/>
                <w:szCs w:val="18"/>
              </w:rPr>
              <w:t>Unit</w:t>
            </w:r>
            <w:proofErr w:type="spellEnd"/>
            <w:r w:rsidRPr="00C55C63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C55C63">
              <w:rPr>
                <w:rFonts w:cstheme="minorHAnsi"/>
                <w:sz w:val="18"/>
                <w:szCs w:val="18"/>
              </w:rPr>
              <w:t>of</w:t>
            </w:r>
            <w:proofErr w:type="spellEnd"/>
            <w:r w:rsidRPr="00C55C63">
              <w:rPr>
                <w:rFonts w:cstheme="minorHAnsi"/>
                <w:sz w:val="18"/>
                <w:szCs w:val="18"/>
              </w:rPr>
              <w:t xml:space="preserve"> Work se representa en los diagramas, pero no se ha validado su transacción con una base de datos real).</w:t>
            </w:r>
          </w:p>
        </w:tc>
      </w:tr>
      <w:tr w:rsidR="001A0A45" w14:paraId="6C7E4471" w14:textId="77777777" w:rsidTr="00C55C63">
        <w:trPr>
          <w:cantSplit/>
          <w:trHeight w:val="609"/>
        </w:trPr>
        <w:tc>
          <w:tcPr>
            <w:tcW w:w="3828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61C2ECE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b/>
                <w:sz w:val="18"/>
                <w:szCs w:val="18"/>
              </w:rPr>
              <w:t>Contexto</w:t>
            </w:r>
          </w:p>
        </w:tc>
        <w:tc>
          <w:tcPr>
            <w:tcW w:w="5812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23C405E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sz w:val="18"/>
                <w:szCs w:val="18"/>
              </w:rPr>
              <w:t>US-09 establece que, cuando transcurren 20 minutos desde la hora programada y no se registra la llegada del paciente, la cita cambia a No-</w:t>
            </w:r>
            <w:proofErr w:type="gramStart"/>
            <w:r w:rsidRPr="00C55C63">
              <w:rPr>
                <w:rFonts w:cstheme="minorHAnsi"/>
                <w:sz w:val="18"/>
                <w:szCs w:val="18"/>
              </w:rPr>
              <w:t>show</w:t>
            </w:r>
            <w:proofErr w:type="gramEnd"/>
            <w:r w:rsidRPr="00C55C63">
              <w:rPr>
                <w:rFonts w:cstheme="minorHAnsi"/>
                <w:sz w:val="18"/>
                <w:szCs w:val="18"/>
              </w:rPr>
              <w:t>; además, se registra en el historial del paciente y se libera el espacio de la agenda.</w:t>
            </w:r>
          </w:p>
        </w:tc>
      </w:tr>
      <w:tr w:rsidR="001A0A45" w14:paraId="780D3AC4" w14:textId="77777777" w:rsidTr="00C55C63">
        <w:trPr>
          <w:cantSplit/>
          <w:trHeight w:val="609"/>
        </w:trPr>
        <w:tc>
          <w:tcPr>
            <w:tcW w:w="3828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3148B47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b/>
                <w:sz w:val="18"/>
                <w:szCs w:val="18"/>
              </w:rPr>
              <w:t>Alternativas</w:t>
            </w:r>
          </w:p>
        </w:tc>
        <w:tc>
          <w:tcPr>
            <w:tcW w:w="5812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62FEFC0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sz w:val="18"/>
                <w:szCs w:val="18"/>
              </w:rPr>
              <w:t xml:space="preserve">Guardar cada cambio por separado: un error podría dejar el historial o la agenda desactualizados. Coordinar los cambios mediante un servicio de aplicación y una </w:t>
            </w:r>
            <w:proofErr w:type="spellStart"/>
            <w:r w:rsidRPr="00C55C63">
              <w:rPr>
                <w:rFonts w:cstheme="minorHAnsi"/>
                <w:sz w:val="18"/>
                <w:szCs w:val="18"/>
              </w:rPr>
              <w:t>Unit</w:t>
            </w:r>
            <w:proofErr w:type="spellEnd"/>
            <w:r w:rsidRPr="00C55C63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C55C63">
              <w:rPr>
                <w:rFonts w:cstheme="minorHAnsi"/>
                <w:sz w:val="18"/>
                <w:szCs w:val="18"/>
              </w:rPr>
              <w:t>of</w:t>
            </w:r>
            <w:proofErr w:type="spellEnd"/>
            <w:r w:rsidRPr="00C55C63">
              <w:rPr>
                <w:rFonts w:cstheme="minorHAnsi"/>
                <w:sz w:val="18"/>
                <w:szCs w:val="18"/>
              </w:rPr>
              <w:t xml:space="preserve"> Work: permite definir qué se guarda en una misma operación.</w:t>
            </w:r>
          </w:p>
        </w:tc>
      </w:tr>
      <w:tr w:rsidR="001A0A45" w14:paraId="1D58E95D" w14:textId="77777777" w:rsidTr="00C55C63">
        <w:trPr>
          <w:cantSplit/>
          <w:trHeight w:val="609"/>
        </w:trPr>
        <w:tc>
          <w:tcPr>
            <w:tcW w:w="3828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E945CE0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b/>
                <w:sz w:val="18"/>
                <w:szCs w:val="18"/>
              </w:rPr>
              <w:lastRenderedPageBreak/>
              <w:t>Decisión</w:t>
            </w:r>
          </w:p>
        </w:tc>
        <w:tc>
          <w:tcPr>
            <w:tcW w:w="5812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CBBD7F7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proofErr w:type="gramStart"/>
            <w:r w:rsidRPr="00C55C63">
              <w:rPr>
                <w:rFonts w:cstheme="minorHAnsi"/>
                <w:sz w:val="18"/>
                <w:szCs w:val="18"/>
              </w:rPr>
              <w:t>Proponer</w:t>
            </w:r>
            <w:proofErr w:type="gramEnd"/>
            <w:r w:rsidRPr="00C55C63">
              <w:rPr>
                <w:rFonts w:cstheme="minorHAnsi"/>
                <w:sz w:val="18"/>
                <w:szCs w:val="18"/>
              </w:rPr>
              <w:t xml:space="preserve"> que el servicio de aplicación coordine el cambio de estado, el registro en el historial y la liberación del espacio, utilizando </w:t>
            </w:r>
            <w:proofErr w:type="spellStart"/>
            <w:r w:rsidRPr="00C55C63">
              <w:rPr>
                <w:rFonts w:cstheme="minorHAnsi"/>
                <w:sz w:val="18"/>
                <w:szCs w:val="18"/>
              </w:rPr>
              <w:t>Repository</w:t>
            </w:r>
            <w:proofErr w:type="spellEnd"/>
            <w:r w:rsidRPr="00C55C63">
              <w:rPr>
                <w:rFonts w:cstheme="minorHAnsi"/>
                <w:sz w:val="18"/>
                <w:szCs w:val="18"/>
              </w:rPr>
              <w:t xml:space="preserve"> y </w:t>
            </w:r>
            <w:proofErr w:type="spellStart"/>
            <w:r w:rsidRPr="00C55C63">
              <w:rPr>
                <w:rFonts w:cstheme="minorHAnsi"/>
                <w:sz w:val="18"/>
                <w:szCs w:val="18"/>
              </w:rPr>
              <w:t>Unit</w:t>
            </w:r>
            <w:proofErr w:type="spellEnd"/>
            <w:r w:rsidRPr="00C55C63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C55C63">
              <w:rPr>
                <w:rFonts w:cstheme="minorHAnsi"/>
                <w:sz w:val="18"/>
                <w:szCs w:val="18"/>
              </w:rPr>
              <w:t>of</w:t>
            </w:r>
            <w:proofErr w:type="spellEnd"/>
            <w:r w:rsidRPr="00C55C63">
              <w:rPr>
                <w:rFonts w:cstheme="minorHAnsi"/>
                <w:sz w:val="18"/>
                <w:szCs w:val="18"/>
              </w:rPr>
              <w:t xml:space="preserve"> Work para guardar los cambios correspondientes.</w:t>
            </w:r>
          </w:p>
        </w:tc>
      </w:tr>
      <w:tr w:rsidR="001A0A45" w14:paraId="05EE8D72" w14:textId="77777777" w:rsidTr="00C55C63">
        <w:trPr>
          <w:cantSplit/>
          <w:trHeight w:val="609"/>
        </w:trPr>
        <w:tc>
          <w:tcPr>
            <w:tcW w:w="3828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6FD44F6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b/>
                <w:sz w:val="18"/>
                <w:szCs w:val="18"/>
              </w:rPr>
              <w:t>Consecuencias</w:t>
            </w:r>
          </w:p>
        </w:tc>
        <w:tc>
          <w:tcPr>
            <w:tcW w:w="5812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D4B89B3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sz w:val="18"/>
                <w:szCs w:val="18"/>
              </w:rPr>
              <w:t>Ayuda a evitar resultados incompletos y mantiene separadas las reglas del negocio y el almacenamiento. Requiere definir correctamente las transacciones; esta decisión no significa que ya exista una base de datos implementada.</w:t>
            </w:r>
          </w:p>
        </w:tc>
      </w:tr>
      <w:tr w:rsidR="001A0A45" w14:paraId="2ABE9972" w14:textId="77777777" w:rsidTr="00C55C63">
        <w:trPr>
          <w:cantSplit/>
          <w:trHeight w:val="1219"/>
        </w:trPr>
        <w:tc>
          <w:tcPr>
            <w:tcW w:w="3828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BB4F3CE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b/>
                <w:sz w:val="18"/>
                <w:szCs w:val="18"/>
              </w:rPr>
              <w:t>Trazabilidad</w:t>
            </w:r>
          </w:p>
        </w:tc>
        <w:tc>
          <w:tcPr>
            <w:tcW w:w="5812" w:type="dxa"/>
            <w:tcBorders>
              <w:top w:val="single" w:sz="5" w:space="0" w:color="5C6B78"/>
              <w:left w:val="single" w:sz="5" w:space="0" w:color="5C6B78"/>
              <w:bottom w:val="single" w:sz="5" w:space="0" w:color="5C6B78"/>
              <w:right w:val="single" w:sz="5" w:space="0" w:color="5C6B78"/>
            </w:tcBorders>
            <w:shd w:val="clear" w:color="auto" w:fill="EAF2F9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7F9F1D0" w14:textId="77777777" w:rsidR="001A0A45" w:rsidRPr="00C55C63" w:rsidRDefault="001A0A45" w:rsidP="0075067B">
            <w:pPr>
              <w:spacing w:after="0" w:line="252" w:lineRule="auto"/>
              <w:rPr>
                <w:rFonts w:cstheme="minorHAnsi"/>
                <w:sz w:val="18"/>
                <w:szCs w:val="18"/>
              </w:rPr>
            </w:pPr>
            <w:r w:rsidRPr="00C55C63">
              <w:rPr>
                <w:rFonts w:cstheme="minorHAnsi"/>
                <w:sz w:val="18"/>
                <w:szCs w:val="18"/>
              </w:rPr>
              <w:t>BRD: Control de Historial y No-</w:t>
            </w:r>
            <w:proofErr w:type="gramStart"/>
            <w:r w:rsidRPr="00C55C63">
              <w:rPr>
                <w:rFonts w:cstheme="minorHAnsi"/>
                <w:sz w:val="18"/>
                <w:szCs w:val="18"/>
              </w:rPr>
              <w:t>shows</w:t>
            </w:r>
            <w:proofErr w:type="gramEnd"/>
            <w:r w:rsidRPr="00C55C63">
              <w:rPr>
                <w:rFonts w:cstheme="minorHAnsi"/>
                <w:sz w:val="18"/>
                <w:szCs w:val="18"/>
              </w:rPr>
              <w:t>; criterio de éxito «Medición de No-</w:t>
            </w:r>
            <w:proofErr w:type="gramStart"/>
            <w:r w:rsidRPr="00C55C63">
              <w:rPr>
                <w:rFonts w:cstheme="minorHAnsi"/>
                <w:sz w:val="18"/>
                <w:szCs w:val="18"/>
              </w:rPr>
              <w:t>Shows</w:t>
            </w:r>
            <w:proofErr w:type="gramEnd"/>
            <w:r w:rsidRPr="00C55C63">
              <w:rPr>
                <w:rFonts w:cstheme="minorHAnsi"/>
                <w:sz w:val="18"/>
                <w:szCs w:val="18"/>
              </w:rPr>
              <w:t>». US-09 (CA: 20 minutos sin llegada; estado No-</w:t>
            </w:r>
            <w:proofErr w:type="gramStart"/>
            <w:r w:rsidRPr="00C55C63">
              <w:rPr>
                <w:rFonts w:cstheme="minorHAnsi"/>
                <w:sz w:val="18"/>
                <w:szCs w:val="18"/>
              </w:rPr>
              <w:t>show</w:t>
            </w:r>
            <w:proofErr w:type="gramEnd"/>
            <w:r w:rsidRPr="00C55C63">
              <w:rPr>
                <w:rFonts w:cstheme="minorHAnsi"/>
                <w:sz w:val="18"/>
                <w:szCs w:val="18"/>
              </w:rPr>
              <w:t>, registro en historial y liberación de espacio). CU-04. Glosario: #2 Cita, #7 Agenda médica, #9 No-</w:t>
            </w:r>
            <w:proofErr w:type="gramStart"/>
            <w:r w:rsidRPr="00C55C63">
              <w:rPr>
                <w:rFonts w:cstheme="minorHAnsi"/>
                <w:sz w:val="18"/>
                <w:szCs w:val="18"/>
              </w:rPr>
              <w:t>show</w:t>
            </w:r>
            <w:proofErr w:type="gramEnd"/>
            <w:r w:rsidRPr="00C55C63">
              <w:rPr>
                <w:rFonts w:cstheme="minorHAnsi"/>
                <w:sz w:val="18"/>
                <w:szCs w:val="18"/>
              </w:rPr>
              <w:t>, #17 Historial de citas.</w:t>
            </w:r>
          </w:p>
        </w:tc>
      </w:tr>
    </w:tbl>
    <w:p w14:paraId="6D117EEE" w14:textId="77777777" w:rsidR="001A0A45" w:rsidRDefault="001A0A45" w:rsidP="001A0A45">
      <w:pPr>
        <w:spacing w:after="20"/>
      </w:pPr>
    </w:p>
    <w:p w14:paraId="0E2053A4" w14:textId="77777777" w:rsidR="001A0A45" w:rsidRPr="002125C5" w:rsidRDefault="001A0A45" w:rsidP="002125C5"/>
    <w:sectPr w:rsidR="001A0A45" w:rsidRPr="002125C5" w:rsidSect="00DE1F3F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42ECA" w14:textId="77777777" w:rsidR="00C01A54" w:rsidRDefault="00C01A54" w:rsidP="00685253">
      <w:pPr>
        <w:spacing w:after="0" w:line="240" w:lineRule="auto"/>
      </w:pPr>
      <w:r>
        <w:separator/>
      </w:r>
    </w:p>
  </w:endnote>
  <w:endnote w:type="continuationSeparator" w:id="0">
    <w:p w14:paraId="07CB9603" w14:textId="77777777" w:rsidR="00C01A54" w:rsidRDefault="00C01A54" w:rsidP="00685253">
      <w:pPr>
        <w:spacing w:after="0" w:line="240" w:lineRule="auto"/>
      </w:pPr>
      <w:r>
        <w:continuationSeparator/>
      </w:r>
    </w:p>
  </w:endnote>
  <w:endnote w:type="continuationNotice" w:id="1">
    <w:p w14:paraId="385DC946" w14:textId="77777777" w:rsidR="00C01A54" w:rsidRDefault="00C01A5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35"/>
      <w:gridCol w:w="2835"/>
      <w:gridCol w:w="2835"/>
    </w:tblGrid>
    <w:tr w:rsidR="01005E6B" w14:paraId="42E34346" w14:textId="77777777" w:rsidTr="01005E6B">
      <w:tc>
        <w:tcPr>
          <w:tcW w:w="2835" w:type="dxa"/>
        </w:tcPr>
        <w:p w14:paraId="1076021F" w14:textId="7E39E55E" w:rsidR="01005E6B" w:rsidRDefault="01005E6B" w:rsidP="01005E6B">
          <w:pPr>
            <w:pStyle w:val="Encabezado"/>
            <w:ind w:left="-115"/>
          </w:pPr>
        </w:p>
      </w:tc>
      <w:tc>
        <w:tcPr>
          <w:tcW w:w="2835" w:type="dxa"/>
        </w:tcPr>
        <w:p w14:paraId="1A184D06" w14:textId="043840EB" w:rsidR="01005E6B" w:rsidRDefault="01005E6B" w:rsidP="01005E6B">
          <w:pPr>
            <w:pStyle w:val="Encabezado"/>
            <w:jc w:val="center"/>
          </w:pPr>
        </w:p>
      </w:tc>
      <w:tc>
        <w:tcPr>
          <w:tcW w:w="2835" w:type="dxa"/>
        </w:tcPr>
        <w:p w14:paraId="6A85749D" w14:textId="47B790B3" w:rsidR="01005E6B" w:rsidRDefault="01005E6B" w:rsidP="01005E6B">
          <w:pPr>
            <w:pStyle w:val="Encabezado"/>
            <w:ind w:right="-115"/>
            <w:jc w:val="right"/>
          </w:pPr>
        </w:p>
      </w:tc>
    </w:tr>
  </w:tbl>
  <w:p w14:paraId="0E2B38C6" w14:textId="0AF0FD25" w:rsidR="01005E6B" w:rsidRDefault="00851AE7" w:rsidP="01005E6B">
    <w:pPr>
      <w:pStyle w:val="Piedepgina"/>
    </w:pPr>
    <w:r>
      <w:tab/>
    </w:r>
    <w:r>
      <w:tab/>
    </w:r>
    <w:r>
      <w:rPr>
        <w:noProof/>
      </w:rPr>
      <w:drawing>
        <wp:inline distT="0" distB="0" distL="0" distR="0" wp14:anchorId="5F5A6B1F" wp14:editId="10170460">
          <wp:extent cx="768350" cy="381242"/>
          <wp:effectExtent l="0" t="0" r="0" b="0"/>
          <wp:docPr id="4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3142" cy="398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8534D" w14:textId="77777777" w:rsidR="00C01A54" w:rsidRDefault="00C01A54" w:rsidP="00685253">
      <w:pPr>
        <w:spacing w:after="0" w:line="240" w:lineRule="auto"/>
      </w:pPr>
      <w:r>
        <w:separator/>
      </w:r>
    </w:p>
  </w:footnote>
  <w:footnote w:type="continuationSeparator" w:id="0">
    <w:p w14:paraId="0960BCC8" w14:textId="77777777" w:rsidR="00C01A54" w:rsidRDefault="00C01A54" w:rsidP="00685253">
      <w:pPr>
        <w:spacing w:after="0" w:line="240" w:lineRule="auto"/>
      </w:pPr>
      <w:r>
        <w:continuationSeparator/>
      </w:r>
    </w:p>
  </w:footnote>
  <w:footnote w:type="continuationNotice" w:id="1">
    <w:p w14:paraId="5A8C6584" w14:textId="77777777" w:rsidR="00C01A54" w:rsidRDefault="00C01A5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76B0" w14:textId="6D09655A" w:rsidR="00685253" w:rsidRDefault="009C2646" w:rsidP="1FF355A0">
    <w:pPr>
      <w:pStyle w:val="Encabezado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1FB99A39" wp14:editId="5F4B43BA">
          <wp:extent cx="1035050" cy="490641"/>
          <wp:effectExtent l="0" t="0" r="0" b="5080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2967" cy="503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2993E804" wp14:editId="4A36AB1D">
          <wp:extent cx="851647" cy="482600"/>
          <wp:effectExtent l="0" t="0" r="0" b="0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8332" cy="4977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</w:p>
  <w:p w14:paraId="3B0C10E2" w14:textId="0E178434" w:rsidR="00685253" w:rsidRPr="001E024A" w:rsidRDefault="003A2CCD" w:rsidP="003A2CCD">
    <w:pPr>
      <w:pStyle w:val="Encabezado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sz w:val="20"/>
        <w:szCs w:val="20"/>
      </w:rPr>
      <w:t xml:space="preserve">Equipo 1                                                                                                                              </w:t>
    </w:r>
    <w:r w:rsidR="00685253">
      <w:rPr>
        <w:rFonts w:ascii="Arial Unicode MS" w:eastAsia="Arial Unicode MS" w:hAnsi="Arial Unicode MS" w:cs="Arial Unicode MS"/>
        <w:sz w:val="20"/>
        <w:szCs w:val="20"/>
      </w:rPr>
      <w:t>Reporte</w:t>
    </w:r>
  </w:p>
  <w:p w14:paraId="58F08ADD" w14:textId="77777777" w:rsidR="00685253" w:rsidRDefault="0068525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8A0"/>
    <w:multiLevelType w:val="multilevel"/>
    <w:tmpl w:val="8C0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4060"/>
    <w:multiLevelType w:val="multilevel"/>
    <w:tmpl w:val="CB2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D34BB"/>
    <w:multiLevelType w:val="multilevel"/>
    <w:tmpl w:val="50B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8333A"/>
    <w:multiLevelType w:val="multilevel"/>
    <w:tmpl w:val="C72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F7D91"/>
    <w:multiLevelType w:val="hybridMultilevel"/>
    <w:tmpl w:val="6C208888"/>
    <w:lvl w:ilvl="0" w:tplc="B546F2F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84780"/>
    <w:multiLevelType w:val="multilevel"/>
    <w:tmpl w:val="84A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0608B"/>
    <w:multiLevelType w:val="multilevel"/>
    <w:tmpl w:val="E8D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A08FF"/>
    <w:multiLevelType w:val="hybridMultilevel"/>
    <w:tmpl w:val="4322E880"/>
    <w:lvl w:ilvl="0" w:tplc="1C7E8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FD7863"/>
    <w:multiLevelType w:val="multilevel"/>
    <w:tmpl w:val="5CE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030742">
    <w:abstractNumId w:val="7"/>
  </w:num>
  <w:num w:numId="2" w16cid:durableId="206913873">
    <w:abstractNumId w:val="6"/>
  </w:num>
  <w:num w:numId="3" w16cid:durableId="2055736322">
    <w:abstractNumId w:val="2"/>
  </w:num>
  <w:num w:numId="4" w16cid:durableId="1575237468">
    <w:abstractNumId w:val="5"/>
  </w:num>
  <w:num w:numId="5" w16cid:durableId="1931742875">
    <w:abstractNumId w:val="0"/>
  </w:num>
  <w:num w:numId="6" w16cid:durableId="143202984">
    <w:abstractNumId w:val="8"/>
  </w:num>
  <w:num w:numId="7" w16cid:durableId="1580209689">
    <w:abstractNumId w:val="3"/>
  </w:num>
  <w:num w:numId="8" w16cid:durableId="2048723477">
    <w:abstractNumId w:val="1"/>
  </w:num>
  <w:num w:numId="9" w16cid:durableId="5327637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253"/>
    <w:rsid w:val="000272EB"/>
    <w:rsid w:val="00094617"/>
    <w:rsid w:val="000D596E"/>
    <w:rsid w:val="000F5991"/>
    <w:rsid w:val="001467A8"/>
    <w:rsid w:val="00147CA4"/>
    <w:rsid w:val="00161EC1"/>
    <w:rsid w:val="00196BEB"/>
    <w:rsid w:val="001A0A45"/>
    <w:rsid w:val="001C27DC"/>
    <w:rsid w:val="001C6840"/>
    <w:rsid w:val="001E0A65"/>
    <w:rsid w:val="001E6620"/>
    <w:rsid w:val="002125C5"/>
    <w:rsid w:val="003427B9"/>
    <w:rsid w:val="0037473A"/>
    <w:rsid w:val="00394F9B"/>
    <w:rsid w:val="00397D03"/>
    <w:rsid w:val="003A2CCD"/>
    <w:rsid w:val="003B265B"/>
    <w:rsid w:val="003D29A4"/>
    <w:rsid w:val="003E0B33"/>
    <w:rsid w:val="003F4FC2"/>
    <w:rsid w:val="00417427"/>
    <w:rsid w:val="00463962"/>
    <w:rsid w:val="00472B17"/>
    <w:rsid w:val="00474F79"/>
    <w:rsid w:val="00510153"/>
    <w:rsid w:val="00560FB4"/>
    <w:rsid w:val="005A6A71"/>
    <w:rsid w:val="005B1484"/>
    <w:rsid w:val="005C2BD3"/>
    <w:rsid w:val="00610808"/>
    <w:rsid w:val="00650E3B"/>
    <w:rsid w:val="006744E8"/>
    <w:rsid w:val="00677DC3"/>
    <w:rsid w:val="00685253"/>
    <w:rsid w:val="006D3C31"/>
    <w:rsid w:val="00701A1A"/>
    <w:rsid w:val="00706B71"/>
    <w:rsid w:val="00745F55"/>
    <w:rsid w:val="007611E9"/>
    <w:rsid w:val="00832977"/>
    <w:rsid w:val="00834490"/>
    <w:rsid w:val="00845B51"/>
    <w:rsid w:val="00851AE7"/>
    <w:rsid w:val="00874607"/>
    <w:rsid w:val="00881A17"/>
    <w:rsid w:val="0091071B"/>
    <w:rsid w:val="00927322"/>
    <w:rsid w:val="009C2646"/>
    <w:rsid w:val="009E6BCF"/>
    <w:rsid w:val="00A10177"/>
    <w:rsid w:val="00A30076"/>
    <w:rsid w:val="00A8760B"/>
    <w:rsid w:val="00AA51FF"/>
    <w:rsid w:val="00AA6238"/>
    <w:rsid w:val="00AB3559"/>
    <w:rsid w:val="00AC6A01"/>
    <w:rsid w:val="00B05939"/>
    <w:rsid w:val="00B10AC9"/>
    <w:rsid w:val="00BD4174"/>
    <w:rsid w:val="00BF5FA8"/>
    <w:rsid w:val="00C01A54"/>
    <w:rsid w:val="00C16F56"/>
    <w:rsid w:val="00C36405"/>
    <w:rsid w:val="00C55C63"/>
    <w:rsid w:val="00CA0F0C"/>
    <w:rsid w:val="00D00985"/>
    <w:rsid w:val="00DD7087"/>
    <w:rsid w:val="00DE1F3F"/>
    <w:rsid w:val="00E0171B"/>
    <w:rsid w:val="00E33F29"/>
    <w:rsid w:val="00E35408"/>
    <w:rsid w:val="00E378EC"/>
    <w:rsid w:val="00E53AC9"/>
    <w:rsid w:val="00E95675"/>
    <w:rsid w:val="00EC1C8A"/>
    <w:rsid w:val="00F930E3"/>
    <w:rsid w:val="00FA0B47"/>
    <w:rsid w:val="01005E6B"/>
    <w:rsid w:val="02430DCF"/>
    <w:rsid w:val="0D613DB4"/>
    <w:rsid w:val="142E5E05"/>
    <w:rsid w:val="1EF387BB"/>
    <w:rsid w:val="1FF355A0"/>
    <w:rsid w:val="255DC1A1"/>
    <w:rsid w:val="26436C08"/>
    <w:rsid w:val="4231BFEB"/>
    <w:rsid w:val="5C70FBF5"/>
    <w:rsid w:val="66B26EEC"/>
    <w:rsid w:val="7458942A"/>
    <w:rsid w:val="7D93B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264CE"/>
  <w15:chartTrackingRefBased/>
  <w15:docId w15:val="{B46194EF-4EB6-4E2D-9F1F-E2026445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6F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26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0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5253"/>
  </w:style>
  <w:style w:type="paragraph" w:styleId="Piedepgina">
    <w:name w:val="footer"/>
    <w:basedOn w:val="Normal"/>
    <w:link w:val="PiedepginaCar"/>
    <w:uiPriority w:val="99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253"/>
  </w:style>
  <w:style w:type="paragraph" w:styleId="Ttulo">
    <w:name w:val="Title"/>
    <w:basedOn w:val="Normal"/>
    <w:next w:val="Normal"/>
    <w:link w:val="TtuloCar"/>
    <w:uiPriority w:val="10"/>
    <w:qFormat/>
    <w:rsid w:val="0068525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68525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paragraph" w:styleId="Bibliografa">
    <w:name w:val="Bibliography"/>
    <w:basedOn w:val="Normal"/>
    <w:next w:val="Normal"/>
    <w:uiPriority w:val="37"/>
    <w:unhideWhenUsed/>
    <w:rsid w:val="00874607"/>
  </w:style>
  <w:style w:type="paragraph" w:customStyle="1" w:styleId="style1">
    <w:name w:val="style1"/>
    <w:basedOn w:val="Normal"/>
    <w:rsid w:val="003E0B33"/>
    <w:pPr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  <w:lang w:eastAsia="es-ES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uerte">
    <w:name w:val="Strong"/>
    <w:basedOn w:val="Fuentedeprrafopredeter"/>
    <w:uiPriority w:val="22"/>
    <w:qFormat/>
    <w:rsid w:val="00701A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1A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MX" w:eastAsia="ja-JP"/>
    </w:rPr>
  </w:style>
  <w:style w:type="character" w:customStyle="1" w:styleId="Ttulo1Car">
    <w:name w:val="Título 1 Car"/>
    <w:basedOn w:val="Fuentedeprrafopredeter"/>
    <w:link w:val="Ttulo1"/>
    <w:uiPriority w:val="9"/>
    <w:rsid w:val="00C16F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B26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0E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3A2CCD"/>
    <w:pPr>
      <w:ind w:left="720"/>
      <w:contextualSpacing/>
    </w:pPr>
  </w:style>
  <w:style w:type="paragraph" w:customStyle="1" w:styleId="AdrHeading">
    <w:name w:val="AdrHeading"/>
    <w:rsid w:val="001A0A45"/>
    <w:pPr>
      <w:spacing w:before="240" w:after="100" w:line="276" w:lineRule="auto"/>
    </w:pPr>
    <w:rPr>
      <w:rFonts w:ascii="Arial" w:eastAsiaTheme="minorEastAsia" w:hAnsi="Arial"/>
      <w:b/>
      <w:color w:val="2067A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154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0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688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0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7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968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5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251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4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955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1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337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2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736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7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egoe UI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Pat14</b:Tag>
    <b:SourceType>BookSection</b:SourceType>
    <b:Guid>{0E55E653-A796-4A57-9562-CC6923A93196}</b:Guid>
    <b:Title>COMPUTER ORGANIZATION AND DESIGN</b:Title>
    <b:Year>2014</b:Year>
    <b:Author>
      <b: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Author>
      <b:Book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BookAuthor>
    </b:Author>
    <b:BookTitle>COMPUTER ORGANIZATION AND DESIGN: THE HARDWARE/SOFTWARE INTERFACE</b:BookTitle>
    <b:Pages>524-531</b:Pages>
    <b:City>Oxford</b:City>
    <b:Publisher>ELSEVIER</b:Publisher>
    <b:YearAccessed>2016</b:YearAccessed>
    <b:MonthAccessed>noviembre</b:MonthAccessed>
    <b:DayAccessed>1</b:DayAccessed>
    <b:RefOrder>1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2524C92380A249BA3FE156D3F5AAB9" ma:contentTypeVersion="0" ma:contentTypeDescription="Crear nuevo documento." ma:contentTypeScope="" ma:versionID="d9b7e7d27a285d71dcc926da37f79b5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7F9DAF-4AF9-4D0C-8926-3E168208C0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4340AF-31B0-430A-B300-DE73E9C057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786034B-87C8-0A4C-9F85-FB6696FED8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B5A2FB-642F-4357-8616-A2A22DCDE1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1092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Montes de Oca</dc:creator>
  <cp:keywords/>
  <dc:description/>
  <cp:lastModifiedBy>Danna Sarai Rodriguez Ortiz</cp:lastModifiedBy>
  <cp:revision>5</cp:revision>
  <cp:lastPrinted>2026-10-16T02:54:00Z</cp:lastPrinted>
  <dcterms:created xsi:type="dcterms:W3CDTF">2026-10-16T03:10:00Z</dcterms:created>
  <dcterms:modified xsi:type="dcterms:W3CDTF">2026-10-16T05:58:00Z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0x010100032524C92380A249BA3FE156D3F5AAB9</vt:lpwstr>
  </property>
</Properties>
</file>