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29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2382"/>
        <w:gridCol w:w="2437"/>
      </w:tblGrid>
      <w:tr w:rsidR="00C73F8D" w:rsidRPr="00AB4C0E" w14:paraId="27871E17" w14:textId="77777777" w:rsidTr="00C73F8D">
        <w:trPr>
          <w:trHeight w:val="458"/>
        </w:trPr>
        <w:tc>
          <w:tcPr>
            <w:tcW w:w="6630" w:type="dxa"/>
            <w:gridSpan w:val="2"/>
          </w:tcPr>
          <w:p w14:paraId="1ABFE1A9" w14:textId="77777777" w:rsidR="00C73F8D" w:rsidRPr="00AB4C0E" w:rsidRDefault="00C73F8D" w:rsidP="00C73F8D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Hernández Silva Roberto Jaziel</w:t>
            </w:r>
          </w:p>
        </w:tc>
        <w:tc>
          <w:tcPr>
            <w:tcW w:w="2437" w:type="dxa"/>
          </w:tcPr>
          <w:p w14:paraId="4E40D062" w14:textId="77777777" w:rsidR="00C73F8D" w:rsidRPr="00AB4C0E" w:rsidRDefault="00C73F8D" w:rsidP="00C73F8D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1918436</w:t>
            </w:r>
          </w:p>
        </w:tc>
      </w:tr>
      <w:tr w:rsidR="00C73F8D" w:rsidRPr="00AB4C0E" w14:paraId="384F6F61" w14:textId="77777777" w:rsidTr="00C73F8D">
        <w:trPr>
          <w:trHeight w:val="458"/>
        </w:trPr>
        <w:tc>
          <w:tcPr>
            <w:tcW w:w="6630" w:type="dxa"/>
            <w:gridSpan w:val="2"/>
          </w:tcPr>
          <w:p w14:paraId="059A0DB5" w14:textId="77777777" w:rsidR="00C73F8D" w:rsidRPr="02430DCF" w:rsidRDefault="00C73F8D" w:rsidP="00C73F8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Martínez Álvarez Alejandro</w:t>
            </w:r>
          </w:p>
        </w:tc>
        <w:tc>
          <w:tcPr>
            <w:tcW w:w="2437" w:type="dxa"/>
          </w:tcPr>
          <w:p w14:paraId="020C98D2" w14:textId="77777777" w:rsidR="00C73F8D" w:rsidRPr="02430DCF" w:rsidRDefault="00C73F8D" w:rsidP="00C73F8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2052641</w:t>
            </w:r>
          </w:p>
        </w:tc>
      </w:tr>
      <w:tr w:rsidR="00C73F8D" w:rsidRPr="00AB4C0E" w14:paraId="62DE5627" w14:textId="77777777" w:rsidTr="00C73F8D">
        <w:trPr>
          <w:trHeight w:val="458"/>
        </w:trPr>
        <w:tc>
          <w:tcPr>
            <w:tcW w:w="6630" w:type="dxa"/>
            <w:gridSpan w:val="2"/>
          </w:tcPr>
          <w:p w14:paraId="5A70B3D5" w14:textId="77777777" w:rsidR="00C73F8D" w:rsidRPr="02430DCF" w:rsidRDefault="00C73F8D" w:rsidP="00C73F8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Rodríguez Ortiz Danna Saraí</w:t>
            </w:r>
          </w:p>
        </w:tc>
        <w:tc>
          <w:tcPr>
            <w:tcW w:w="2437" w:type="dxa"/>
          </w:tcPr>
          <w:p w14:paraId="30AFC9D2" w14:textId="77777777" w:rsidR="00C73F8D" w:rsidRPr="02430DCF" w:rsidRDefault="00C73F8D" w:rsidP="00C73F8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2060308</w:t>
            </w:r>
          </w:p>
        </w:tc>
      </w:tr>
      <w:tr w:rsidR="00C73F8D" w:rsidRPr="00AB4C0E" w14:paraId="29E9A49C" w14:textId="77777777" w:rsidTr="00C73F8D">
        <w:trPr>
          <w:trHeight w:val="222"/>
        </w:trPr>
        <w:tc>
          <w:tcPr>
            <w:tcW w:w="4248" w:type="dxa"/>
          </w:tcPr>
          <w:p w14:paraId="069C0058" w14:textId="77777777" w:rsidR="00C73F8D" w:rsidRPr="007D6318" w:rsidRDefault="00C73F8D" w:rsidP="00C73F8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Componentes de Lógica de Negocio</w:t>
            </w:r>
          </w:p>
        </w:tc>
        <w:tc>
          <w:tcPr>
            <w:tcW w:w="4819" w:type="dxa"/>
            <w:gridSpan w:val="2"/>
          </w:tcPr>
          <w:p w14:paraId="29C5F235" w14:textId="77777777" w:rsidR="00C73F8D" w:rsidRPr="00AB4C0E" w:rsidRDefault="00C73F8D" w:rsidP="00C73F8D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C73F8D" w:rsidRPr="00AB4C0E" w14:paraId="4A6B9876" w14:textId="77777777" w:rsidTr="00C73F8D">
        <w:trPr>
          <w:trHeight w:val="121"/>
        </w:trPr>
        <w:tc>
          <w:tcPr>
            <w:tcW w:w="4248" w:type="dxa"/>
          </w:tcPr>
          <w:p w14:paraId="035CC7D9" w14:textId="77777777" w:rsidR="00C73F8D" w:rsidRPr="00AB4C0E" w:rsidRDefault="00C73F8D" w:rsidP="00C73F8D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3 </w:t>
            </w:r>
          </w:p>
        </w:tc>
        <w:tc>
          <w:tcPr>
            <w:tcW w:w="4819" w:type="dxa"/>
            <w:gridSpan w:val="2"/>
          </w:tcPr>
          <w:p w14:paraId="196B74C6" w14:textId="3E7CD882" w:rsidR="00C73F8D" w:rsidRPr="00AB4C0E" w:rsidRDefault="00C73F8D" w:rsidP="00C73F8D">
            <w:pPr>
              <w:spacing w:line="360" w:lineRule="auto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 w:rsidRPr="003A2CCD">
              <w:t xml:space="preserve"> </w:t>
            </w:r>
            <w:r w:rsidRPr="003A2CCD">
              <w:rPr>
                <w:rFonts w:ascii="Arial" w:hAnsi="Arial" w:cs="Arial"/>
              </w:rPr>
              <w:t>Diseño arquitectural del sistema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C73F8D" w:rsidRPr="00AB4C0E" w14:paraId="4224BCCE" w14:textId="77777777" w:rsidTr="00C73F8D">
        <w:trPr>
          <w:trHeight w:val="458"/>
        </w:trPr>
        <w:tc>
          <w:tcPr>
            <w:tcW w:w="9067" w:type="dxa"/>
            <w:gridSpan w:val="3"/>
          </w:tcPr>
          <w:p w14:paraId="1CC4BA1D" w14:textId="77777777" w:rsidR="00C73F8D" w:rsidRPr="00AB4C0E" w:rsidRDefault="00C73F8D" w:rsidP="00C73F8D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16/10/2026</w:t>
            </w:r>
          </w:p>
        </w:tc>
      </w:tr>
      <w:tr w:rsidR="00C73F8D" w:rsidRPr="00AB4C0E" w14:paraId="6283DC54" w14:textId="77777777" w:rsidTr="00C73F8D">
        <w:trPr>
          <w:trHeight w:val="938"/>
        </w:trPr>
        <w:tc>
          <w:tcPr>
            <w:tcW w:w="9067" w:type="dxa"/>
            <w:gridSpan w:val="3"/>
          </w:tcPr>
          <w:p w14:paraId="166C159D" w14:textId="77777777" w:rsidR="00C73F8D" w:rsidRDefault="00C73F8D" w:rsidP="00C73F8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  <w:p w14:paraId="4B85D54B" w14:textId="77777777" w:rsidR="00C73F8D" w:rsidRPr="001C27DC" w:rsidRDefault="00C73F8D" w:rsidP="00C73F8D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</w:rPr>
            </w:pPr>
            <w:r w:rsidRPr="003A2CCD">
              <w:rPr>
                <w:rFonts w:ascii="Arial" w:hAnsi="Arial" w:cs="Arial"/>
              </w:rPr>
              <w:t xml:space="preserve">Kappey, C., </w:t>
            </w:r>
            <w:proofErr w:type="spellStart"/>
            <w:r w:rsidRPr="003A2CCD">
              <w:rPr>
                <w:rFonts w:ascii="Arial" w:hAnsi="Arial" w:cs="Arial"/>
              </w:rPr>
              <w:t>Goby</w:t>
            </w:r>
            <w:proofErr w:type="spellEnd"/>
            <w:r w:rsidRPr="003A2CCD">
              <w:rPr>
                <w:rFonts w:ascii="Arial" w:hAnsi="Arial" w:cs="Arial"/>
              </w:rPr>
              <w:t xml:space="preserve">, D., &amp; Kunce, D. (2025, 20 de marzo). </w:t>
            </w:r>
            <w:proofErr w:type="gramStart"/>
            <w:r w:rsidRPr="003A2CCD">
              <w:rPr>
                <w:rFonts w:ascii="Arial" w:hAnsi="Arial" w:cs="Arial"/>
                <w:i/>
                <w:iCs/>
              </w:rPr>
              <w:t>Master</w:t>
            </w:r>
            <w:proofErr w:type="gram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architecture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decision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records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(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ADRs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): Best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practices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for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effective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A2CCD">
              <w:rPr>
                <w:rFonts w:ascii="Arial" w:hAnsi="Arial" w:cs="Arial"/>
                <w:i/>
                <w:iCs/>
              </w:rPr>
              <w:t>decision-making</w:t>
            </w:r>
            <w:proofErr w:type="spellEnd"/>
            <w:r w:rsidRPr="003A2CCD">
              <w:rPr>
                <w:rFonts w:ascii="Arial" w:hAnsi="Arial" w:cs="Arial"/>
                <w:i/>
                <w:iCs/>
              </w:rPr>
              <w:t>.</w:t>
            </w:r>
          </w:p>
          <w:p w14:paraId="68546CFE" w14:textId="77777777" w:rsidR="00C73F8D" w:rsidRDefault="00C73F8D" w:rsidP="00C73F8D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Unidad 2. </w:t>
            </w:r>
            <w:proofErr w:type="spellStart"/>
            <w:r w:rsidRPr="003A2CCD">
              <w:rPr>
                <w:rFonts w:ascii="Arial" w:hAnsi="Arial" w:cs="Arial"/>
              </w:rPr>
              <w:t>MediNova</w:t>
            </w:r>
            <w:proofErr w:type="spellEnd"/>
            <w:r w:rsidRPr="003A2CCD">
              <w:rPr>
                <w:rFonts w:ascii="Arial" w:hAnsi="Arial" w:cs="Arial"/>
              </w:rPr>
              <w:t>: Documento de requerimientos de negocio (BRD)</w:t>
            </w:r>
            <w:r>
              <w:rPr>
                <w:rFonts w:ascii="Arial" w:hAnsi="Arial" w:cs="Arial"/>
              </w:rPr>
              <w:t>.</w:t>
            </w:r>
          </w:p>
          <w:p w14:paraId="09E648CF" w14:textId="77777777" w:rsidR="00C73F8D" w:rsidRPr="001C27DC" w:rsidRDefault="00C73F8D" w:rsidP="00C73F8D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Unidad 2. </w:t>
            </w:r>
            <w:r w:rsidRPr="003A2CCD">
              <w:t xml:space="preserve"> </w:t>
            </w:r>
            <w:proofErr w:type="spellStart"/>
            <w:r w:rsidRPr="003A2CCD">
              <w:rPr>
                <w:rFonts w:ascii="Arial" w:hAnsi="Arial" w:cs="Arial"/>
              </w:rPr>
              <w:t>MediNova</w:t>
            </w:r>
            <w:proofErr w:type="spellEnd"/>
            <w:r w:rsidRPr="003A2CCD">
              <w:rPr>
                <w:rFonts w:ascii="Arial" w:hAnsi="Arial" w:cs="Arial"/>
              </w:rPr>
              <w:t>: Historias de usuario, escenarios y criterios de aceptación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77A86604" w14:textId="77777777" w:rsidR="00C73F8D" w:rsidRDefault="00C73F8D" w:rsidP="00C73F8D">
      <w:pPr>
        <w:rPr>
          <w:b/>
        </w:rPr>
      </w:pPr>
    </w:p>
    <w:p w14:paraId="125EB00D" w14:textId="77777777" w:rsidR="00C73F8D" w:rsidRPr="001C27DC" w:rsidRDefault="00C73F8D" w:rsidP="00C73F8D">
      <w:pP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s-MX" w:eastAsia="ja-JP"/>
        </w:rPr>
      </w:pPr>
      <w:r w:rsidRPr="001C27D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shd w:val="clear" w:color="auto" w:fill="FFFFFF"/>
          <w:lang w:val="es-MX" w:eastAsia="ja-JP"/>
        </w:rPr>
        <w:t>Objetivo:</w:t>
      </w:r>
    </w:p>
    <w:p w14:paraId="0537C77A" w14:textId="77777777" w:rsidR="00C11668" w:rsidRPr="00C11668" w:rsidRDefault="00C11668" w:rsidP="00C11668">
      <w:pPr>
        <w:spacing w:after="140"/>
        <w:rPr>
          <w:rFonts w:ascii="Arial" w:hAnsi="Arial" w:cs="Arial"/>
          <w:sz w:val="32"/>
          <w:szCs w:val="32"/>
        </w:rPr>
      </w:pPr>
      <w:r w:rsidRPr="00C11668">
        <w:rPr>
          <w:rFonts w:ascii="Arial" w:hAnsi="Arial" w:cs="Arial"/>
          <w:sz w:val="24"/>
          <w:szCs w:val="32"/>
        </w:rPr>
        <w:t xml:space="preserve">Registrar las principales consultas y correcciones realizadas con apoyo de inteligencia artificial durante el diseño de la arquitectura de </w:t>
      </w:r>
      <w:proofErr w:type="spellStart"/>
      <w:r w:rsidRPr="00C11668">
        <w:rPr>
          <w:rFonts w:ascii="Arial" w:hAnsi="Arial" w:cs="Arial"/>
          <w:sz w:val="24"/>
          <w:szCs w:val="32"/>
        </w:rPr>
        <w:t>MediNova</w:t>
      </w:r>
      <w:proofErr w:type="spellEnd"/>
      <w:r w:rsidRPr="00C11668">
        <w:rPr>
          <w:rFonts w:ascii="Arial" w:hAnsi="Arial" w:cs="Arial"/>
          <w:sz w:val="24"/>
          <w:szCs w:val="32"/>
        </w:rPr>
        <w:t>, mostrando qué información resultó útil, qué errores se detectaron y cómo se ajustaron los entregables a los requisitos de la Unidad 2.</w:t>
      </w:r>
    </w:p>
    <w:p w14:paraId="47D8E823" w14:textId="77777777" w:rsidR="002125C5" w:rsidRDefault="002125C5" w:rsidP="002125C5">
      <w:pPr>
        <w:rPr>
          <w:b/>
          <w:bCs/>
        </w:rPr>
      </w:pPr>
    </w:p>
    <w:p w14:paraId="674E6F63" w14:textId="77777777" w:rsidR="002125C5" w:rsidRDefault="002125C5" w:rsidP="002125C5">
      <w:pPr>
        <w:rPr>
          <w:b/>
          <w:bCs/>
        </w:rPr>
      </w:pPr>
    </w:p>
    <w:p w14:paraId="47141FA7" w14:textId="77777777" w:rsidR="002125C5" w:rsidRDefault="002125C5" w:rsidP="002125C5">
      <w:pPr>
        <w:rPr>
          <w:b/>
          <w:bCs/>
        </w:rPr>
      </w:pPr>
    </w:p>
    <w:p w14:paraId="6A0F18B7" w14:textId="77777777" w:rsidR="002125C5" w:rsidRDefault="002125C5" w:rsidP="002125C5">
      <w:pPr>
        <w:rPr>
          <w:b/>
          <w:bCs/>
        </w:rPr>
      </w:pPr>
    </w:p>
    <w:p w14:paraId="60341685" w14:textId="77777777" w:rsidR="002125C5" w:rsidRDefault="002125C5" w:rsidP="002125C5">
      <w:pPr>
        <w:rPr>
          <w:b/>
          <w:bCs/>
        </w:rPr>
      </w:pPr>
    </w:p>
    <w:p w14:paraId="4950D7B0" w14:textId="77777777" w:rsidR="002125C5" w:rsidRDefault="002125C5" w:rsidP="002125C5">
      <w:pPr>
        <w:rPr>
          <w:b/>
          <w:bCs/>
        </w:rPr>
      </w:pPr>
    </w:p>
    <w:p w14:paraId="39970530" w14:textId="77777777" w:rsidR="00510153" w:rsidRDefault="00510153" w:rsidP="002125C5">
      <w:pPr>
        <w:rPr>
          <w:b/>
          <w:bCs/>
        </w:rPr>
      </w:pPr>
    </w:p>
    <w:p w14:paraId="5C2E627F" w14:textId="77777777" w:rsidR="00510153" w:rsidRDefault="00510153" w:rsidP="002125C5">
      <w:pPr>
        <w:rPr>
          <w:b/>
          <w:bCs/>
        </w:rPr>
      </w:pPr>
    </w:p>
    <w:p w14:paraId="3D6F5FF1" w14:textId="77777777" w:rsidR="002125C5" w:rsidRDefault="002125C5" w:rsidP="002125C5">
      <w:pPr>
        <w:rPr>
          <w:b/>
          <w:bCs/>
        </w:rPr>
      </w:pPr>
    </w:p>
    <w:p w14:paraId="554D6785" w14:textId="03716EE9" w:rsidR="00BD4174" w:rsidRDefault="00BD4174" w:rsidP="002125C5">
      <w:pPr>
        <w:rPr>
          <w:b/>
          <w:bCs/>
        </w:rPr>
      </w:pPr>
    </w:p>
    <w:p w14:paraId="4C23C747" w14:textId="77777777" w:rsidR="00D53F85" w:rsidRPr="00043559" w:rsidRDefault="00D53F85" w:rsidP="00D53F85">
      <w:pPr>
        <w:spacing w:before="40" w:after="100"/>
        <w:rPr>
          <w:rFonts w:asciiTheme="majorHAnsi" w:hAnsiTheme="majorHAnsi" w:cstheme="majorHAnsi"/>
        </w:rPr>
      </w:pPr>
      <w:r w:rsidRPr="00043559">
        <w:rPr>
          <w:rFonts w:asciiTheme="majorHAnsi" w:hAnsiTheme="majorHAnsi" w:cstheme="majorHAnsi"/>
          <w:b/>
        </w:rPr>
        <w:lastRenderedPageBreak/>
        <w:t>Procedimiento:</w:t>
      </w:r>
    </w:p>
    <w:p w14:paraId="13A0C5CA" w14:textId="77777777" w:rsidR="00D53F85" w:rsidRPr="00043559" w:rsidRDefault="00D53F85" w:rsidP="00D53F85">
      <w:pPr>
        <w:pStyle w:val="Ttulo2"/>
      </w:pPr>
      <w:r w:rsidRPr="00043559">
        <w:t>VIBE CODING CON IA · BITÁCORA DE REVISIÓN</w:t>
      </w:r>
    </w:p>
    <w:p w14:paraId="342F9CBA" w14:textId="77777777" w:rsidR="00D53F85" w:rsidRPr="00E2445D" w:rsidRDefault="00D53F85" w:rsidP="002125C5">
      <w:pPr>
        <w:rPr>
          <w:sz w:val="10"/>
          <w:szCs w:val="10"/>
        </w:rPr>
      </w:pPr>
    </w:p>
    <w:p w14:paraId="5E2D7552" w14:textId="77777777" w:rsidR="00C11668" w:rsidRPr="00C11668" w:rsidRDefault="00C11668" w:rsidP="00C11668">
      <w:pPr>
        <w:spacing w:after="140"/>
        <w:rPr>
          <w:rFonts w:cstheme="minorHAnsi"/>
          <w:color w:val="2F5496" w:themeColor="accent5" w:themeShade="BF"/>
          <w:sz w:val="24"/>
          <w:szCs w:val="24"/>
        </w:rPr>
      </w:pPr>
      <w:r w:rsidRPr="00C11668">
        <w:rPr>
          <w:rFonts w:cstheme="minorHAnsi"/>
          <w:color w:val="2F5496" w:themeColor="accent5" w:themeShade="BF"/>
          <w:sz w:val="24"/>
          <w:szCs w:val="24"/>
        </w:rPr>
        <w:t xml:space="preserve">Herramienta utilizada: </w:t>
      </w:r>
      <w:proofErr w:type="spellStart"/>
      <w:r w:rsidRPr="00C11668">
        <w:rPr>
          <w:rFonts w:cstheme="minorHAnsi"/>
          <w:color w:val="2F5496" w:themeColor="accent5" w:themeShade="BF"/>
          <w:sz w:val="24"/>
          <w:szCs w:val="24"/>
        </w:rPr>
        <w:t>ChatGPT</w:t>
      </w:r>
      <w:proofErr w:type="spellEnd"/>
      <w:r w:rsidRPr="00C11668">
        <w:rPr>
          <w:rFonts w:cstheme="minorHAnsi"/>
          <w:color w:val="2F5496" w:themeColor="accent5" w:themeShade="BF"/>
          <w:sz w:val="24"/>
          <w:szCs w:val="24"/>
        </w:rPr>
        <w:t xml:space="preserve"> (</w:t>
      </w:r>
      <w:proofErr w:type="spellStart"/>
      <w:r w:rsidRPr="00C11668">
        <w:rPr>
          <w:rFonts w:cstheme="minorHAnsi"/>
          <w:color w:val="2F5496" w:themeColor="accent5" w:themeShade="BF"/>
          <w:sz w:val="24"/>
          <w:szCs w:val="24"/>
        </w:rPr>
        <w:t>OpenAI</w:t>
      </w:r>
      <w:proofErr w:type="spellEnd"/>
      <w:r w:rsidRPr="00C11668">
        <w:rPr>
          <w:rFonts w:cstheme="minorHAnsi"/>
          <w:color w:val="2F5496" w:themeColor="accent5" w:themeShade="BF"/>
          <w:sz w:val="24"/>
          <w:szCs w:val="24"/>
        </w:rPr>
        <w:t xml:space="preserve">). </w:t>
      </w:r>
    </w:p>
    <w:p w14:paraId="01978E97" w14:textId="7F05728E" w:rsidR="00C11668" w:rsidRPr="00C11668" w:rsidRDefault="00C11668" w:rsidP="00C11668">
      <w:pPr>
        <w:spacing w:after="140"/>
        <w:rPr>
          <w:rFonts w:cstheme="minorHAnsi"/>
          <w:sz w:val="24"/>
          <w:szCs w:val="24"/>
        </w:rPr>
      </w:pPr>
      <w:r w:rsidRPr="00C11668">
        <w:rPr>
          <w:rFonts w:cstheme="minorHAnsi"/>
          <w:sz w:val="24"/>
          <w:szCs w:val="24"/>
        </w:rPr>
        <w:t xml:space="preserve">Las solicitudes están resumidas; no son transcripciones textuales. Se registran las revisiones que pueden identificarse en el trabajo realizado para </w:t>
      </w:r>
      <w:proofErr w:type="spellStart"/>
      <w:r w:rsidRPr="00C11668">
        <w:rPr>
          <w:rFonts w:cstheme="minorHAnsi"/>
          <w:sz w:val="24"/>
          <w:szCs w:val="24"/>
        </w:rPr>
        <w:t>MediNova</w:t>
      </w:r>
      <w:proofErr w:type="spellEnd"/>
      <w:r w:rsidRPr="00C11668">
        <w:rPr>
          <w:rFonts w:cstheme="minorHAnsi"/>
          <w:sz w:val="24"/>
          <w:szCs w:val="24"/>
        </w:rPr>
        <w:t>, sin atribuir a los demás integrantes decisiones que no hayan confirmado.</w:t>
      </w:r>
    </w:p>
    <w:p w14:paraId="2E45DD4C" w14:textId="77777777" w:rsidR="00C11668" w:rsidRPr="00C11668" w:rsidRDefault="00C11668" w:rsidP="00C11668">
      <w:pPr>
        <w:spacing w:after="200"/>
        <w:rPr>
          <w:rFonts w:cstheme="minorHAnsi"/>
          <w:sz w:val="24"/>
          <w:szCs w:val="24"/>
        </w:rPr>
      </w:pPr>
      <w:r w:rsidRPr="00C11668">
        <w:rPr>
          <w:rFonts w:cstheme="minorHAnsi"/>
          <w:sz w:val="24"/>
          <w:szCs w:val="24"/>
        </w:rPr>
        <w:t xml:space="preserve">Se utilizaron como base el BRD, las </w:t>
      </w:r>
      <w:proofErr w:type="spellStart"/>
      <w:r w:rsidRPr="00C11668">
        <w:rPr>
          <w:rFonts w:cstheme="minorHAnsi"/>
          <w:sz w:val="24"/>
          <w:szCs w:val="24"/>
        </w:rPr>
        <w:t>User</w:t>
      </w:r>
      <w:proofErr w:type="spellEnd"/>
      <w:r w:rsidRPr="00C11668">
        <w:rPr>
          <w:rFonts w:cstheme="minorHAnsi"/>
          <w:sz w:val="24"/>
          <w:szCs w:val="24"/>
        </w:rPr>
        <w:t xml:space="preserve"> </w:t>
      </w:r>
      <w:proofErr w:type="spellStart"/>
      <w:r w:rsidRPr="00C11668">
        <w:rPr>
          <w:rFonts w:cstheme="minorHAnsi"/>
          <w:sz w:val="24"/>
          <w:szCs w:val="24"/>
        </w:rPr>
        <w:t>Stories</w:t>
      </w:r>
      <w:proofErr w:type="spellEnd"/>
      <w:r w:rsidRPr="00C11668">
        <w:rPr>
          <w:rFonts w:cstheme="minorHAnsi"/>
          <w:sz w:val="24"/>
          <w:szCs w:val="24"/>
        </w:rPr>
        <w:t>, el BPMN, el glosario y la guía de la Unidad 3. Los errores corresponden a aspectos que fue necesario corregir durante la elaboración de los documentos y diagramas.</w:t>
      </w:r>
    </w:p>
    <w:tbl>
      <w:tblPr>
        <w:tblW w:w="103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1701"/>
        <w:gridCol w:w="2127"/>
        <w:gridCol w:w="1880"/>
        <w:gridCol w:w="2398"/>
      </w:tblGrid>
      <w:tr w:rsidR="00C11668" w14:paraId="41BB793A" w14:textId="77777777" w:rsidTr="00E2445D">
        <w:trPr>
          <w:cantSplit/>
          <w:tblHeader/>
          <w:jc w:val="center"/>
        </w:trPr>
        <w:tc>
          <w:tcPr>
            <w:tcW w:w="993" w:type="dxa"/>
            <w:shd w:val="clear" w:color="auto" w:fill="538135" w:themeFill="accent6" w:themeFillShade="BF"/>
            <w:tcMar>
              <w:top w:w="100" w:type="dxa"/>
              <w:left w:w="60" w:type="dxa"/>
              <w:bottom w:w="90" w:type="dxa"/>
              <w:right w:w="60" w:type="dxa"/>
            </w:tcMar>
          </w:tcPr>
          <w:p w14:paraId="1F503E20" w14:textId="27770B7F" w:rsidR="00C11668" w:rsidRPr="00C11668" w:rsidRDefault="00C11668" w:rsidP="0075067B">
            <w:pPr>
              <w:jc w:val="center"/>
              <w:rPr>
                <w:b/>
                <w:sz w:val="18"/>
                <w:szCs w:val="28"/>
              </w:rPr>
            </w:pPr>
            <w:proofErr w:type="spellStart"/>
            <w:r w:rsidRPr="00C11668">
              <w:rPr>
                <w:b/>
                <w:color w:val="FFFFFF"/>
                <w:sz w:val="18"/>
                <w:szCs w:val="28"/>
              </w:rPr>
              <w:t>Iter</w:t>
            </w:r>
            <w:r>
              <w:rPr>
                <w:b/>
                <w:color w:val="FFFFFF"/>
                <w:sz w:val="18"/>
                <w:szCs w:val="28"/>
              </w:rPr>
              <w:t>acion</w:t>
            </w:r>
            <w:proofErr w:type="spellEnd"/>
          </w:p>
        </w:tc>
        <w:tc>
          <w:tcPr>
            <w:tcW w:w="1275" w:type="dxa"/>
            <w:shd w:val="clear" w:color="auto" w:fill="538135" w:themeFill="accent6" w:themeFillShade="BF"/>
            <w:tcMar>
              <w:top w:w="100" w:type="dxa"/>
              <w:left w:w="60" w:type="dxa"/>
              <w:bottom w:w="90" w:type="dxa"/>
              <w:right w:w="60" w:type="dxa"/>
            </w:tcMar>
          </w:tcPr>
          <w:p w14:paraId="646C276A" w14:textId="77777777" w:rsidR="00C11668" w:rsidRPr="00C11668" w:rsidRDefault="00C11668" w:rsidP="0075067B">
            <w:pPr>
              <w:jc w:val="center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FFFFFF"/>
                <w:sz w:val="18"/>
                <w:szCs w:val="28"/>
              </w:rPr>
              <w:t>Objetivo</w:t>
            </w:r>
          </w:p>
        </w:tc>
        <w:tc>
          <w:tcPr>
            <w:tcW w:w="1701" w:type="dxa"/>
            <w:shd w:val="clear" w:color="auto" w:fill="538135" w:themeFill="accent6" w:themeFillShade="BF"/>
            <w:tcMar>
              <w:top w:w="100" w:type="dxa"/>
              <w:left w:w="60" w:type="dxa"/>
              <w:bottom w:w="90" w:type="dxa"/>
              <w:right w:w="60" w:type="dxa"/>
            </w:tcMar>
          </w:tcPr>
          <w:p w14:paraId="24310CE3" w14:textId="77777777" w:rsidR="00C11668" w:rsidRPr="00C11668" w:rsidRDefault="00C11668" w:rsidP="0075067B">
            <w:pPr>
              <w:jc w:val="center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FFFFFF"/>
                <w:sz w:val="18"/>
                <w:szCs w:val="28"/>
              </w:rPr>
              <w:t>Solicitud resumida</w:t>
            </w:r>
          </w:p>
        </w:tc>
        <w:tc>
          <w:tcPr>
            <w:tcW w:w="2127" w:type="dxa"/>
            <w:shd w:val="clear" w:color="auto" w:fill="538135" w:themeFill="accent6" w:themeFillShade="BF"/>
            <w:tcMar>
              <w:top w:w="100" w:type="dxa"/>
              <w:left w:w="60" w:type="dxa"/>
              <w:bottom w:w="90" w:type="dxa"/>
              <w:right w:w="60" w:type="dxa"/>
            </w:tcMar>
          </w:tcPr>
          <w:p w14:paraId="08C83237" w14:textId="77777777" w:rsidR="00C11668" w:rsidRPr="00C11668" w:rsidRDefault="00C11668" w:rsidP="0075067B">
            <w:pPr>
              <w:jc w:val="center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FFFFFF"/>
                <w:sz w:val="18"/>
                <w:szCs w:val="28"/>
              </w:rPr>
              <w:t>Respuesta útil</w:t>
            </w:r>
          </w:p>
        </w:tc>
        <w:tc>
          <w:tcPr>
            <w:tcW w:w="1880" w:type="dxa"/>
            <w:shd w:val="clear" w:color="auto" w:fill="538135" w:themeFill="accent6" w:themeFillShade="BF"/>
            <w:tcMar>
              <w:top w:w="100" w:type="dxa"/>
              <w:left w:w="60" w:type="dxa"/>
              <w:bottom w:w="90" w:type="dxa"/>
              <w:right w:w="60" w:type="dxa"/>
            </w:tcMar>
          </w:tcPr>
          <w:p w14:paraId="033B21FB" w14:textId="77777777" w:rsidR="00C11668" w:rsidRPr="00C11668" w:rsidRDefault="00C11668" w:rsidP="0075067B">
            <w:pPr>
              <w:jc w:val="center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FFFFFF"/>
                <w:sz w:val="18"/>
                <w:szCs w:val="28"/>
              </w:rPr>
              <w:t>Error o supuesto</w:t>
            </w:r>
          </w:p>
        </w:tc>
        <w:tc>
          <w:tcPr>
            <w:tcW w:w="2398" w:type="dxa"/>
            <w:shd w:val="clear" w:color="auto" w:fill="538135" w:themeFill="accent6" w:themeFillShade="BF"/>
            <w:tcMar>
              <w:top w:w="100" w:type="dxa"/>
              <w:left w:w="60" w:type="dxa"/>
              <w:bottom w:w="90" w:type="dxa"/>
              <w:right w:w="60" w:type="dxa"/>
            </w:tcMar>
          </w:tcPr>
          <w:p w14:paraId="0E933DEE" w14:textId="77777777" w:rsidR="00C11668" w:rsidRPr="00C11668" w:rsidRDefault="00C11668" w:rsidP="0075067B">
            <w:pPr>
              <w:jc w:val="center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FFFFFF"/>
                <w:sz w:val="18"/>
                <w:szCs w:val="28"/>
              </w:rPr>
              <w:t>Decisión / revisión</w:t>
            </w:r>
          </w:p>
        </w:tc>
      </w:tr>
      <w:tr w:rsidR="00C11668" w14:paraId="64EA8B79" w14:textId="77777777" w:rsidTr="00E2445D">
        <w:trPr>
          <w:cantSplit/>
          <w:jc w:val="center"/>
        </w:trPr>
        <w:tc>
          <w:tcPr>
            <w:tcW w:w="993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0268587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1</w:t>
            </w:r>
          </w:p>
        </w:tc>
        <w:tc>
          <w:tcPr>
            <w:tcW w:w="1275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0DD759D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Organización de la entrega</w:t>
            </w:r>
          </w:p>
        </w:tc>
        <w:tc>
          <w:tcPr>
            <w:tcW w:w="1701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AF6059D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Aclarar si la guía, el informe de arquitectura y el resumen FIME son el mismo documento.</w:t>
            </w:r>
          </w:p>
        </w:tc>
        <w:tc>
          <w:tcPr>
            <w:tcW w:w="2127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B42425C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diferenciaron el desarrollo técnico de las nueve etapas y el reporte final con capturas.</w:t>
            </w:r>
          </w:p>
        </w:tc>
        <w:tc>
          <w:tcPr>
            <w:tcW w:w="1880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7F893AB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Las primeras orientaciones mezclaban un solo informe con dos documentos y causaban duplicación.</w:t>
            </w:r>
          </w:p>
        </w:tc>
        <w:tc>
          <w:tcPr>
            <w:tcW w:w="2398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645F591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estableció trabajar primero el informe de arquitectura y dejar el resumen FIME para el final.</w:t>
            </w:r>
          </w:p>
        </w:tc>
      </w:tr>
      <w:tr w:rsidR="00C11668" w14:paraId="211DA98A" w14:textId="77777777" w:rsidTr="00C11668">
        <w:trPr>
          <w:cantSplit/>
          <w:jc w:val="center"/>
        </w:trPr>
        <w:tc>
          <w:tcPr>
            <w:tcW w:w="9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4F58BF5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2</w:t>
            </w:r>
          </w:p>
        </w:tc>
        <w:tc>
          <w:tcPr>
            <w:tcW w:w="12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B06F82B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Selección de historias</w:t>
            </w:r>
          </w:p>
        </w:tc>
        <w:tc>
          <w:tcPr>
            <w:tcW w:w="170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56B4C02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 xml:space="preserve">Comparar las historias de </w:t>
            </w:r>
            <w:proofErr w:type="spellStart"/>
            <w:r w:rsidRPr="00C11668">
              <w:rPr>
                <w:b/>
                <w:color w:val="1C232B"/>
                <w:sz w:val="18"/>
                <w:szCs w:val="28"/>
              </w:rPr>
              <w:t>MediNova</w:t>
            </w:r>
            <w:proofErr w:type="spellEnd"/>
            <w:r w:rsidRPr="00C11668">
              <w:rPr>
                <w:b/>
                <w:color w:val="1C232B"/>
                <w:sz w:val="18"/>
                <w:szCs w:val="28"/>
              </w:rPr>
              <w:t xml:space="preserve"> con las necesidades del BRD y elegir cinco casos.</w:t>
            </w:r>
          </w:p>
        </w:tc>
        <w:tc>
          <w:tcPr>
            <w:tcW w:w="2127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04FC005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relacionaron historias con agenda, cancelaciones, no-</w:t>
            </w:r>
            <w:proofErr w:type="gramStart"/>
            <w:r w:rsidRPr="00C11668">
              <w:rPr>
                <w:b/>
                <w:color w:val="1C232B"/>
                <w:sz w:val="18"/>
                <w:szCs w:val="28"/>
              </w:rPr>
              <w:t>shows</w:t>
            </w:r>
            <w:proofErr w:type="gramEnd"/>
            <w:r w:rsidRPr="00C11668">
              <w:rPr>
                <w:b/>
                <w:color w:val="1C232B"/>
                <w:sz w:val="18"/>
                <w:szCs w:val="28"/>
              </w:rPr>
              <w:t xml:space="preserve"> y sobrecupo.</w:t>
            </w:r>
          </w:p>
        </w:tc>
        <w:tc>
          <w:tcPr>
            <w:tcW w:w="188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E864ABE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La selección US-02 a US-06 dejaba fuera el control de inasistencias y el sobrecupo.</w:t>
            </w:r>
          </w:p>
        </w:tc>
        <w:tc>
          <w:tcPr>
            <w:tcW w:w="2398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0EE4D71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eligieron US-02, US-03, US-05, US-09 y US-11 para el diseño detallado.</w:t>
            </w:r>
          </w:p>
        </w:tc>
      </w:tr>
      <w:tr w:rsidR="00C11668" w14:paraId="6E9C394D" w14:textId="77777777" w:rsidTr="00E2445D">
        <w:trPr>
          <w:cantSplit/>
          <w:jc w:val="center"/>
        </w:trPr>
        <w:tc>
          <w:tcPr>
            <w:tcW w:w="993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9FDE389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3</w:t>
            </w:r>
          </w:p>
        </w:tc>
        <w:tc>
          <w:tcPr>
            <w:tcW w:w="1275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C0EAE6C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Nombres originales</w:t>
            </w:r>
          </w:p>
        </w:tc>
        <w:tc>
          <w:tcPr>
            <w:tcW w:w="1701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A465328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Revisar si los nombres utilizados correspondían exactamente a las historias y escenarios de la Unidad 2.</w:t>
            </w:r>
          </w:p>
        </w:tc>
        <w:tc>
          <w:tcPr>
            <w:tcW w:w="2127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6F0EAFD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recuperaron los identificadores US y los títulos originales de los escenarios.</w:t>
            </w:r>
          </w:p>
        </w:tc>
        <w:tc>
          <w:tcPr>
            <w:tcW w:w="1880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373D45D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había propuesto “Registrar y confirmar cita” como caso nuevo, sin una historia independiente con ese nombre.</w:t>
            </w:r>
          </w:p>
        </w:tc>
        <w:tc>
          <w:tcPr>
            <w:tcW w:w="2398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DA6AF34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conservaron los nombres originales y se usaron CU-01 a CU-05 solo como referencias para la guía.</w:t>
            </w:r>
          </w:p>
        </w:tc>
      </w:tr>
      <w:tr w:rsidR="00C11668" w14:paraId="6D3636B3" w14:textId="77777777" w:rsidTr="00C11668">
        <w:trPr>
          <w:cantSplit/>
          <w:jc w:val="center"/>
        </w:trPr>
        <w:tc>
          <w:tcPr>
            <w:tcW w:w="9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A4F2FE3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4</w:t>
            </w:r>
          </w:p>
        </w:tc>
        <w:tc>
          <w:tcPr>
            <w:tcW w:w="12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AED0D7A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proofErr w:type="gramStart"/>
            <w:r w:rsidRPr="00C11668">
              <w:rPr>
                <w:b/>
                <w:color w:val="1C232B"/>
                <w:sz w:val="18"/>
                <w:szCs w:val="28"/>
              </w:rPr>
              <w:t>Flujos normal</w:t>
            </w:r>
            <w:proofErr w:type="gramEnd"/>
            <w:r w:rsidRPr="00C11668">
              <w:rPr>
                <w:b/>
                <w:color w:val="1C232B"/>
                <w:sz w:val="18"/>
                <w:szCs w:val="28"/>
              </w:rPr>
              <w:t xml:space="preserve"> y de rechazo</w:t>
            </w:r>
          </w:p>
        </w:tc>
        <w:tc>
          <w:tcPr>
            <w:tcW w:w="170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32ADE76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Comprobar que los casos seleccionados cubrieran un flujo normal y uno con rechazo.</w:t>
            </w:r>
          </w:p>
        </w:tc>
        <w:tc>
          <w:tcPr>
            <w:tcW w:w="2127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EA4FFE1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identificó la consulta de disponibilidad de US-02 y el bloqueo de duplicados de US-03.</w:t>
            </w:r>
          </w:p>
        </w:tc>
        <w:tc>
          <w:tcPr>
            <w:tcW w:w="188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AF91842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La lista de casos por sí sola no mostraba claramente el requisito de ambos tipos de flujo.</w:t>
            </w:r>
          </w:p>
        </w:tc>
        <w:tc>
          <w:tcPr>
            <w:tcW w:w="2398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1246B54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indicó US-02 como normal y US-03 como rechazo, para mantener la misma base en los diagramas.</w:t>
            </w:r>
          </w:p>
        </w:tc>
      </w:tr>
      <w:tr w:rsidR="00C11668" w14:paraId="37BFAC13" w14:textId="77777777" w:rsidTr="00E2445D">
        <w:trPr>
          <w:cantSplit/>
          <w:jc w:val="center"/>
        </w:trPr>
        <w:tc>
          <w:tcPr>
            <w:tcW w:w="993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DD7247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lastRenderedPageBreak/>
              <w:t>5</w:t>
            </w:r>
          </w:p>
        </w:tc>
        <w:tc>
          <w:tcPr>
            <w:tcW w:w="1275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175FFE8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Elección de patrón</w:t>
            </w:r>
          </w:p>
        </w:tc>
        <w:tc>
          <w:tcPr>
            <w:tcW w:w="1701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6E7599F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 xml:space="preserve">Comparar </w:t>
            </w:r>
            <w:proofErr w:type="spellStart"/>
            <w:r w:rsidRPr="00C11668">
              <w:rPr>
                <w:b/>
                <w:color w:val="1C232B"/>
                <w:sz w:val="18"/>
                <w:szCs w:val="28"/>
              </w:rPr>
              <w:t>Transaction</w:t>
            </w:r>
            <w:proofErr w:type="spellEnd"/>
            <w:r w:rsidRPr="00C11668">
              <w:rPr>
                <w:b/>
                <w:color w:val="1C232B"/>
                <w:sz w:val="18"/>
                <w:szCs w:val="28"/>
              </w:rPr>
              <w:t xml:space="preserve"> Script, Table Module y Domain Model con reglas reales de </w:t>
            </w:r>
            <w:proofErr w:type="spellStart"/>
            <w:r w:rsidRPr="00C11668">
              <w:rPr>
                <w:b/>
                <w:color w:val="1C232B"/>
                <w:sz w:val="18"/>
                <w:szCs w:val="28"/>
              </w:rPr>
              <w:t>MediNova</w:t>
            </w:r>
            <w:proofErr w:type="spellEnd"/>
            <w:r w:rsidRPr="00C11668">
              <w:rPr>
                <w:b/>
                <w:color w:val="1C232B"/>
                <w:sz w:val="18"/>
                <w:szCs w:val="28"/>
              </w:rPr>
              <w:t>.</w:t>
            </w:r>
          </w:p>
        </w:tc>
        <w:tc>
          <w:tcPr>
            <w:tcW w:w="2127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46609CC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La comparación mostró que Domain Model facilita repartir responsabilidades y proteger reglas de estado.</w:t>
            </w:r>
          </w:p>
        </w:tc>
        <w:tc>
          <w:tcPr>
            <w:tcW w:w="1880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9929333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Una explicación inicial podía sugerir que elegir Domain Model resolvía por sí solo la concurrencia.</w:t>
            </w:r>
          </w:p>
        </w:tc>
        <w:tc>
          <w:tcPr>
            <w:tcW w:w="2398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725FF4A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propuso Domain Model, aclarando que evitar conflictos simultáneos requiere medidas adicionales de persistencia.</w:t>
            </w:r>
          </w:p>
        </w:tc>
      </w:tr>
      <w:tr w:rsidR="00C11668" w14:paraId="53A3EABD" w14:textId="77777777" w:rsidTr="00C11668">
        <w:trPr>
          <w:cantSplit/>
          <w:jc w:val="center"/>
        </w:trPr>
        <w:tc>
          <w:tcPr>
            <w:tcW w:w="9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F3927D9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6</w:t>
            </w:r>
          </w:p>
        </w:tc>
        <w:tc>
          <w:tcPr>
            <w:tcW w:w="12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EBA8C97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Modelo DDD</w:t>
            </w:r>
          </w:p>
        </w:tc>
        <w:tc>
          <w:tcPr>
            <w:tcW w:w="170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5B0781D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 xml:space="preserve">Identificar entidades, </w:t>
            </w:r>
            <w:proofErr w:type="spellStart"/>
            <w:r w:rsidRPr="00C11668">
              <w:rPr>
                <w:b/>
                <w:color w:val="1C232B"/>
                <w:sz w:val="18"/>
                <w:szCs w:val="28"/>
              </w:rPr>
              <w:t>Value</w:t>
            </w:r>
            <w:proofErr w:type="spellEnd"/>
            <w:r w:rsidRPr="00C11668">
              <w:rPr>
                <w:b/>
                <w:color w:val="1C232B"/>
                <w:sz w:val="18"/>
                <w:szCs w:val="28"/>
              </w:rPr>
              <w:t xml:space="preserve"> </w:t>
            </w:r>
            <w:proofErr w:type="spellStart"/>
            <w:r w:rsidRPr="00C11668">
              <w:rPr>
                <w:b/>
                <w:color w:val="1C232B"/>
                <w:sz w:val="18"/>
                <w:szCs w:val="28"/>
              </w:rPr>
              <w:t>Objects</w:t>
            </w:r>
            <w:proofErr w:type="spellEnd"/>
            <w:r w:rsidRPr="00C11668">
              <w:rPr>
                <w:b/>
                <w:color w:val="1C232B"/>
                <w:sz w:val="18"/>
                <w:szCs w:val="28"/>
              </w:rPr>
              <w:t xml:space="preserve">, </w:t>
            </w:r>
            <w:proofErr w:type="spellStart"/>
            <w:r w:rsidRPr="00C11668">
              <w:rPr>
                <w:b/>
                <w:color w:val="1C232B"/>
                <w:sz w:val="18"/>
                <w:szCs w:val="28"/>
              </w:rPr>
              <w:t>Aggregates</w:t>
            </w:r>
            <w:proofErr w:type="spellEnd"/>
            <w:r w:rsidRPr="00C11668">
              <w:rPr>
                <w:b/>
                <w:color w:val="1C232B"/>
                <w:sz w:val="18"/>
                <w:szCs w:val="28"/>
              </w:rPr>
              <w:t>, servicios y eventos a partir del glosario y de las cinco historias.</w:t>
            </w:r>
          </w:p>
        </w:tc>
        <w:tc>
          <w:tcPr>
            <w:tcW w:w="2127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DFCC2A8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propusieron componentes como Cita, Paciente, Agenda médica y evidencia de cancelación.</w:t>
            </w:r>
          </w:p>
        </w:tc>
        <w:tc>
          <w:tcPr>
            <w:tcW w:w="188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4C483DD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No todas las raíces de agregado o reglas técnicas estaban definidas explícitamente en los documentos de U2.</w:t>
            </w:r>
          </w:p>
        </w:tc>
        <w:tc>
          <w:tcPr>
            <w:tcW w:w="2398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203B783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Los límites dudosos se señalaron como decisiones de diseño y se evitó presentarlos como reglas existentes.</w:t>
            </w:r>
          </w:p>
        </w:tc>
      </w:tr>
      <w:tr w:rsidR="00C11668" w14:paraId="66E1F66C" w14:textId="77777777" w:rsidTr="00E2445D">
        <w:trPr>
          <w:cantSplit/>
          <w:jc w:val="center"/>
        </w:trPr>
        <w:tc>
          <w:tcPr>
            <w:tcW w:w="993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2713FCF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7</w:t>
            </w:r>
          </w:p>
        </w:tc>
        <w:tc>
          <w:tcPr>
            <w:tcW w:w="1275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DA9B84C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Revisión del ZIP</w:t>
            </w:r>
          </w:p>
        </w:tc>
        <w:tc>
          <w:tcPr>
            <w:tcW w:w="1701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101C1E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 xml:space="preserve">Revisar el trabajo inicial de </w:t>
            </w:r>
            <w:proofErr w:type="spellStart"/>
            <w:r w:rsidRPr="00C11668">
              <w:rPr>
                <w:b/>
                <w:color w:val="1C232B"/>
                <w:sz w:val="18"/>
                <w:szCs w:val="28"/>
              </w:rPr>
              <w:t>MediNova</w:t>
            </w:r>
            <w:proofErr w:type="spellEnd"/>
            <w:r w:rsidRPr="00C11668">
              <w:rPr>
                <w:b/>
                <w:color w:val="1C232B"/>
                <w:sz w:val="18"/>
                <w:szCs w:val="28"/>
              </w:rPr>
              <w:t xml:space="preserve"> y detectar entregables incompletos o contradictorios.</w:t>
            </w:r>
          </w:p>
        </w:tc>
        <w:tc>
          <w:tcPr>
            <w:tcW w:w="2127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C1382F1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identificaron diagramas, ADR y secciones del informe ya desarrolladas.</w:t>
            </w:r>
          </w:p>
        </w:tc>
        <w:tc>
          <w:tcPr>
            <w:tcW w:w="1880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3931B71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El informe inicial se concentraba en etapas 2, 3, 4 y 8 y mezclaba funciones ajenas al alcance de cinco historias.</w:t>
            </w:r>
          </w:p>
        </w:tc>
        <w:tc>
          <w:tcPr>
            <w:tcW w:w="2398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D9060E5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preparó una versión del informe con las nueve etapas y se delimitó el diseño principal a las cinco US seleccionadas.</w:t>
            </w:r>
          </w:p>
        </w:tc>
      </w:tr>
      <w:tr w:rsidR="00C11668" w14:paraId="39581B6A" w14:textId="77777777" w:rsidTr="00C11668">
        <w:trPr>
          <w:cantSplit/>
          <w:jc w:val="center"/>
        </w:trPr>
        <w:tc>
          <w:tcPr>
            <w:tcW w:w="9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5B78726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8</w:t>
            </w:r>
          </w:p>
        </w:tc>
        <w:tc>
          <w:tcPr>
            <w:tcW w:w="12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CC85E38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Diagramas UML</w:t>
            </w:r>
          </w:p>
        </w:tc>
        <w:tc>
          <w:tcPr>
            <w:tcW w:w="170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DD38AFE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Comparar el diagrama de clases y dos secuencias entregados por un integrante con el diseño del informe.</w:t>
            </w:r>
          </w:p>
        </w:tc>
        <w:tc>
          <w:tcPr>
            <w:tcW w:w="2127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7882DD5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revisaron el flujo de cancelación (US-05) y el de No-</w:t>
            </w:r>
            <w:proofErr w:type="gramStart"/>
            <w:r w:rsidRPr="00C11668">
              <w:rPr>
                <w:b/>
                <w:color w:val="1C232B"/>
                <w:sz w:val="18"/>
                <w:szCs w:val="28"/>
              </w:rPr>
              <w:t>show</w:t>
            </w:r>
            <w:proofErr w:type="gramEnd"/>
            <w:r w:rsidRPr="00C11668">
              <w:rPr>
                <w:b/>
                <w:color w:val="1C232B"/>
                <w:sz w:val="18"/>
                <w:szCs w:val="28"/>
              </w:rPr>
              <w:t xml:space="preserve"> (US-09).</w:t>
            </w:r>
          </w:p>
        </w:tc>
        <w:tc>
          <w:tcPr>
            <w:tcW w:w="188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E530C02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La secuencia de No-</w:t>
            </w:r>
            <w:proofErr w:type="gramStart"/>
            <w:r w:rsidRPr="00C11668">
              <w:rPr>
                <w:b/>
                <w:color w:val="1C232B"/>
                <w:sz w:val="18"/>
                <w:szCs w:val="28"/>
              </w:rPr>
              <w:t>show</w:t>
            </w:r>
            <w:proofErr w:type="gramEnd"/>
            <w:r w:rsidRPr="00C11668">
              <w:rPr>
                <w:b/>
                <w:color w:val="1C232B"/>
                <w:sz w:val="18"/>
                <w:szCs w:val="28"/>
              </w:rPr>
              <w:t xml:space="preserve"> omitía expresar claramente los 20 minutos y añadía reincidencia de US-10.</w:t>
            </w:r>
          </w:p>
        </w:tc>
        <w:tc>
          <w:tcPr>
            <w:tcW w:w="2398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3009B71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conservaron como referencias y se prepararon dos secuencias principales sobre US-02 y US-03.</w:t>
            </w:r>
          </w:p>
        </w:tc>
      </w:tr>
      <w:tr w:rsidR="00C11668" w14:paraId="7EB68EB2" w14:textId="77777777" w:rsidTr="00E2445D">
        <w:trPr>
          <w:cantSplit/>
          <w:jc w:val="center"/>
        </w:trPr>
        <w:tc>
          <w:tcPr>
            <w:tcW w:w="993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420716D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9</w:t>
            </w:r>
          </w:p>
        </w:tc>
        <w:tc>
          <w:tcPr>
            <w:tcW w:w="1275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AC13C0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Formato de los ADR</w:t>
            </w:r>
          </w:p>
        </w:tc>
        <w:tc>
          <w:tcPr>
            <w:tcW w:w="1701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37E8C95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 xml:space="preserve">Adaptar la documentación de decisiones al formato de Eventos Nova, pero con las reglas de </w:t>
            </w:r>
            <w:proofErr w:type="spellStart"/>
            <w:r w:rsidRPr="00C11668">
              <w:rPr>
                <w:b/>
                <w:color w:val="1C232B"/>
                <w:sz w:val="18"/>
                <w:szCs w:val="28"/>
              </w:rPr>
              <w:t>MediNova</w:t>
            </w:r>
            <w:proofErr w:type="spellEnd"/>
            <w:r w:rsidRPr="00C11668">
              <w:rPr>
                <w:b/>
                <w:color w:val="1C232B"/>
                <w:sz w:val="18"/>
                <w:szCs w:val="28"/>
              </w:rPr>
              <w:t>.</w:t>
            </w:r>
          </w:p>
        </w:tc>
        <w:tc>
          <w:tcPr>
            <w:tcW w:w="2127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8E41641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organizaron los ADR en los campos: título, estado, contexto, alternativas, decisión, consecuencias y trazabilidad.</w:t>
            </w:r>
          </w:p>
        </w:tc>
        <w:tc>
          <w:tcPr>
            <w:tcW w:w="1880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136AB8F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La primera versión repetía justificaciones generales y usaba referencias demasiado vagas.</w:t>
            </w:r>
          </w:p>
        </w:tc>
        <w:tc>
          <w:tcPr>
            <w:tcW w:w="2398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9604EA8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ajustaron las tablas y se añadieron US, CU y necesidades concretas del BRD sin inventar códigos originales.</w:t>
            </w:r>
          </w:p>
        </w:tc>
      </w:tr>
      <w:tr w:rsidR="00C11668" w14:paraId="702D118B" w14:textId="77777777" w:rsidTr="00C11668">
        <w:trPr>
          <w:cantSplit/>
          <w:jc w:val="center"/>
        </w:trPr>
        <w:tc>
          <w:tcPr>
            <w:tcW w:w="9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C8D32AF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lastRenderedPageBreak/>
              <w:t>10</w:t>
            </w:r>
          </w:p>
        </w:tc>
        <w:tc>
          <w:tcPr>
            <w:tcW w:w="12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FDE2C55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Estado de decisiones</w:t>
            </w:r>
          </w:p>
        </w:tc>
        <w:tc>
          <w:tcPr>
            <w:tcW w:w="170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9577AAA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Revisar si todos los ADR debían quedar como “pendiente de aprobación”.</w:t>
            </w:r>
          </w:p>
        </w:tc>
        <w:tc>
          <w:tcPr>
            <w:tcW w:w="2127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C09B808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diferenció una decisión ya incorporada al diseño de una propuesta técnica no implementada.</w:t>
            </w:r>
          </w:p>
        </w:tc>
        <w:tc>
          <w:tcPr>
            <w:tcW w:w="188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E5D070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Declarar todas las decisiones pendientes tampoco describía el avance; aceptadas no equivale a aprobadas por docente.</w:t>
            </w:r>
          </w:p>
        </w:tc>
        <w:tc>
          <w:tcPr>
            <w:tcW w:w="2398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A7A481B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distinguieron estados de diseño y quedaron pendientes únicamente las ratificaciones que correspondan al equipo.</w:t>
            </w:r>
          </w:p>
        </w:tc>
      </w:tr>
      <w:tr w:rsidR="00C11668" w14:paraId="22B33649" w14:textId="77777777" w:rsidTr="00E2445D">
        <w:trPr>
          <w:cantSplit/>
          <w:jc w:val="center"/>
        </w:trPr>
        <w:tc>
          <w:tcPr>
            <w:tcW w:w="993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C06E441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11</w:t>
            </w:r>
          </w:p>
        </w:tc>
        <w:tc>
          <w:tcPr>
            <w:tcW w:w="1275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F6F54AC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Matriz de trazabilidad</w:t>
            </w:r>
          </w:p>
        </w:tc>
        <w:tc>
          <w:tcPr>
            <w:tcW w:w="1701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D103A20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Crear una matriz que relacionara BRD, historias, criterios, casos de uso, componentes y ADR.</w:t>
            </w:r>
          </w:p>
        </w:tc>
        <w:tc>
          <w:tcPr>
            <w:tcW w:w="2127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292D058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elaboraron versiones en Excel y PDF con las 15 historias como contexto y cinco casos de diseño detallado.</w:t>
            </w:r>
          </w:p>
        </w:tc>
        <w:tc>
          <w:tcPr>
            <w:tcW w:w="1880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54F770A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 xml:space="preserve">Las primeras versiones imitaban demasiado el formato de </w:t>
            </w:r>
            <w:proofErr w:type="spellStart"/>
            <w:r w:rsidRPr="00C11668">
              <w:rPr>
                <w:b/>
                <w:color w:val="1C232B"/>
                <w:sz w:val="18"/>
                <w:szCs w:val="28"/>
              </w:rPr>
              <w:t>PetMarket</w:t>
            </w:r>
            <w:proofErr w:type="spellEnd"/>
            <w:r w:rsidRPr="00C11668">
              <w:rPr>
                <w:b/>
                <w:color w:val="1C232B"/>
                <w:sz w:val="18"/>
                <w:szCs w:val="28"/>
              </w:rPr>
              <w:t xml:space="preserve"> o añadían elementos visuales innecesarios.</w:t>
            </w:r>
          </w:p>
        </w:tc>
        <w:tc>
          <w:tcPr>
            <w:tcW w:w="2398" w:type="dxa"/>
            <w:shd w:val="clear" w:color="auto" w:fill="E2EFD9" w:themeFill="accent6" w:themeFillTint="3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496A7E2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reorganizó en una tabla de seis columnas, tomando la estructura de Eventos Nova como referencia.</w:t>
            </w:r>
          </w:p>
        </w:tc>
      </w:tr>
      <w:tr w:rsidR="00C11668" w14:paraId="5F311401" w14:textId="77777777" w:rsidTr="00C11668">
        <w:trPr>
          <w:cantSplit/>
          <w:jc w:val="center"/>
        </w:trPr>
        <w:tc>
          <w:tcPr>
            <w:tcW w:w="993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036564D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12</w:t>
            </w:r>
          </w:p>
        </w:tc>
        <w:tc>
          <w:tcPr>
            <w:tcW w:w="1275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F99A243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Código y comprobación</w:t>
            </w:r>
          </w:p>
        </w:tc>
        <w:tc>
          <w:tcPr>
            <w:tcW w:w="1701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F2B975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Preparar un ejemplo académico de servicios y reglas, y comprobar sus pruebas automáticas.</w:t>
            </w:r>
          </w:p>
        </w:tc>
        <w:tc>
          <w:tcPr>
            <w:tcW w:w="2127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1C1A488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El paquete corregido incluye un prototipo en Python y pruebas ejecutables.</w:t>
            </w:r>
          </w:p>
        </w:tc>
        <w:tc>
          <w:tcPr>
            <w:tcW w:w="1880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CD1C5E2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Una prueba unitaria no demuestra transacciones de base de datos ni concurrencia real entre sucursales.</w:t>
            </w:r>
          </w:p>
        </w:tc>
        <w:tc>
          <w:tcPr>
            <w:tcW w:w="2398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6A125BA" w14:textId="77777777" w:rsidR="00C11668" w:rsidRPr="00C11668" w:rsidRDefault="00C11668" w:rsidP="0075067B">
            <w:pPr>
              <w:spacing w:after="0"/>
              <w:rPr>
                <w:b/>
                <w:sz w:val="18"/>
                <w:szCs w:val="28"/>
              </w:rPr>
            </w:pPr>
            <w:r w:rsidRPr="00C11668">
              <w:rPr>
                <w:b/>
                <w:color w:val="1C232B"/>
                <w:sz w:val="18"/>
                <w:szCs w:val="28"/>
              </w:rPr>
              <w:t>Se verificaron 14 pruebas unitarias correctas y se dejó expresamente fuera la validación de producción.</w:t>
            </w:r>
          </w:p>
        </w:tc>
      </w:tr>
    </w:tbl>
    <w:p w14:paraId="0150131F" w14:textId="77777777" w:rsidR="00C11668" w:rsidRDefault="00C11668" w:rsidP="002125C5"/>
    <w:p w14:paraId="6E7FEFE3" w14:textId="619043AD" w:rsidR="00E2445D" w:rsidRPr="00E2445D" w:rsidRDefault="00E2445D" w:rsidP="00E2445D">
      <w:pPr>
        <w:spacing w:before="280"/>
        <w:rPr>
          <w:rFonts w:cstheme="minorHAnsi"/>
          <w:sz w:val="32"/>
          <w:szCs w:val="32"/>
        </w:rPr>
      </w:pPr>
      <w:r w:rsidRPr="00E2445D">
        <w:rPr>
          <w:rFonts w:cstheme="minorHAnsi"/>
          <w:b/>
          <w:color w:val="163553"/>
          <w:sz w:val="28"/>
          <w:szCs w:val="32"/>
        </w:rPr>
        <w:t>Resultado</w:t>
      </w:r>
      <w:r w:rsidRPr="00E2445D">
        <w:rPr>
          <w:rFonts w:cstheme="minorHAnsi"/>
          <w:b/>
          <w:color w:val="163553"/>
          <w:sz w:val="28"/>
          <w:szCs w:val="32"/>
        </w:rPr>
        <w:t>s obtenidos</w:t>
      </w:r>
    </w:p>
    <w:p w14:paraId="3D22D785" w14:textId="77777777" w:rsidR="00E2445D" w:rsidRPr="00E2445D" w:rsidRDefault="00E2445D" w:rsidP="00E2445D">
      <w:pPr>
        <w:spacing w:after="140"/>
        <w:rPr>
          <w:rFonts w:cstheme="minorHAnsi"/>
          <w:sz w:val="32"/>
          <w:szCs w:val="32"/>
        </w:rPr>
      </w:pPr>
      <w:r w:rsidRPr="00E2445D">
        <w:rPr>
          <w:rFonts w:cstheme="minorHAnsi"/>
          <w:szCs w:val="32"/>
        </w:rPr>
        <w:t>La revisión permitió conservar las cinco historias seleccionadas sin cambiar sus nombres, justificar Domain Model con necesidades concretas del BRD y alinear las decisiones ADR y la matriz de trazabilidad con los casos de uso. También se corrigió el enfoque de los diagramas para distinguir un flujo normal de un rechazo.</w:t>
      </w:r>
    </w:p>
    <w:p w14:paraId="3E22661E" w14:textId="5AC598F2" w:rsidR="00E2445D" w:rsidRPr="00E2445D" w:rsidRDefault="00446C3C" w:rsidP="00E2445D">
      <w:pPr>
        <w:spacing w:before="100"/>
        <w:rPr>
          <w:rFonts w:cstheme="minorHAnsi"/>
          <w:sz w:val="32"/>
          <w:szCs w:val="32"/>
        </w:rPr>
      </w:pPr>
      <w:r>
        <w:rPr>
          <w:rFonts w:cstheme="minorHAnsi"/>
          <w:b/>
          <w:color w:val="163553"/>
          <w:sz w:val="28"/>
          <w:szCs w:val="32"/>
        </w:rPr>
        <w:t>Pendientes</w:t>
      </w:r>
      <w:r w:rsidR="00E2445D" w:rsidRPr="00E2445D">
        <w:rPr>
          <w:rFonts w:cstheme="minorHAnsi"/>
          <w:b/>
          <w:color w:val="163553"/>
          <w:sz w:val="28"/>
          <w:szCs w:val="32"/>
        </w:rPr>
        <w:t xml:space="preserve"> por </w:t>
      </w:r>
      <w:r w:rsidR="00E2445D">
        <w:rPr>
          <w:rFonts w:cstheme="minorHAnsi"/>
          <w:b/>
          <w:color w:val="163553"/>
          <w:sz w:val="28"/>
          <w:szCs w:val="32"/>
        </w:rPr>
        <w:t>revisar</w:t>
      </w:r>
      <w:r>
        <w:rPr>
          <w:rFonts w:cstheme="minorHAnsi"/>
          <w:b/>
          <w:color w:val="163553"/>
          <w:sz w:val="28"/>
          <w:szCs w:val="32"/>
        </w:rPr>
        <w:t xml:space="preserve"> en equipo</w:t>
      </w:r>
    </w:p>
    <w:p w14:paraId="1660B6AD" w14:textId="77777777" w:rsidR="00446C3C" w:rsidRPr="00446C3C" w:rsidRDefault="00446C3C" w:rsidP="00446C3C">
      <w:pPr>
        <w:rPr>
          <w:rFonts w:cstheme="minorHAnsi"/>
          <w:szCs w:val="32"/>
          <w:lang w:val="es-MX"/>
        </w:rPr>
      </w:pPr>
      <w:r w:rsidRPr="00446C3C">
        <w:rPr>
          <w:rFonts w:cstheme="minorHAnsi"/>
          <w:szCs w:val="32"/>
          <w:lang w:val="es-MX"/>
        </w:rPr>
        <w:t xml:space="preserve">El equipo debe verificar que los nombres y matrículas de los integrantes estén correctos, revisar los documentos de la Unidad 2 antes de subirlos a GitHub y confirmar las decisiones de los ADR que siguen como propuestas. También quedan pendientes algunas funciones de </w:t>
      </w:r>
      <w:proofErr w:type="spellStart"/>
      <w:r w:rsidRPr="00446C3C">
        <w:rPr>
          <w:rFonts w:cstheme="minorHAnsi"/>
          <w:szCs w:val="32"/>
          <w:lang w:val="es-MX"/>
        </w:rPr>
        <w:t>MediNova</w:t>
      </w:r>
      <w:proofErr w:type="spellEnd"/>
      <w:r w:rsidRPr="00446C3C">
        <w:rPr>
          <w:rFonts w:cstheme="minorHAnsi"/>
          <w:szCs w:val="32"/>
          <w:lang w:val="es-MX"/>
        </w:rPr>
        <w:t>, como comprobar el bloqueo simultáneo de horarios entre sucursales, el funcionamiento con una base de datos real y la integración con aseguradoras, ya que estos aspectos todavía no se han implementado completamente.</w:t>
      </w:r>
    </w:p>
    <w:p w14:paraId="02220755" w14:textId="77777777" w:rsidR="00E2445D" w:rsidRDefault="00E2445D" w:rsidP="002125C5"/>
    <w:sectPr w:rsidR="00E2445D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3B96F" w14:textId="77777777" w:rsidR="003346F0" w:rsidRDefault="003346F0" w:rsidP="00685253">
      <w:pPr>
        <w:spacing w:after="0" w:line="240" w:lineRule="auto"/>
      </w:pPr>
      <w:r>
        <w:separator/>
      </w:r>
    </w:p>
  </w:endnote>
  <w:endnote w:type="continuationSeparator" w:id="0">
    <w:p w14:paraId="6EAEDC2B" w14:textId="77777777" w:rsidR="003346F0" w:rsidRDefault="003346F0" w:rsidP="00685253">
      <w:pPr>
        <w:spacing w:after="0" w:line="240" w:lineRule="auto"/>
      </w:pPr>
      <w:r>
        <w:continuationSeparator/>
      </w:r>
    </w:p>
  </w:endnote>
  <w:endnote w:type="continuationNotice" w:id="1">
    <w:p w14:paraId="73388D55" w14:textId="77777777" w:rsidR="003346F0" w:rsidRDefault="003346F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42E34346" w14:textId="77777777" w:rsidTr="01005E6B">
      <w:tc>
        <w:tcPr>
          <w:tcW w:w="2835" w:type="dxa"/>
        </w:tcPr>
        <w:p w14:paraId="1076021F" w14:textId="7E39E55E" w:rsidR="01005E6B" w:rsidRDefault="01005E6B" w:rsidP="01005E6B">
          <w:pPr>
            <w:pStyle w:val="Encabezado"/>
            <w:ind w:left="-115"/>
          </w:pPr>
        </w:p>
      </w:tc>
      <w:tc>
        <w:tcPr>
          <w:tcW w:w="2835" w:type="dxa"/>
        </w:tcPr>
        <w:p w14:paraId="1A184D06" w14:textId="043840EB" w:rsidR="01005E6B" w:rsidRDefault="01005E6B" w:rsidP="01005E6B">
          <w:pPr>
            <w:pStyle w:val="Encabezado"/>
            <w:jc w:val="center"/>
          </w:pPr>
        </w:p>
      </w:tc>
      <w:tc>
        <w:tcPr>
          <w:tcW w:w="2835" w:type="dxa"/>
        </w:tcPr>
        <w:p w14:paraId="6A85749D" w14:textId="47B790B3" w:rsidR="01005E6B" w:rsidRDefault="01005E6B" w:rsidP="01005E6B">
          <w:pPr>
            <w:pStyle w:val="Encabezado"/>
            <w:ind w:right="-115"/>
            <w:jc w:val="right"/>
          </w:pPr>
        </w:p>
      </w:tc>
    </w:tr>
  </w:tbl>
  <w:p w14:paraId="0E2B38C6" w14:textId="0AF0FD25" w:rsidR="01005E6B" w:rsidRDefault="00851AE7" w:rsidP="01005E6B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CF44E" w14:textId="77777777" w:rsidR="003346F0" w:rsidRDefault="003346F0" w:rsidP="00685253">
      <w:pPr>
        <w:spacing w:after="0" w:line="240" w:lineRule="auto"/>
      </w:pPr>
      <w:r>
        <w:separator/>
      </w:r>
    </w:p>
  </w:footnote>
  <w:footnote w:type="continuationSeparator" w:id="0">
    <w:p w14:paraId="5CC227D8" w14:textId="77777777" w:rsidR="003346F0" w:rsidRDefault="003346F0" w:rsidP="00685253">
      <w:pPr>
        <w:spacing w:after="0" w:line="240" w:lineRule="auto"/>
      </w:pPr>
      <w:r>
        <w:continuationSeparator/>
      </w:r>
    </w:p>
  </w:footnote>
  <w:footnote w:type="continuationNotice" w:id="1">
    <w:p w14:paraId="78E5D345" w14:textId="77777777" w:rsidR="003346F0" w:rsidRDefault="003346F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76B0" w14:textId="6D09655A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2BFF7BAF" w:rsidR="00685253" w:rsidRPr="001E024A" w:rsidRDefault="00C73F8D" w:rsidP="00C73F8D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 xml:space="preserve">Equipo 1                                                                                                                              </w:t>
    </w:r>
    <w:r w:rsidR="00685253"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F7D91"/>
    <w:multiLevelType w:val="hybridMultilevel"/>
    <w:tmpl w:val="6C208888"/>
    <w:lvl w:ilvl="0" w:tplc="B546F2F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7"/>
  </w:num>
  <w:num w:numId="2" w16cid:durableId="206913873">
    <w:abstractNumId w:val="6"/>
  </w:num>
  <w:num w:numId="3" w16cid:durableId="2055736322">
    <w:abstractNumId w:val="2"/>
  </w:num>
  <w:num w:numId="4" w16cid:durableId="1575237468">
    <w:abstractNumId w:val="5"/>
  </w:num>
  <w:num w:numId="5" w16cid:durableId="1931742875">
    <w:abstractNumId w:val="0"/>
  </w:num>
  <w:num w:numId="6" w16cid:durableId="143202984">
    <w:abstractNumId w:val="8"/>
  </w:num>
  <w:num w:numId="7" w16cid:durableId="1580209689">
    <w:abstractNumId w:val="3"/>
  </w:num>
  <w:num w:numId="8" w16cid:durableId="2048723477">
    <w:abstractNumId w:val="1"/>
  </w:num>
  <w:num w:numId="9" w16cid:durableId="532763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94617"/>
    <w:rsid w:val="000D596E"/>
    <w:rsid w:val="000F5991"/>
    <w:rsid w:val="001467A8"/>
    <w:rsid w:val="00147CA4"/>
    <w:rsid w:val="00161EC1"/>
    <w:rsid w:val="00196BEB"/>
    <w:rsid w:val="001C6840"/>
    <w:rsid w:val="001E0A65"/>
    <w:rsid w:val="001E6620"/>
    <w:rsid w:val="002125C5"/>
    <w:rsid w:val="003346F0"/>
    <w:rsid w:val="003427B9"/>
    <w:rsid w:val="0037473A"/>
    <w:rsid w:val="00394F9B"/>
    <w:rsid w:val="00397D03"/>
    <w:rsid w:val="003B265B"/>
    <w:rsid w:val="003D29A4"/>
    <w:rsid w:val="003E0B33"/>
    <w:rsid w:val="00417427"/>
    <w:rsid w:val="00446C3C"/>
    <w:rsid w:val="00463962"/>
    <w:rsid w:val="00472B17"/>
    <w:rsid w:val="00474F79"/>
    <w:rsid w:val="00510153"/>
    <w:rsid w:val="00560FB4"/>
    <w:rsid w:val="005A6A71"/>
    <w:rsid w:val="005B1484"/>
    <w:rsid w:val="005C2BD3"/>
    <w:rsid w:val="00610808"/>
    <w:rsid w:val="00650E3B"/>
    <w:rsid w:val="00677DC3"/>
    <w:rsid w:val="00685253"/>
    <w:rsid w:val="006D3C31"/>
    <w:rsid w:val="00701A1A"/>
    <w:rsid w:val="007611E9"/>
    <w:rsid w:val="00832977"/>
    <w:rsid w:val="00834490"/>
    <w:rsid w:val="00845B51"/>
    <w:rsid w:val="00851AE7"/>
    <w:rsid w:val="00874607"/>
    <w:rsid w:val="00881A17"/>
    <w:rsid w:val="0091071B"/>
    <w:rsid w:val="00927322"/>
    <w:rsid w:val="009C2646"/>
    <w:rsid w:val="009E6BCF"/>
    <w:rsid w:val="00A10177"/>
    <w:rsid w:val="00A30076"/>
    <w:rsid w:val="00A8760B"/>
    <w:rsid w:val="00AA51FF"/>
    <w:rsid w:val="00AA6238"/>
    <w:rsid w:val="00AB3559"/>
    <w:rsid w:val="00AC6A01"/>
    <w:rsid w:val="00B05939"/>
    <w:rsid w:val="00BD4174"/>
    <w:rsid w:val="00BF5FA8"/>
    <w:rsid w:val="00C11668"/>
    <w:rsid w:val="00C16F56"/>
    <w:rsid w:val="00C36405"/>
    <w:rsid w:val="00C73F8D"/>
    <w:rsid w:val="00CA0F0C"/>
    <w:rsid w:val="00D00985"/>
    <w:rsid w:val="00D53F85"/>
    <w:rsid w:val="00DD7087"/>
    <w:rsid w:val="00DE1F3F"/>
    <w:rsid w:val="00E0171B"/>
    <w:rsid w:val="00E2445D"/>
    <w:rsid w:val="00E33F29"/>
    <w:rsid w:val="00E35408"/>
    <w:rsid w:val="00E378EC"/>
    <w:rsid w:val="00E53AC9"/>
    <w:rsid w:val="00E95675"/>
    <w:rsid w:val="00EC1C8A"/>
    <w:rsid w:val="00F02604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C73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f79ca3-dc9e-4d6b-93fb-1744ed01a19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BBCB960CC7FB45BD258F3F8545CA92" ma:contentTypeVersion="18" ma:contentTypeDescription="Create a new document." ma:contentTypeScope="" ma:versionID="a662420064f1035a30ebc6d3473365d7">
  <xsd:schema xmlns:xsd="http://www.w3.org/2001/XMLSchema" xmlns:xs="http://www.w3.org/2001/XMLSchema" xmlns:p="http://schemas.microsoft.com/office/2006/metadata/properties" xmlns:ns3="e5f79ca3-dc9e-4d6b-93fb-1744ed01a199" xmlns:ns4="07b50d90-ae0a-4695-b05f-2bd902035b84" targetNamespace="http://schemas.microsoft.com/office/2006/metadata/properties" ma:root="true" ma:fieldsID="bf2c94cba0d6eddfe22845461b0f5a77" ns3:_="" ns4:_="">
    <xsd:import namespace="e5f79ca3-dc9e-4d6b-93fb-1744ed01a199"/>
    <xsd:import namespace="07b50d90-ae0a-4695-b05f-2bd902035b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79ca3-dc9e-4d6b-93fb-1744ed01a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b50d90-ae0a-4695-b05f-2bd902035b8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4340AF-31B0-430A-B300-DE73E9C05748}">
  <ds:schemaRefs>
    <ds:schemaRef ds:uri="http://schemas.microsoft.com/office/2006/metadata/properties"/>
    <ds:schemaRef ds:uri="http://schemas.microsoft.com/office/infopath/2007/PartnerControls"/>
    <ds:schemaRef ds:uri="e5f79ca3-dc9e-4d6b-93fb-1744ed01a199"/>
  </ds:schemaRefs>
</ds:datastoreItem>
</file>

<file path=customXml/itemProps3.xml><?xml version="1.0" encoding="utf-8"?>
<ds:datastoreItem xmlns:ds="http://schemas.openxmlformats.org/officeDocument/2006/customXml" ds:itemID="{D07F9DAF-4AF9-4D0C-8926-3E168208C0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853A2A-6689-4524-81FD-E280E480D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f79ca3-dc9e-4d6b-93fb-1744ed01a199"/>
    <ds:schemaRef ds:uri="07b50d90-ae0a-4695-b05f-2bd902035b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1142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DANNA SARAI RODRIGUEZ ORTIZ</cp:lastModifiedBy>
  <cp:revision>3</cp:revision>
  <cp:lastPrinted>2026-10-16T04:39:00Z</cp:lastPrinted>
  <dcterms:created xsi:type="dcterms:W3CDTF">2026-10-16T04:39:00Z</dcterms:created>
  <dcterms:modified xsi:type="dcterms:W3CDTF">2026-10-16T04:40:00Z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0x01010056BBCB960CC7FB45BD258F3F8545CA92</vt:lpwstr>
  </property>
</Properties>
</file>