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CASO 01</w:t>
      </w:r>
    </w:p>
    <w:p>
      <w:pPr>
        <w:jc w:val="center"/>
      </w:pPr>
      <w:r>
        <w:rPr>
          <w:b/>
          <w:sz w:val="52"/>
        </w:rPr>
        <w:t>MediNova</w:t>
      </w:r>
    </w:p>
    <w:p>
      <w:pPr>
        <w:jc w:val="center"/>
      </w:pPr>
      <w:r>
        <w:rPr>
          <w:i/>
          <w:sz w:val="24"/>
        </w:rPr>
        <w:t>Unidad 2 · Análisis de Requerimientos de Negocio</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Giro</w:t>
            </w:r>
          </w:p>
        </w:tc>
        <w:tc>
          <w:tcPr>
            <w:tcW w:type="dxa" w:w="4968"/>
          </w:tcPr>
          <w:p>
            <w:r>
              <w:t>Clínica médica</w:t>
            </w:r>
          </w:p>
        </w:tc>
      </w:tr>
      <w:tr>
        <w:tc>
          <w:tcPr>
            <w:tcW w:type="dxa" w:w="4968"/>
            <w:shd w:fill="D9EAF7"/>
          </w:tcPr>
          <w:p>
            <w:r>
              <w:rPr>
                <w:b/>
              </w:rPr>
              <w:t>Proceso central</w:t>
            </w:r>
          </w:p>
        </w:tc>
        <w:tc>
          <w:tcPr>
            <w:tcW w:type="dxa" w:w="4968"/>
          </w:tcPr>
          <w:p>
            <w:r>
              <w:t>Citas, consultas y no-shows</w:t>
            </w:r>
          </w:p>
        </w:tc>
      </w:tr>
      <w:tr>
        <w:tc>
          <w:tcPr>
            <w:tcW w:type="dxa" w:w="4968"/>
            <w:shd w:fill="D9EAF7"/>
          </w:tcPr>
          <w:p>
            <w:r>
              <w:rPr>
                <w:b/>
              </w:rPr>
              <w:t>Rol del alumno</w:t>
            </w:r>
          </w:p>
        </w:tc>
        <w:tc>
          <w:tcPr>
            <w:tcW w:type="dxa" w:w="4968"/>
          </w:tcPr>
          <w:p>
            <w:r>
              <w:t>Equipo de análisis de requerimientos</w:t>
            </w:r>
          </w:p>
        </w:tc>
      </w:tr>
    </w:tbl>
    <w:p>
      <w:pPr>
        <w:pStyle w:val="Heading1"/>
      </w:pPr>
      <w:r>
        <w:t>1. Contexto y modelo de negocio</w:t>
      </w:r>
    </w:p>
    <w:p>
      <w:r>
        <w:t>MediNova es una clínica privada con tres sucursales. Obtiene ingresos mediante consultas de medicina general, especialidades, estudios básicos y procedimientos menores. Trabajan aproximadamente 35 médicos. Algunos son empleados y otros trabajan por honorarios, por lo que sus horarios cambian semanalmente. Los pacientes pueden pagar directamente o utilizar convenios con aseguradoras.</w:t>
      </w:r>
    </w:p>
    <w:p>
      <w:pPr>
        <w:pStyle w:val="Heading1"/>
      </w:pPr>
      <w:r>
        <w:t>2. Operación actual (AS-IS)</w:t>
      </w:r>
    </w:p>
    <w:p>
      <w:r>
        <w:t>Las citas se solicitan por teléfono, WhatsApp o directamente en recepción. Una recepcionista consulta una agenda compartida y busca disponibilidad de acuerdo con médico, especialidad y sucursal.</w:t>
      </w:r>
    </w:p>
    <w:p>
      <w:r>
        <w:t>Para pacientes nuevos se solicitan nombre, teléfono, fecha de nacimiento y correo. Los pacientes existentes se buscan mediante teléfono o número de expediente. Cada médico proporciona previamente sus horarios disponibles.</w:t>
      </w:r>
    </w:p>
    <w:p>
      <w:r>
        <w:t>Cuando se agenda una cita se registra paciente, médico, especialidad, sucursal, fecha, hora, motivo de consulta y aseguradora cuando aplica. Recepción intenta confirmar las citas un día antes.</w:t>
      </w:r>
    </w:p>
    <w:p>
      <w:r>
        <w:t>Al llegar, el paciente se registra. Si llega hasta 15 minutos tarde, recepción consulta al médico si todavía puede atenderlo. Con retrasos mayores normalmente se ofrece reagendar. Después de la consulta, el médico puede emitir receta, solicitar estudios o indicar una nueva cita.</w:t>
      </w:r>
    </w:p>
    <w:p>
      <w:pPr>
        <w:pStyle w:val="Heading1"/>
      </w:pPr>
      <w:r>
        <w:t>3. Actores que participan</w:t>
      </w:r>
    </w:p>
    <w:p>
      <w:pPr>
        <w:pStyle w:val="ListBullet"/>
      </w:pPr>
      <w:r>
        <w:t>Paciente</w:t>
      </w:r>
    </w:p>
    <w:p>
      <w:pPr>
        <w:pStyle w:val="ListBullet"/>
      </w:pPr>
      <w:r>
        <w:t>Recepcionista</w:t>
      </w:r>
    </w:p>
    <w:p>
      <w:pPr>
        <w:pStyle w:val="ListBullet"/>
      </w:pPr>
      <w:r>
        <w:t>Médico</w:t>
      </w:r>
    </w:p>
    <w:p>
      <w:pPr>
        <w:pStyle w:val="ListBullet"/>
      </w:pPr>
      <w:r>
        <w:t>Personal administrativo</w:t>
      </w:r>
    </w:p>
    <w:p>
      <w:pPr>
        <w:pStyle w:val="ListBullet"/>
      </w:pPr>
      <w:r>
        <w:t>Aseguradora</w:t>
      </w:r>
    </w:p>
    <w:p>
      <w:pPr>
        <w:pStyle w:val="Heading1"/>
      </w:pPr>
      <w:r>
        <w:t>4. Situaciones especiales y excepciones conocidas</w:t>
      </w:r>
    </w:p>
    <w:p>
      <w:pPr>
        <w:pStyle w:val="ListBullet"/>
      </w:pPr>
      <w:r>
        <w:t>Pacientes que reservan y no se presentan (no-show).</w:t>
      </w:r>
    </w:p>
    <w:p>
      <w:pPr>
        <w:pStyle w:val="ListBullet"/>
      </w:pPr>
      <w:r>
        <w:t>Algunos médicos permiten sobrecupo y otros no.</w:t>
      </w:r>
    </w:p>
    <w:p>
      <w:pPr>
        <w:pStyle w:val="ListBullet"/>
      </w:pPr>
      <w:r>
        <w:t>Cuando un médico cancela su jornada, recepción debe localizar manualmente a sus pacientes.</w:t>
      </w:r>
    </w:p>
    <w:p>
      <w:pPr>
        <w:pStyle w:val="ListBullet"/>
      </w:pPr>
      <w:r>
        <w:t>Algunas aseguradoras requieren autorización antes de ciertas consultas.</w:t>
      </w:r>
    </w:p>
    <w:p>
      <w:pPr>
        <w:pStyle w:val="ListBullet"/>
      </w:pPr>
      <w:r>
        <w:t>No existe una política uniforme para reincidencia de no-shows.</w:t>
      </w:r>
    </w:p>
    <w:p>
      <w:pPr>
        <w:pStyle w:val="Heading1"/>
      </w:pPr>
      <w:r>
        <w:t>5. Problemas actuales observados</w:t>
      </w:r>
    </w:p>
    <w:p>
      <w:pPr>
        <w:pStyle w:val="ListBullet"/>
      </w:pPr>
      <w:r>
        <w:t>Citas duplicadas.</w:t>
      </w:r>
    </w:p>
    <w:p>
      <w:pPr>
        <w:pStyle w:val="ListBullet"/>
      </w:pPr>
      <w:r>
        <w:t>Poca visibilidad entre sucursales.</w:t>
      </w:r>
    </w:p>
    <w:p>
      <w:pPr>
        <w:pStyle w:val="ListBullet"/>
      </w:pPr>
      <w:r>
        <w:t>Cancelaciones sin evidencia clara.</w:t>
      </w:r>
    </w:p>
    <w:p>
      <w:pPr>
        <w:pStyle w:val="ListBullet"/>
      </w:pPr>
      <w:r>
        <w:t>Dificultad para medir no-shows e historial por paciente.</w:t>
      </w:r>
    </w:p>
    <w:p>
      <w:pPr>
        <w:pStyle w:val="Heading1"/>
      </w:pPr>
      <w:r>
        <w:t>6. Información que el equipo deberá descubrir</w:t>
      </w:r>
    </w:p>
    <w:p>
      <w:r>
        <w:t>La descripción anterior NO constituye un conjunto completo de requerimientos. Durante el levantamiento, el equipo deberá identificar y validar información faltante, reglas implícitas, límites, permisos, tiempos, excepciones, prioridades, datos, responsables y criterios medibles. No deben inventarse valores o políticas: deberán formularse preguntas al stakeholder.</w:t>
      </w:r>
    </w:p>
    <w:p>
      <w:pPr>
        <w:pStyle w:val="ListBullet"/>
      </w:pPr>
      <w:r>
        <w:t>¿Qué eventos inician y terminan el proceso?</w:t>
      </w:r>
    </w:p>
    <w:p>
      <w:pPr>
        <w:pStyle w:val="ListBullet"/>
      </w:pPr>
      <w:r>
        <w:t>¿Qué roles pueden realizar, autorizar, cancelar o modificar cada operación?</w:t>
      </w:r>
    </w:p>
    <w:p>
      <w:pPr>
        <w:pStyle w:val="ListBullet"/>
      </w:pPr>
      <w:r>
        <w:t>¿Qué límites de tiempo, cantidad, monto, capacidad o frecuencia existen?</w:t>
      </w:r>
    </w:p>
    <w:p>
      <w:pPr>
        <w:pStyle w:val="ListBullet"/>
      </w:pPr>
      <w:r>
        <w:t>¿Qué ocurre cuando el flujo normal no puede continuar?</w:t>
      </w:r>
    </w:p>
    <w:p>
      <w:pPr>
        <w:pStyle w:val="ListBullet"/>
      </w:pPr>
      <w:r>
        <w:t>¿Qué datos se capturan, consultan, generan o modifican?</w:t>
      </w:r>
    </w:p>
    <w:p>
      <w:pPr>
        <w:pStyle w:val="ListBullet"/>
      </w:pPr>
      <w:r>
        <w:t>¿Qué reglas se aplican de forma manual o por experiencia?</w:t>
      </w:r>
    </w:p>
    <w:p>
      <w:pPr>
        <w:pStyle w:val="ListBullet"/>
      </w:pPr>
      <w:r>
        <w:t>¿Qué reportes o indicadores necesita el negocio?</w:t>
      </w:r>
    </w:p>
    <w:p>
      <w:pPr>
        <w:pStyle w:val="ListBullet"/>
      </w:pPr>
      <w:r>
        <w:t>¿Qué necesidades son prioritarias y cómo se medirá el éxito?</w:t>
      </w:r>
    </w:p>
    <w:p>
      <w:pPr>
        <w:pStyle w:val="Heading1"/>
      </w:pPr>
      <w:r>
        <w:t>7. Trabajo solicitado</w:t>
      </w:r>
    </w:p>
    <w:p>
      <w:pPr>
        <w:pStyle w:val="ListBullet"/>
      </w:pPr>
      <w:r>
        <w:t>Levantamiento: preparar una guía de 15–20 preguntas y realizar una entrevista simulada con un compañero como stakeholder.</w:t>
      </w:r>
    </w:p>
    <w:p>
      <w:pPr>
        <w:pStyle w:val="ListBullet"/>
      </w:pPr>
      <w:r>
        <w:t>BRD: documentar contexto, problema/oportunidad, stakeholders, alcance, necesidades, restricciones, supuestos y criterios de éxito.</w:t>
      </w:r>
    </w:p>
    <w:p>
      <w:pPr>
        <w:pStyle w:val="ListBullet"/>
      </w:pPr>
      <w:r>
        <w:t>User Stories: elaborar al menos 15 historias con formato Como [rol], quiero [capacidad], para [beneficio].</w:t>
      </w:r>
    </w:p>
    <w:p>
      <w:pPr>
        <w:pStyle w:val="ListBullet"/>
      </w:pPr>
      <w:r>
        <w:t>Criterios de aceptación: definir criterios verificables y utilizar Gherkin (Given/When/Then) cuando corresponda.</w:t>
      </w:r>
    </w:p>
    <w:p>
      <w:pPr>
        <w:pStyle w:val="ListBullet"/>
      </w:pPr>
      <w:r>
        <w:t>BPMN: modelar el proceso principal incluyendo participantes/swimlanes, actividades, gateways, eventos, excepciones y data objects pertinentes.</w:t>
      </w:r>
    </w:p>
    <w:p>
      <w:pPr>
        <w:pStyle w:val="ListBullet"/>
      </w:pPr>
      <w:r>
        <w:t>Modelo de dominio: identificar conceptos relevantes, relaciones y vocabulario del negocio.</w:t>
      </w:r>
    </w:p>
    <w:p>
      <w:pPr>
        <w:pStyle w:val="ListBullet"/>
      </w:pPr>
      <w:r>
        <w:t>Glosario: definir al menos 20 términos utilizando lenguaje ubicuo.</w:t>
      </w:r>
    </w:p>
    <w:p>
      <w:pPr>
        <w:pStyle w:val="ListBullet"/>
      </w:pPr>
      <w:r>
        <w:t>Validación y trazabilidad: relacionar necesidades del BRD con User Stories, criterios de aceptación y procesos modelados.</w:t>
      </w:r>
    </w:p>
    <w:p>
      <w:pPr>
        <w:pStyle w:val="Heading1"/>
      </w:pPr>
      <w:r>
        <w:t>8. Condición del ejercicio</w:t>
      </w:r>
    </w:p>
    <w:p>
      <w:r>
        <w:rPr>
          <w:b/>
        </w:rPr>
        <w:t xml:space="preserve">Importante: </w:t>
      </w:r>
      <w:r>
        <w:t>el caso contiene suficiente información para iniciar el análisis, pero deliberadamente deja decisiones sin definir. El objetivo no es adivinar la operación faltante, sino descubrirla mediante técnicas de levantamiento y documentarla de forma verificable.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CLN · Unidad 2 · Caso 01 · MediNova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3" ma:contentTypeDescription="Crear nuevo documento." ma:contentTypeScope="" ma:versionID="e29f9a6026847d166d02a33a4fe63975">
  <xsd:schema xmlns:xsd="http://www.w3.org/2001/XMLSchema" xmlns:xs="http://www.w3.org/2001/XMLSchema" xmlns:p="http://schemas.microsoft.com/office/2006/metadata/properties" xmlns:ns2="6610efae-569f-4511-a6fb-d874d031f562" targetNamespace="http://schemas.microsoft.com/office/2006/metadata/properties" ma:root="true" ma:fieldsID="ce5eb2d64d85a12304c73169680a31ac" ns2:_="">
    <xsd:import namespace="6610efae-569f-4511-a6fb-d874d031f5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10efae-569f-4511-a6fb-d874d031f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328A526-7B7D-45C9-A804-71932A2B1263}"/>
</file>

<file path=customXml/itemProps3.xml><?xml version="1.0" encoding="utf-8"?>
<ds:datastoreItem xmlns:ds="http://schemas.openxmlformats.org/officeDocument/2006/customXml" ds:itemID="{FAD0BA5E-F7CA-4113-BFBE-A5F5C837F174}"/>
</file>

<file path=customXml/itemProps4.xml><?xml version="1.0" encoding="utf-8"?>
<ds:datastoreItem xmlns:ds="http://schemas.openxmlformats.org/officeDocument/2006/customXml" ds:itemID="{86138AA0-DFF3-490D-9E78-2F33F281565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