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EC5AA" w14:textId="3D11F216" w:rsidR="00F61590" w:rsidRDefault="00F61590" w:rsidP="00685DAE">
      <w:pPr>
        <w:pStyle w:val="Heading1"/>
      </w:pPr>
      <w:r>
        <w:t>Background</w:t>
      </w:r>
    </w:p>
    <w:p w14:paraId="7480FBF9" w14:textId="134F7253" w:rsidR="00F61590" w:rsidRDefault="00F61590" w:rsidP="00F61590"/>
    <w:p w14:paraId="637ED74D" w14:textId="07CBAAAA" w:rsidR="00F61590" w:rsidRDefault="00F61590" w:rsidP="00F61590">
      <w:r>
        <w:t xml:space="preserve">The headline unemployment number, U3 or UNRATE on FRED, does not appear to be trending similar to other employment numbers. </w:t>
      </w:r>
    </w:p>
    <w:p w14:paraId="09701E2D" w14:textId="2D425FD8" w:rsidR="00801A14" w:rsidRDefault="00801A14" w:rsidP="00F61590"/>
    <w:p w14:paraId="66639D7C" w14:textId="1080CEF3" w:rsidR="00801A14" w:rsidRDefault="00801A14" w:rsidP="00F61590">
      <w:r>
        <w:t xml:space="preserve">Starting in March, 2020 the Bureau of Labor Statistics (BLS) included a notation that the Covid19 absences should have been included in the unemployment number, see </w:t>
      </w:r>
      <w:r>
        <w:fldChar w:fldCharType="begin"/>
      </w:r>
      <w:r>
        <w:instrText xml:space="preserve"> REF _Ref42405417 \h </w:instrText>
      </w:r>
      <w:r>
        <w:fldChar w:fldCharType="separate"/>
      </w:r>
      <w:r>
        <w:t>Appendix B – Excerpts from BLS report</w:t>
      </w:r>
      <w:r>
        <w:fldChar w:fldCharType="end"/>
      </w:r>
      <w:r>
        <w:t xml:space="preserve">. This error persists in the April and May reports. Had this error been corrected, the U3 numbers would have 1%, 5%, and 3% higher for March, April and May respectively. </w:t>
      </w:r>
    </w:p>
    <w:p w14:paraId="7B06D028" w14:textId="5C1C9798" w:rsidR="00F61590" w:rsidRDefault="00F61590" w:rsidP="00F61590"/>
    <w:p w14:paraId="723939F8" w14:textId="77777777" w:rsidR="00A6284E" w:rsidRDefault="00801A14" w:rsidP="00801A14">
      <w:r>
        <w:t xml:space="preserve">The notations also state that the survey has experience some disruptions due to Covid 19 lockdowns. These notations make it likely that the BLS unemployment numbers are not as representative of the actual conditions as past surveys have been.  </w:t>
      </w:r>
    </w:p>
    <w:p w14:paraId="64A42BF0" w14:textId="77777777" w:rsidR="00A6284E" w:rsidRDefault="00A6284E" w:rsidP="00801A14"/>
    <w:p w14:paraId="5A3E2151" w14:textId="1871E67E" w:rsidR="00801A14" w:rsidRDefault="00801A14" w:rsidP="00801A14">
      <w:r>
        <w:t>This document discusses the changes in relationship across the some of the employment data series.</w:t>
      </w:r>
    </w:p>
    <w:p w14:paraId="4FF08C2B" w14:textId="77777777" w:rsidR="00801A14" w:rsidRDefault="00801A14" w:rsidP="00F61590"/>
    <w:p w14:paraId="0FC6F56A" w14:textId="77777777" w:rsidR="00F61590" w:rsidRPr="00F61590" w:rsidRDefault="00F61590" w:rsidP="00F61590"/>
    <w:p w14:paraId="0D627572" w14:textId="77777777" w:rsidR="00A6284E" w:rsidRDefault="00A6284E">
      <w:pPr>
        <w:spacing w:after="160" w:line="259" w:lineRule="auto"/>
        <w:rPr>
          <w:rFonts w:asciiTheme="majorHAnsi" w:eastAsiaTheme="majorEastAsia" w:hAnsiTheme="majorHAnsi" w:cstheme="majorBidi"/>
          <w:sz w:val="32"/>
          <w:szCs w:val="32"/>
        </w:rPr>
      </w:pPr>
      <w:r>
        <w:br w:type="page"/>
      </w:r>
    </w:p>
    <w:p w14:paraId="7DFE8B60" w14:textId="093690EC" w:rsidR="00685DAE" w:rsidRDefault="00685DAE" w:rsidP="00685DAE">
      <w:pPr>
        <w:pStyle w:val="Heading1"/>
      </w:pPr>
      <w:r>
        <w:lastRenderedPageBreak/>
        <w:t>U6 from U3</w:t>
      </w:r>
    </w:p>
    <w:p w14:paraId="0FEA7093" w14:textId="77777777" w:rsidR="00685DAE" w:rsidRDefault="00685DAE" w:rsidP="00286BDE">
      <w:pPr>
        <w:rPr>
          <w:rFonts w:asciiTheme="minorHAnsi" w:hAnsiTheme="minorHAnsi" w:cstheme="minorBidi"/>
        </w:rPr>
      </w:pPr>
    </w:p>
    <w:p w14:paraId="3C5154D5" w14:textId="7A8AFB09" w:rsidR="00286BDE" w:rsidRDefault="00286BDE" w:rsidP="00286BDE">
      <w:pPr>
        <w:rPr>
          <w:rFonts w:asciiTheme="minorHAnsi" w:hAnsiTheme="minorHAnsi" w:cstheme="minorBidi"/>
        </w:rPr>
      </w:pPr>
      <w:r>
        <w:rPr>
          <w:rFonts w:asciiTheme="minorHAnsi" w:hAnsiTheme="minorHAnsi" w:cstheme="minorBidi"/>
        </w:rPr>
        <w:t>Since the U3/U6 are surveys by BLS I thought the two should roughly track each other</w:t>
      </w:r>
      <w:r w:rsidR="00A6284E">
        <w:rPr>
          <w:rFonts w:asciiTheme="minorHAnsi" w:hAnsiTheme="minorHAnsi" w:cstheme="minorBidi"/>
        </w:rPr>
        <w:t xml:space="preserve">. To test this </w:t>
      </w:r>
      <w:r>
        <w:rPr>
          <w:rFonts w:asciiTheme="minorHAnsi" w:hAnsiTheme="minorHAnsi" w:cstheme="minorBidi"/>
        </w:rPr>
        <w:t xml:space="preserve"> I estimate a linear between U3 and U6 where U6 is estimated from U3.</w:t>
      </w:r>
      <w:r w:rsidR="00412FB0">
        <w:rPr>
          <w:rFonts w:asciiTheme="minorHAnsi" w:hAnsiTheme="minorHAnsi" w:cstheme="minorBidi"/>
        </w:rPr>
        <w:t xml:space="preserve"> </w:t>
      </w:r>
      <w:r>
        <w:rPr>
          <w:rFonts w:asciiTheme="minorHAnsi" w:hAnsiTheme="minorHAnsi" w:cstheme="minorBidi"/>
        </w:rPr>
        <w:t xml:space="preserve">Sure enough, the U3 data could be used to make a reasonable estimate of the U6 data, which makes sense the numbers tend to track. The </w:t>
      </w:r>
      <w:r w:rsidR="007A5A83">
        <w:rPr>
          <w:rFonts w:asciiTheme="minorHAnsi" w:hAnsiTheme="minorHAnsi" w:cstheme="minorBidi"/>
        </w:rPr>
        <w:t>beige</w:t>
      </w:r>
      <w:r>
        <w:rPr>
          <w:rFonts w:asciiTheme="minorHAnsi" w:hAnsiTheme="minorHAnsi" w:cstheme="minorBidi"/>
        </w:rPr>
        <w:t xml:space="preserve"> line below is the U6RATE series and the other line</w:t>
      </w:r>
      <w:r w:rsidR="007A5A83">
        <w:rPr>
          <w:rFonts w:asciiTheme="minorHAnsi" w:hAnsiTheme="minorHAnsi" w:cstheme="minorBidi"/>
        </w:rPr>
        <w:t xml:space="preserve"> is the </w:t>
      </w:r>
      <w:r>
        <w:rPr>
          <w:rFonts w:asciiTheme="minorHAnsi" w:hAnsiTheme="minorHAnsi" w:cstheme="minorBidi"/>
        </w:rPr>
        <w:t>linear model</w:t>
      </w:r>
      <w:r w:rsidR="007A5A83">
        <w:rPr>
          <w:rFonts w:asciiTheme="minorHAnsi" w:hAnsiTheme="minorHAnsi" w:cstheme="minorBidi"/>
        </w:rPr>
        <w:t xml:space="preserve"> prediction based on U3. This dataset begins in 1994 since that is the first time U6 is published in FRED.</w:t>
      </w:r>
    </w:p>
    <w:p w14:paraId="1A7523B1" w14:textId="1AE705D5" w:rsidR="00412FB0" w:rsidRDefault="00412FB0" w:rsidP="00286BDE">
      <w:pPr>
        <w:rPr>
          <w:rFonts w:asciiTheme="minorHAnsi" w:hAnsiTheme="minorHAnsi" w:cstheme="minorBidi"/>
        </w:rPr>
      </w:pPr>
    </w:p>
    <w:p w14:paraId="4D10054F" w14:textId="77777777" w:rsidR="004920AC" w:rsidRDefault="00412FB0" w:rsidP="004920AC">
      <w:pPr>
        <w:keepNext/>
      </w:pPr>
      <w:r w:rsidRPr="00412FB0">
        <w:rPr>
          <w:rFonts w:asciiTheme="minorHAnsi" w:hAnsiTheme="minorHAnsi" w:cstheme="minorBidi"/>
        </w:rPr>
        <w:drawing>
          <wp:inline distT="0" distB="0" distL="0" distR="0" wp14:anchorId="61115B6C" wp14:editId="15FE6C28">
            <wp:extent cx="5943600" cy="3728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28085"/>
                    </a:xfrm>
                    <a:prstGeom prst="rect">
                      <a:avLst/>
                    </a:prstGeom>
                  </pic:spPr>
                </pic:pic>
              </a:graphicData>
            </a:graphic>
          </wp:inline>
        </w:drawing>
      </w:r>
    </w:p>
    <w:p w14:paraId="2BD78FA0" w14:textId="34AC524E" w:rsidR="00412FB0" w:rsidRDefault="004920AC" w:rsidP="004920AC">
      <w:pPr>
        <w:pStyle w:val="Caption"/>
        <w:rPr>
          <w:rFonts w:asciiTheme="minorHAnsi" w:hAnsiTheme="minorHAnsi" w:cstheme="minorBidi"/>
        </w:rPr>
      </w:pPr>
      <w:r>
        <w:t xml:space="preserve">Figure </w:t>
      </w:r>
      <w:fldSimple w:instr=" SEQ Figure \* ARABIC ">
        <w:r w:rsidR="0009081D">
          <w:rPr>
            <w:noProof/>
          </w:rPr>
          <w:t>1</w:t>
        </w:r>
      </w:fldSimple>
      <w:r>
        <w:t xml:space="preserve"> - U6 from FRED and U6 predicted by a linear model from U3.</w:t>
      </w:r>
    </w:p>
    <w:p w14:paraId="09617D9C" w14:textId="2E7FCFAE" w:rsidR="00425BBB" w:rsidRDefault="00425BBB" w:rsidP="00286BDE"/>
    <w:p w14:paraId="784F21B2" w14:textId="0ECCA18D" w:rsidR="004920AC" w:rsidRDefault="004920AC">
      <w:pPr>
        <w:spacing w:after="160" w:line="259" w:lineRule="auto"/>
      </w:pPr>
      <w:r>
        <w:br w:type="page"/>
      </w:r>
    </w:p>
    <w:p w14:paraId="1FC6DB16" w14:textId="7D8572B1" w:rsidR="004920AC" w:rsidRDefault="004920AC" w:rsidP="00286BDE">
      <w:r>
        <w:lastRenderedPageBreak/>
        <w:t>It is interesting to see how the linear model behaves as the Covid19 outbreak spreads. The difference between the model and FRED U6 data is small in February and March</w:t>
      </w:r>
      <w:r w:rsidR="00875FBB">
        <w:t>, then widens in April and May.</w:t>
      </w:r>
      <w:r w:rsidR="0083187E">
        <w:t xml:space="preserve"> The linear model is predicting 3% higher values for U6 in this time frame.</w:t>
      </w:r>
    </w:p>
    <w:p w14:paraId="77BFF79F" w14:textId="1A8B8992" w:rsidR="004920AC" w:rsidRDefault="004920AC" w:rsidP="00286BDE"/>
    <w:p w14:paraId="078339B9" w14:textId="77777777" w:rsidR="00875FBB" w:rsidRDefault="004920AC" w:rsidP="00875FBB">
      <w:pPr>
        <w:keepNext/>
      </w:pPr>
      <w:r w:rsidRPr="004920AC">
        <w:drawing>
          <wp:inline distT="0" distB="0" distL="0" distR="0" wp14:anchorId="06FFB7C2" wp14:editId="76001D29">
            <wp:extent cx="5943201" cy="3785616"/>
            <wp:effectExtent l="0" t="0" r="6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201" cy="3785616"/>
                    </a:xfrm>
                    <a:prstGeom prst="rect">
                      <a:avLst/>
                    </a:prstGeom>
                  </pic:spPr>
                </pic:pic>
              </a:graphicData>
            </a:graphic>
          </wp:inline>
        </w:drawing>
      </w:r>
    </w:p>
    <w:p w14:paraId="5D4E280A" w14:textId="22A201EB" w:rsidR="00875FBB" w:rsidRDefault="00875FBB" w:rsidP="00875FBB">
      <w:pPr>
        <w:pStyle w:val="Caption"/>
        <w:rPr>
          <w:rFonts w:asciiTheme="minorHAnsi" w:hAnsiTheme="minorHAnsi" w:cstheme="minorBidi"/>
        </w:rPr>
      </w:pPr>
      <w:r>
        <w:t xml:space="preserve">Figure </w:t>
      </w:r>
      <w:fldSimple w:instr=" SEQ Figure \* ARABIC ">
        <w:r w:rsidR="0009081D">
          <w:rPr>
            <w:noProof/>
          </w:rPr>
          <w:t>2</w:t>
        </w:r>
      </w:fldSimple>
      <w:r>
        <w:t>-</w:t>
      </w:r>
      <w:r>
        <w:t>- U6 from FRED and U6 predicted by a linear model from U3</w:t>
      </w:r>
      <w:r>
        <w:t xml:space="preserve"> from January 1</w:t>
      </w:r>
      <w:r w:rsidRPr="00875FBB">
        <w:rPr>
          <w:vertAlign w:val="superscript"/>
        </w:rPr>
        <w:t>st</w:t>
      </w:r>
      <w:r>
        <w:t>, 2020 until present day.</w:t>
      </w:r>
    </w:p>
    <w:p w14:paraId="762974C9" w14:textId="1A62F7F4" w:rsidR="004920AC" w:rsidRDefault="004920AC" w:rsidP="00875FBB">
      <w:pPr>
        <w:pStyle w:val="Caption"/>
      </w:pPr>
    </w:p>
    <w:p w14:paraId="0AE21431" w14:textId="77777777" w:rsidR="004920AC" w:rsidRDefault="004920AC" w:rsidP="00286BDE"/>
    <w:p w14:paraId="3773812D" w14:textId="77777777" w:rsidR="00875FBB" w:rsidRDefault="00875FBB">
      <w:pPr>
        <w:spacing w:after="160" w:line="259" w:lineRule="auto"/>
      </w:pPr>
      <w:r>
        <w:br w:type="page"/>
      </w:r>
    </w:p>
    <w:p w14:paraId="68BB69FD" w14:textId="77777777" w:rsidR="0083187E" w:rsidRDefault="004920AC" w:rsidP="00286BDE">
      <w:r>
        <w:lastRenderedPageBreak/>
        <w:t>The real reason to put together a model is to see how the residuals look</w:t>
      </w:r>
      <w:r w:rsidR="00875FBB">
        <w:t xml:space="preserve">, shown in </w:t>
      </w:r>
      <w:r w:rsidR="00875FBB">
        <w:fldChar w:fldCharType="begin"/>
      </w:r>
      <w:r w:rsidR="00875FBB">
        <w:instrText xml:space="preserve"> REF _Ref42352910 \h </w:instrText>
      </w:r>
      <w:r w:rsidR="00875FBB">
        <w:fldChar w:fldCharType="separate"/>
      </w:r>
      <w:r w:rsidR="00875FBB">
        <w:t xml:space="preserve">Figure </w:t>
      </w:r>
      <w:r w:rsidR="00875FBB">
        <w:rPr>
          <w:noProof/>
        </w:rPr>
        <w:t>3</w:t>
      </w:r>
      <w:r w:rsidR="00875FBB">
        <w:fldChar w:fldCharType="end"/>
      </w:r>
      <w:r w:rsidR="00875FBB">
        <w:t>. The horizontal dashed lines are the 5-95% confidence intervals. The horizontal red dashed lines are the +/- 6σ values derived from the standard deviation of the test set residual values.</w:t>
      </w:r>
      <w:r w:rsidR="0083187E">
        <w:t xml:space="preserve"> </w:t>
      </w:r>
    </w:p>
    <w:p w14:paraId="761409F3" w14:textId="77777777" w:rsidR="0083187E" w:rsidRDefault="0083187E" w:rsidP="00286BDE"/>
    <w:p w14:paraId="5B5E69AD" w14:textId="31B26C7B" w:rsidR="004920AC" w:rsidRDefault="0083187E" w:rsidP="00286BDE">
      <w:r>
        <w:t>The residual values nearly exceed the lower 6σ value are far out of the historical norms. The two surveys do not seem hold to the same relationship that existed for the previous 2</w:t>
      </w:r>
      <w:r w:rsidR="001B459E">
        <w:t>6</w:t>
      </w:r>
      <w:r>
        <w:t xml:space="preserve"> years. </w:t>
      </w:r>
      <w:r w:rsidR="00875FBB">
        <w:t xml:space="preserve"> </w:t>
      </w:r>
    </w:p>
    <w:p w14:paraId="654E4B09" w14:textId="77777777" w:rsidR="00875FBB" w:rsidRDefault="00875FBB" w:rsidP="00286BDE"/>
    <w:p w14:paraId="1ABE079B" w14:textId="77777777" w:rsidR="00875FBB" w:rsidRDefault="00875FBB" w:rsidP="00875FBB">
      <w:pPr>
        <w:keepNext/>
      </w:pPr>
      <w:r w:rsidRPr="00875FBB">
        <w:drawing>
          <wp:inline distT="0" distB="0" distL="0" distR="0" wp14:anchorId="084CB0AC" wp14:editId="3A1A99F6">
            <wp:extent cx="4457457" cy="36576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7457" cy="3657600"/>
                    </a:xfrm>
                    <a:prstGeom prst="rect">
                      <a:avLst/>
                    </a:prstGeom>
                  </pic:spPr>
                </pic:pic>
              </a:graphicData>
            </a:graphic>
          </wp:inline>
        </w:drawing>
      </w:r>
    </w:p>
    <w:p w14:paraId="08675442" w14:textId="6F57E6DB" w:rsidR="00875FBB" w:rsidRDefault="00875FBB" w:rsidP="00875FBB">
      <w:pPr>
        <w:pStyle w:val="Caption"/>
      </w:pPr>
      <w:bookmarkStart w:id="0" w:name="_Ref42352910"/>
      <w:r>
        <w:t xml:space="preserve">Figure </w:t>
      </w:r>
      <w:fldSimple w:instr=" SEQ Figure \* ARABIC ">
        <w:r w:rsidR="0009081D">
          <w:rPr>
            <w:noProof/>
          </w:rPr>
          <w:t>3</w:t>
        </w:r>
      </w:fldSimple>
      <w:bookmarkEnd w:id="0"/>
      <w:r>
        <w:t xml:space="preserve"> - Residual (U6 - estimated U6).</w:t>
      </w:r>
    </w:p>
    <w:p w14:paraId="3C404D16" w14:textId="09DA24C1" w:rsidR="007F089A" w:rsidRDefault="007F089A">
      <w:pPr>
        <w:spacing w:after="160" w:line="259" w:lineRule="auto"/>
      </w:pPr>
      <w:r>
        <w:br w:type="page"/>
      </w:r>
    </w:p>
    <w:p w14:paraId="29AECCCE" w14:textId="73DC2353" w:rsidR="007F089A" w:rsidRDefault="007F089A" w:rsidP="007F089A">
      <w:pPr>
        <w:pStyle w:val="Heading1"/>
      </w:pPr>
      <w:r>
        <w:lastRenderedPageBreak/>
        <w:t>U</w:t>
      </w:r>
      <w:r>
        <w:t>3</w:t>
      </w:r>
      <w:r>
        <w:t xml:space="preserve"> from </w:t>
      </w:r>
      <w:r>
        <w:t>ICSA</w:t>
      </w:r>
    </w:p>
    <w:p w14:paraId="5F4426C1" w14:textId="50230AAA" w:rsidR="007F089A" w:rsidRDefault="007F089A" w:rsidP="007F089A">
      <w:r>
        <w:t xml:space="preserve">Initial claims data represents claim numbers tabulated from administrative sources, rather than surveys. The problem with the ICSA is that it only represents claims, not claims that resulted in benefits. More people make claims than receive benefits so ICSA is not a great indicator of unemployment. Even so, there is enough similarity that a linear fit can be used to estimate U3, shown </w:t>
      </w:r>
      <w:r>
        <w:fldChar w:fldCharType="begin"/>
      </w:r>
      <w:r>
        <w:instrText xml:space="preserve"> REF _Ref42352910 \h </w:instrText>
      </w:r>
      <w:r>
        <w:fldChar w:fldCharType="separate"/>
      </w:r>
      <w:r>
        <w:t xml:space="preserve">Figure </w:t>
      </w:r>
      <w:r>
        <w:rPr>
          <w:noProof/>
        </w:rPr>
        <w:t>3</w:t>
      </w:r>
      <w:r>
        <w:fldChar w:fldCharType="end"/>
      </w:r>
      <w:r>
        <w:t>.</w:t>
      </w:r>
      <w:r w:rsidR="005A4CCC">
        <w:t xml:space="preserve"> The shape of the two curves are similar, but the U3 derived from ICSA has higher peaks and more noise.</w:t>
      </w:r>
    </w:p>
    <w:p w14:paraId="115CD56A" w14:textId="31741136" w:rsidR="007F089A" w:rsidRDefault="007F089A" w:rsidP="007F089A"/>
    <w:p w14:paraId="2758A63B" w14:textId="77777777" w:rsidR="007F089A" w:rsidRDefault="007F089A" w:rsidP="007F089A">
      <w:pPr>
        <w:keepNext/>
      </w:pPr>
      <w:r w:rsidRPr="007F089A">
        <w:drawing>
          <wp:inline distT="0" distB="0" distL="0" distR="0" wp14:anchorId="1A787C59" wp14:editId="01E27EAD">
            <wp:extent cx="5943600" cy="37509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50945"/>
                    </a:xfrm>
                    <a:prstGeom prst="rect">
                      <a:avLst/>
                    </a:prstGeom>
                  </pic:spPr>
                </pic:pic>
              </a:graphicData>
            </a:graphic>
          </wp:inline>
        </w:drawing>
      </w:r>
    </w:p>
    <w:p w14:paraId="4CC505F4" w14:textId="15F86457" w:rsidR="007F089A" w:rsidRDefault="007F089A" w:rsidP="007F089A">
      <w:pPr>
        <w:pStyle w:val="Caption"/>
      </w:pPr>
      <w:r>
        <w:t xml:space="preserve">Figure </w:t>
      </w:r>
      <w:fldSimple w:instr=" SEQ Figure \* ARABIC ">
        <w:r w:rsidR="0009081D">
          <w:rPr>
            <w:noProof/>
          </w:rPr>
          <w:t>4</w:t>
        </w:r>
      </w:fldSimple>
      <w:r>
        <w:t xml:space="preserve"> - U3 (UNRATE) from FRED and estimated U3 from ICSA</w:t>
      </w:r>
    </w:p>
    <w:p w14:paraId="740EBC1D" w14:textId="74538ABC" w:rsidR="00080F4E" w:rsidRDefault="00080F4E">
      <w:pPr>
        <w:spacing w:after="160" w:line="259" w:lineRule="auto"/>
      </w:pPr>
      <w:r>
        <w:br w:type="page"/>
      </w:r>
    </w:p>
    <w:p w14:paraId="43FE4535" w14:textId="509E3ED0" w:rsidR="00080F4E" w:rsidRDefault="00080F4E" w:rsidP="00080F4E">
      <w:r>
        <w:lastRenderedPageBreak/>
        <w:t xml:space="preserve">The divergence of FRED’s U3 from the predicted U3, </w:t>
      </w:r>
      <w:r>
        <w:fldChar w:fldCharType="begin"/>
      </w:r>
      <w:r>
        <w:instrText xml:space="preserve"> REF _Ref42403663 \h </w:instrText>
      </w:r>
      <w:r>
        <w:fldChar w:fldCharType="separate"/>
      </w:r>
      <w:r>
        <w:t xml:space="preserve">Figure </w:t>
      </w:r>
      <w:r>
        <w:rPr>
          <w:noProof/>
        </w:rPr>
        <w:t>5</w:t>
      </w:r>
      <w:r>
        <w:fldChar w:fldCharType="end"/>
      </w:r>
      <w:r>
        <w:t>,  over the last few months is striking. The ICSA predicts the U3 should be well of 70%. This is almost certainly due to the desire grab some of enhanced unemployment benefits. After all, if you could make more money on unemployment, why not give it a try and file? Most the claims are either denied or still be process, but have not turned into benefits.</w:t>
      </w:r>
    </w:p>
    <w:p w14:paraId="36FBF19A" w14:textId="77777777" w:rsidR="00080F4E" w:rsidRDefault="00080F4E" w:rsidP="00080F4E">
      <w:pPr>
        <w:keepNext/>
      </w:pPr>
      <w:r w:rsidRPr="00080F4E">
        <w:drawing>
          <wp:inline distT="0" distB="0" distL="0" distR="0" wp14:anchorId="66480C76" wp14:editId="436EB872">
            <wp:extent cx="5943600" cy="3717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17925"/>
                    </a:xfrm>
                    <a:prstGeom prst="rect">
                      <a:avLst/>
                    </a:prstGeom>
                  </pic:spPr>
                </pic:pic>
              </a:graphicData>
            </a:graphic>
          </wp:inline>
        </w:drawing>
      </w:r>
    </w:p>
    <w:p w14:paraId="61891079" w14:textId="097666A8" w:rsidR="00080F4E" w:rsidRPr="00080F4E" w:rsidRDefault="00080F4E" w:rsidP="00080F4E">
      <w:pPr>
        <w:pStyle w:val="Caption"/>
      </w:pPr>
      <w:bookmarkStart w:id="1" w:name="_Ref42403663"/>
      <w:r>
        <w:t xml:space="preserve">Figure </w:t>
      </w:r>
      <w:fldSimple w:instr=" SEQ Figure \* ARABIC ">
        <w:r w:rsidR="0009081D">
          <w:rPr>
            <w:noProof/>
          </w:rPr>
          <w:t>5</w:t>
        </w:r>
      </w:fldSimple>
      <w:bookmarkEnd w:id="1"/>
      <w:r>
        <w:t xml:space="preserve"> -</w:t>
      </w:r>
      <w:r w:rsidRPr="00080F4E">
        <w:t xml:space="preserve"> </w:t>
      </w:r>
      <w:r>
        <w:t>U3 (UNRATE) from FRED and estimated U3 from ICSA</w:t>
      </w:r>
      <w:r>
        <w:t xml:space="preserve"> since January 1</w:t>
      </w:r>
      <w:r w:rsidRPr="00080F4E">
        <w:rPr>
          <w:vertAlign w:val="superscript"/>
        </w:rPr>
        <w:t>st</w:t>
      </w:r>
      <w:r>
        <w:t>, 2020.</w:t>
      </w:r>
    </w:p>
    <w:p w14:paraId="683860E6" w14:textId="55EA45A0" w:rsidR="005A4CCC" w:rsidRDefault="005A4CCC">
      <w:pPr>
        <w:spacing w:after="160" w:line="259" w:lineRule="auto"/>
      </w:pPr>
      <w:r>
        <w:br w:type="page"/>
      </w:r>
    </w:p>
    <w:p w14:paraId="177DDE73" w14:textId="45CC448B" w:rsidR="005A4CCC" w:rsidRDefault="005A4CCC" w:rsidP="005A4CCC">
      <w:r>
        <w:lastRenderedPageBreak/>
        <w:t>The residuals are the interesting story here too.</w:t>
      </w:r>
      <w:r w:rsidR="00A6284E">
        <w:t xml:space="preserve"> The difference between the linear model prediction and the actual U3 is off the charts. </w:t>
      </w:r>
      <w:r w:rsidR="00DD6948">
        <w:fldChar w:fldCharType="begin"/>
      </w:r>
      <w:r w:rsidR="00DD6948">
        <w:instrText xml:space="preserve"> REF _Ref42405865 \h </w:instrText>
      </w:r>
      <w:r w:rsidR="00DD6948">
        <w:fldChar w:fldCharType="separate"/>
      </w:r>
      <w:r w:rsidR="00DD6948">
        <w:t xml:space="preserve">Figure </w:t>
      </w:r>
      <w:r w:rsidR="00DD6948">
        <w:rPr>
          <w:noProof/>
        </w:rPr>
        <w:t>8</w:t>
      </w:r>
      <w:r w:rsidR="00DD6948">
        <w:fldChar w:fldCharType="end"/>
      </w:r>
      <w:r w:rsidR="00DD6948">
        <w:t xml:space="preserve"> shows the histogram for the residual values. Over the 53-year history of the two data series, never have there been more than a +/- 3% variance. In the last two months that variance has jumped to well over 50%. </w:t>
      </w:r>
    </w:p>
    <w:p w14:paraId="1885BEE9" w14:textId="77777777" w:rsidR="005A4CCC" w:rsidRDefault="005A4CCC" w:rsidP="005A4CCC"/>
    <w:p w14:paraId="63B32675" w14:textId="77777777" w:rsidR="005A4CCC" w:rsidRDefault="005A4CCC" w:rsidP="005A4CCC">
      <w:pPr>
        <w:keepNext/>
      </w:pPr>
      <w:r w:rsidRPr="005A4CCC">
        <w:drawing>
          <wp:inline distT="0" distB="0" distL="0" distR="0" wp14:anchorId="294AC069" wp14:editId="2E45B60F">
            <wp:extent cx="4788643" cy="378561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8643" cy="3785616"/>
                    </a:xfrm>
                    <a:prstGeom prst="rect">
                      <a:avLst/>
                    </a:prstGeom>
                  </pic:spPr>
                </pic:pic>
              </a:graphicData>
            </a:graphic>
          </wp:inline>
        </w:drawing>
      </w:r>
    </w:p>
    <w:p w14:paraId="10AC5A94" w14:textId="18BB1222" w:rsidR="005A4CCC" w:rsidRDefault="005A4CCC" w:rsidP="005A4CCC">
      <w:pPr>
        <w:pStyle w:val="Caption"/>
      </w:pPr>
      <w:r>
        <w:t xml:space="preserve">Figure </w:t>
      </w:r>
      <w:fldSimple w:instr=" SEQ Figure \* ARABIC ">
        <w:r w:rsidR="0009081D">
          <w:rPr>
            <w:noProof/>
          </w:rPr>
          <w:t>6</w:t>
        </w:r>
      </w:fldSimple>
      <w:r>
        <w:t xml:space="preserve"> - Residual (U3 - U3 estimated from linear fit).</w:t>
      </w:r>
    </w:p>
    <w:p w14:paraId="2558B9F8" w14:textId="57E31E55" w:rsidR="00A6284E" w:rsidRDefault="00A6284E">
      <w:pPr>
        <w:spacing w:after="160" w:line="259" w:lineRule="auto"/>
      </w:pPr>
      <w:r>
        <w:br w:type="page"/>
      </w:r>
    </w:p>
    <w:p w14:paraId="3F0F8868" w14:textId="2003B542" w:rsidR="00A6284E" w:rsidRDefault="00A6284E" w:rsidP="00A6284E">
      <w:pPr>
        <w:pStyle w:val="Heading1"/>
      </w:pPr>
      <w:r>
        <w:lastRenderedPageBreak/>
        <w:t>U3 from CCSA</w:t>
      </w:r>
    </w:p>
    <w:p w14:paraId="494D62A4" w14:textId="10FC7EAE" w:rsidR="00A6284E" w:rsidRDefault="00A6284E" w:rsidP="00A6284E">
      <w:r>
        <w:t>The continued claims series (CCSA from FRED) shows the number of people who have already filed an initial claim, experienced a week of unemployment, and gone on to file another claim. These are people receiving unemployment benefits.</w:t>
      </w:r>
    </w:p>
    <w:p w14:paraId="41948F29" w14:textId="7B450057" w:rsidR="00B702FF" w:rsidRDefault="00B702FF" w:rsidP="00A6284E"/>
    <w:p w14:paraId="212B11C1" w14:textId="0F3A4632" w:rsidR="00B702FF" w:rsidRDefault="00B702FF" w:rsidP="00A6284E">
      <w:r>
        <w:fldChar w:fldCharType="begin"/>
      </w:r>
      <w:r>
        <w:instrText xml:space="preserve"> REF _Ref42406066 \h </w:instrText>
      </w:r>
      <w:r>
        <w:fldChar w:fldCharType="separate"/>
      </w:r>
      <w:r>
        <w:t xml:space="preserve">Figure </w:t>
      </w:r>
      <w:r>
        <w:rPr>
          <w:noProof/>
        </w:rPr>
        <w:t>7</w:t>
      </w:r>
      <w:r>
        <w:fldChar w:fldCharType="end"/>
      </w:r>
      <w:r>
        <w:t xml:space="preserve"> shows the U3 data as the black line and U3 predicted from the CCSA data series as the beige line. The shape of the series is similar; however, there are differences between the series when unemployment peak</w:t>
      </w:r>
      <w:r w:rsidR="0009081D">
        <w:t xml:space="preserve">s. </w:t>
      </w:r>
    </w:p>
    <w:p w14:paraId="449E09BE" w14:textId="486E51A0" w:rsidR="00A6284E" w:rsidRDefault="00A6284E" w:rsidP="00A6284E"/>
    <w:p w14:paraId="36D547A7" w14:textId="77777777" w:rsidR="00DD6948" w:rsidRDefault="00DD6948" w:rsidP="00DD6948">
      <w:pPr>
        <w:keepNext/>
      </w:pPr>
      <w:r w:rsidRPr="00DD6948">
        <w:drawing>
          <wp:inline distT="0" distB="0" distL="0" distR="0" wp14:anchorId="7D6E9ADA" wp14:editId="11B0073C">
            <wp:extent cx="5943600" cy="37204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20465"/>
                    </a:xfrm>
                    <a:prstGeom prst="rect">
                      <a:avLst/>
                    </a:prstGeom>
                  </pic:spPr>
                </pic:pic>
              </a:graphicData>
            </a:graphic>
          </wp:inline>
        </w:drawing>
      </w:r>
    </w:p>
    <w:p w14:paraId="4B3E4BC1" w14:textId="621377C3" w:rsidR="00DD6948" w:rsidRDefault="00DD6948" w:rsidP="00DD6948">
      <w:pPr>
        <w:pStyle w:val="Caption"/>
      </w:pPr>
      <w:bookmarkStart w:id="2" w:name="_Ref42406066"/>
      <w:r>
        <w:t xml:space="preserve">Figure </w:t>
      </w:r>
      <w:fldSimple w:instr=" SEQ Figure \* ARABIC ">
        <w:r w:rsidR="0009081D">
          <w:rPr>
            <w:noProof/>
          </w:rPr>
          <w:t>7</w:t>
        </w:r>
      </w:fldSimple>
      <w:bookmarkEnd w:id="2"/>
      <w:r>
        <w:t xml:space="preserve"> -</w:t>
      </w:r>
      <w:r w:rsidRPr="00DD6948">
        <w:t xml:space="preserve"> </w:t>
      </w:r>
      <w:r>
        <w:t xml:space="preserve">U3 (UNRATE) from FRED and estimated U3 from </w:t>
      </w:r>
      <w:r>
        <w:t>C</w:t>
      </w:r>
      <w:r>
        <w:t>CSA</w:t>
      </w:r>
      <w:r w:rsidR="00AA7C8F">
        <w:t>.</w:t>
      </w:r>
    </w:p>
    <w:p w14:paraId="269D37D4" w14:textId="787380C0" w:rsidR="0009081D" w:rsidRDefault="0009081D">
      <w:pPr>
        <w:spacing w:after="160" w:line="259" w:lineRule="auto"/>
      </w:pPr>
      <w:r>
        <w:br w:type="page"/>
      </w:r>
    </w:p>
    <w:p w14:paraId="021F438F" w14:textId="720C776C" w:rsidR="0009081D" w:rsidRDefault="0009081D" w:rsidP="0009081D">
      <w:r>
        <w:lastRenderedPageBreak/>
        <w:t>The d</w:t>
      </w:r>
    </w:p>
    <w:p w14:paraId="634E505C" w14:textId="4E6DC970" w:rsidR="0009081D" w:rsidRDefault="0009081D" w:rsidP="0009081D"/>
    <w:p w14:paraId="447C144D" w14:textId="77777777" w:rsidR="0009081D" w:rsidRDefault="0009081D" w:rsidP="0009081D">
      <w:pPr>
        <w:keepNext/>
      </w:pPr>
      <w:r w:rsidRPr="0009081D">
        <w:drawing>
          <wp:inline distT="0" distB="0" distL="0" distR="0" wp14:anchorId="553B4AB0" wp14:editId="66FD12B9">
            <wp:extent cx="5943600" cy="37084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08400"/>
                    </a:xfrm>
                    <a:prstGeom prst="rect">
                      <a:avLst/>
                    </a:prstGeom>
                  </pic:spPr>
                </pic:pic>
              </a:graphicData>
            </a:graphic>
          </wp:inline>
        </w:drawing>
      </w:r>
    </w:p>
    <w:p w14:paraId="64D5BCBB" w14:textId="502D5B52" w:rsidR="0009081D" w:rsidRPr="0009081D" w:rsidRDefault="0009081D" w:rsidP="0009081D">
      <w:pPr>
        <w:pStyle w:val="Caption"/>
      </w:pPr>
      <w:r>
        <w:t xml:space="preserve">Figure </w:t>
      </w:r>
      <w:fldSimple w:instr=" SEQ Figure \* ARABIC ">
        <w:r>
          <w:rPr>
            <w:noProof/>
          </w:rPr>
          <w:t>8</w:t>
        </w:r>
      </w:fldSimple>
      <w:r>
        <w:t xml:space="preserve"> -</w:t>
      </w:r>
      <w:r w:rsidRPr="0009081D">
        <w:t xml:space="preserve"> </w:t>
      </w:r>
      <w:r>
        <w:t>U3 (UNRATE) from FRED and estimated U3 from CCS</w:t>
      </w:r>
      <w:r>
        <w:t>A since January 1</w:t>
      </w:r>
      <w:r w:rsidRPr="0009081D">
        <w:rPr>
          <w:vertAlign w:val="superscript"/>
        </w:rPr>
        <w:t>st</w:t>
      </w:r>
      <w:r>
        <w:t>, 2020.</w:t>
      </w:r>
    </w:p>
    <w:p w14:paraId="22CFA380" w14:textId="77777777" w:rsidR="00A6284E" w:rsidRPr="00A6284E" w:rsidRDefault="00A6284E" w:rsidP="00A6284E"/>
    <w:p w14:paraId="25A06751" w14:textId="15A8681E" w:rsidR="00DA2ABB" w:rsidRDefault="00DA2ABB">
      <w:pPr>
        <w:spacing w:after="160" w:line="259" w:lineRule="auto"/>
      </w:pPr>
      <w:r>
        <w:br w:type="page"/>
      </w:r>
    </w:p>
    <w:p w14:paraId="78AF0AA1" w14:textId="0E5C4035" w:rsidR="00DA2ABB" w:rsidRDefault="00DA2ABB" w:rsidP="00DA2ABB">
      <w:pPr>
        <w:pStyle w:val="Heading1"/>
      </w:pPr>
      <w:r>
        <w:lastRenderedPageBreak/>
        <w:t>Appendix A – Data cleaning and tidying</w:t>
      </w:r>
    </w:p>
    <w:p w14:paraId="0417F4B1" w14:textId="77777777" w:rsidR="00DA2ABB" w:rsidRPr="00DA2ABB" w:rsidRDefault="00DA2ABB" w:rsidP="00DA2ABB"/>
    <w:p w14:paraId="112145D4" w14:textId="77777777" w:rsidR="00DA2ABB" w:rsidRDefault="00DA2ABB" w:rsidP="00DA2ABB">
      <w:pPr>
        <w:rPr>
          <w:rFonts w:asciiTheme="minorHAnsi" w:hAnsiTheme="minorHAnsi" w:cstheme="minorBidi"/>
        </w:rPr>
      </w:pPr>
      <w:r>
        <w:rPr>
          <w:rFonts w:asciiTheme="minorHAnsi" w:hAnsiTheme="minorHAnsi" w:cstheme="minorBidi"/>
        </w:rPr>
        <w:t>I followed the data science principles of partitioning and validation and used data up through January 1</w:t>
      </w:r>
      <w:r w:rsidRPr="004920AC">
        <w:rPr>
          <w:rFonts w:asciiTheme="minorHAnsi" w:hAnsiTheme="minorHAnsi" w:cstheme="minorBidi"/>
          <w:vertAlign w:val="superscript"/>
        </w:rPr>
        <w:t>st</w:t>
      </w:r>
      <w:r>
        <w:rPr>
          <w:rFonts w:asciiTheme="minorHAnsi" w:hAnsiTheme="minorHAnsi" w:cstheme="minorBidi"/>
        </w:rPr>
        <w:t xml:space="preserve"> of 2020. From that point on, I thought Covid19 would start to influence the data so I excluded from the fit estimation.</w:t>
      </w:r>
    </w:p>
    <w:p w14:paraId="44808525" w14:textId="77777777" w:rsidR="00DA2ABB" w:rsidRDefault="00DA2ABB" w:rsidP="00DA2ABB">
      <w:pPr>
        <w:rPr>
          <w:rFonts w:asciiTheme="minorHAnsi" w:hAnsiTheme="minorHAnsi" w:cstheme="minorBidi"/>
        </w:rPr>
      </w:pPr>
    </w:p>
    <w:p w14:paraId="1180BFF3" w14:textId="62A3B532" w:rsidR="00DA2ABB" w:rsidRDefault="00DA2ABB" w:rsidP="00DA2ABB">
      <w:pPr>
        <w:rPr>
          <w:rFonts w:asciiTheme="minorHAnsi" w:hAnsiTheme="minorHAnsi" w:cstheme="minorBidi"/>
        </w:rPr>
      </w:pPr>
      <w:r>
        <w:rPr>
          <w:rFonts w:asciiTheme="minorHAnsi" w:hAnsiTheme="minorHAnsi" w:cstheme="minorBidi"/>
        </w:rPr>
        <w:t>Data is broken into 3 separate and randomly selected partitions: training (50%), validation (25%), and testing (25%). The training set is used to build the model and validation is used to confirm there is no over-fitting. There is some back and forth with these data sets. Once the model is locked down the testing set is used to establish expected performance values. This is the data set that was used to establish 6-sigma values for the residuals. Residual Histograms were also plotted and reviewed, but are not included here.</w:t>
      </w:r>
    </w:p>
    <w:p w14:paraId="3D6B2F68" w14:textId="5406865E" w:rsidR="00F61590" w:rsidRDefault="00F61590" w:rsidP="00DA2ABB">
      <w:pPr>
        <w:rPr>
          <w:rFonts w:asciiTheme="minorHAnsi" w:hAnsiTheme="minorHAnsi" w:cstheme="minorBidi"/>
        </w:rPr>
      </w:pPr>
    </w:p>
    <w:p w14:paraId="195D98F8" w14:textId="30C4F450" w:rsidR="00F61590" w:rsidRDefault="00F61590" w:rsidP="00DA2ABB">
      <w:pPr>
        <w:rPr>
          <w:rFonts w:asciiTheme="minorHAnsi" w:hAnsiTheme="minorHAnsi" w:cstheme="minorBidi"/>
        </w:rPr>
      </w:pPr>
      <w:r w:rsidRPr="00F61590">
        <w:rPr>
          <w:rFonts w:asciiTheme="minorHAnsi" w:hAnsiTheme="minorHAnsi" w:cstheme="minorBidi"/>
        </w:rPr>
        <w:drawing>
          <wp:inline distT="0" distB="0" distL="0" distR="0" wp14:anchorId="0EDD7416" wp14:editId="7CCC07B5">
            <wp:extent cx="5943600" cy="1377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77315"/>
                    </a:xfrm>
                    <a:prstGeom prst="rect">
                      <a:avLst/>
                    </a:prstGeom>
                  </pic:spPr>
                </pic:pic>
              </a:graphicData>
            </a:graphic>
          </wp:inline>
        </w:drawing>
      </w:r>
    </w:p>
    <w:p w14:paraId="13508926" w14:textId="77777777" w:rsidR="00DA2ABB" w:rsidRDefault="00DA2ABB" w:rsidP="00DA2ABB">
      <w:pPr>
        <w:rPr>
          <w:rFonts w:asciiTheme="minorHAnsi" w:hAnsiTheme="minorHAnsi" w:cstheme="minorBidi"/>
        </w:rPr>
      </w:pPr>
    </w:p>
    <w:p w14:paraId="409AE3C8" w14:textId="77777777" w:rsidR="00DA2ABB" w:rsidRPr="00DA2ABB" w:rsidRDefault="00DA2ABB" w:rsidP="00DA2ABB"/>
    <w:p w14:paraId="0B3D5D6F" w14:textId="77777777" w:rsidR="007F089A" w:rsidRPr="007F089A" w:rsidRDefault="007F089A" w:rsidP="007F089A"/>
    <w:p w14:paraId="10C0B8D6" w14:textId="77777777" w:rsidR="007F089A" w:rsidRPr="007F089A" w:rsidRDefault="007F089A" w:rsidP="007F089A"/>
    <w:p w14:paraId="60A76A5D" w14:textId="77777777" w:rsidR="00913CA6" w:rsidRDefault="00913CA6">
      <w:pPr>
        <w:spacing w:after="160" w:line="259" w:lineRule="auto"/>
        <w:rPr>
          <w:rFonts w:asciiTheme="majorHAnsi" w:eastAsiaTheme="majorEastAsia" w:hAnsiTheme="majorHAnsi" w:cstheme="majorBidi"/>
          <w:sz w:val="32"/>
          <w:szCs w:val="32"/>
        </w:rPr>
      </w:pPr>
      <w:r>
        <w:br w:type="page"/>
      </w:r>
    </w:p>
    <w:p w14:paraId="6D56CF11" w14:textId="11A86E78" w:rsidR="004920AC" w:rsidRDefault="00156D06" w:rsidP="00156D06">
      <w:pPr>
        <w:pStyle w:val="Heading1"/>
      </w:pPr>
      <w:bookmarkStart w:id="3" w:name="_Ref42405417"/>
      <w:r>
        <w:lastRenderedPageBreak/>
        <w:t>Appendix B – Excerpt</w:t>
      </w:r>
      <w:r w:rsidR="00913CA6">
        <w:t>s</w:t>
      </w:r>
      <w:r>
        <w:t xml:space="preserve"> from BLS report</w:t>
      </w:r>
      <w:bookmarkEnd w:id="3"/>
    </w:p>
    <w:p w14:paraId="7698D02E" w14:textId="30C61097" w:rsidR="00156D06" w:rsidRDefault="00156D06" w:rsidP="00286BDE"/>
    <w:p w14:paraId="0A104CB3" w14:textId="09123720" w:rsidR="00156D06" w:rsidRDefault="00156D06" w:rsidP="00156D06">
      <w:pPr>
        <w:pStyle w:val="Heading2"/>
      </w:pPr>
      <w:r>
        <w:t>March Report, dated 3 April 2020</w:t>
      </w:r>
    </w:p>
    <w:p w14:paraId="48A0E4C3" w14:textId="77777777" w:rsidR="00156D06" w:rsidRDefault="00156D06" w:rsidP="00156D06">
      <w:r>
        <w:t>However, there was also a large increase in the number of workers who were classified as employed but</w:t>
      </w:r>
    </w:p>
    <w:p w14:paraId="5F74F1FE" w14:textId="77777777" w:rsidR="00156D06" w:rsidRDefault="00156D06" w:rsidP="00156D06">
      <w:r>
        <w:t>absent from work. Special instructions sent to household survey interviewers just before data collection</w:t>
      </w:r>
    </w:p>
    <w:p w14:paraId="24747F5B" w14:textId="77777777" w:rsidR="00156D06" w:rsidRDefault="00156D06" w:rsidP="00156D06">
      <w:r>
        <w:t>started for March called for all employed persons absent from work due to coronavirus-related business</w:t>
      </w:r>
    </w:p>
    <w:p w14:paraId="244696FC" w14:textId="77777777" w:rsidR="00156D06" w:rsidRDefault="00156D06" w:rsidP="00156D06">
      <w:r>
        <w:t>closures to be classified as unemployed on temporary layoff. However, it is apparent that not all such</w:t>
      </w:r>
    </w:p>
    <w:p w14:paraId="431AFB9E" w14:textId="77777777" w:rsidR="00156D06" w:rsidRDefault="00156D06" w:rsidP="00156D06">
      <w:r>
        <w:t>workers were so classified. Such a misclassification is an example of nonsampling error and can occur</w:t>
      </w:r>
    </w:p>
    <w:p w14:paraId="7D33AD78" w14:textId="79C7697F" w:rsidR="00156D06" w:rsidRDefault="00156D06" w:rsidP="00156D06">
      <w:r>
        <w:t>when respondents misunderstand questions or interviewers record answers incorrectly.</w:t>
      </w:r>
    </w:p>
    <w:p w14:paraId="72272E4F" w14:textId="77777777" w:rsidR="00156D06" w:rsidRDefault="00156D06" w:rsidP="00156D06"/>
    <w:p w14:paraId="4292C2F7" w14:textId="77777777" w:rsidR="00156D06" w:rsidRDefault="00156D06" w:rsidP="00156D06">
      <w:r>
        <w:t>If the workers who were recorded as employed but absent from work due to “other reasons” (over and</w:t>
      </w:r>
    </w:p>
    <w:p w14:paraId="134E46A4" w14:textId="77777777" w:rsidR="00156D06" w:rsidRDefault="00156D06" w:rsidP="00156D06">
      <w:r>
        <w:t>above the number absent for other reasons in a typical March) had been classified as unemployed on</w:t>
      </w:r>
    </w:p>
    <w:p w14:paraId="1AD97A1A" w14:textId="6FD1AFB7" w:rsidR="00156D06" w:rsidRDefault="00156D06" w:rsidP="00156D06">
      <w:r>
        <w:t>temporary layoff, the overall unemployment rate would have been almost 1 percentage point higher than</w:t>
      </w:r>
      <w:r w:rsidR="005D1A30">
        <w:t xml:space="preserve"> </w:t>
      </w:r>
      <w:r>
        <w:t>reported. However, according to usual practice, the data from the household survey are accepted as</w:t>
      </w:r>
      <w:r w:rsidR="005D1A30">
        <w:t xml:space="preserve"> </w:t>
      </w:r>
      <w:r>
        <w:t>recorded. To maintain data integrity, no ad hoc actions are taken to reclassify survey responses.</w:t>
      </w:r>
    </w:p>
    <w:p w14:paraId="1F416189" w14:textId="77777777" w:rsidR="005D1A30" w:rsidRDefault="005D1A30" w:rsidP="00156D06"/>
    <w:p w14:paraId="73B6A3F0" w14:textId="5A4EE203" w:rsidR="005D1A30" w:rsidRDefault="005D1A30" w:rsidP="00156D06">
      <w:r>
        <w:t>In the establishment survey, workers who are paid by their employer for all or any part of the pay period including the 12th of the month are counted as employed, even if they were not actually at their jobs. Workers who are temporarily or permanently absent from their jobs, but are not being paid, are not counted as employed, even if they are continuing to receive benefits. The length of the reference period does vary across the respondents in the establishment survey; one-third of respondents have a weekly pay period, slightly over 40 percent a bi-weekly, about 20 percent semi-monthly, and a small amount monthly. Data collection for both surveys was affected by the coronavirus. The household survey is generally collected through in-person and telephone interviews, but personal interviews were suspended during the collection period for the safety of interviewers and respondents. The household survey response rate, at 73 percent, was about 10 percentage points lower than in recent months. In the establishment survey, about one-fifth of the data is generally collected by telephone at four regional data collection centers. Although these centers were closed during the collection period, efforts were made to collect data electronically. The collection rate for the establishment survey, at 66 percent, was about 9 percentage points lower than average.</w:t>
      </w:r>
    </w:p>
    <w:p w14:paraId="15209D4A" w14:textId="64289298" w:rsidR="00156D06" w:rsidRDefault="00156D06" w:rsidP="00156D06"/>
    <w:p w14:paraId="357D4A19" w14:textId="77777777" w:rsidR="00156D06" w:rsidRDefault="00156D06">
      <w:pPr>
        <w:spacing w:after="160" w:line="259" w:lineRule="auto"/>
        <w:rPr>
          <w:rFonts w:asciiTheme="majorHAnsi" w:eastAsiaTheme="majorEastAsia" w:hAnsiTheme="majorHAnsi" w:cstheme="majorBidi"/>
          <w:sz w:val="26"/>
          <w:szCs w:val="26"/>
        </w:rPr>
      </w:pPr>
      <w:r>
        <w:br w:type="page"/>
      </w:r>
    </w:p>
    <w:p w14:paraId="038CC1D7" w14:textId="45D91EBE" w:rsidR="00156D06" w:rsidRDefault="00156D06" w:rsidP="00156D06">
      <w:pPr>
        <w:pStyle w:val="Heading2"/>
      </w:pPr>
      <w:r>
        <w:lastRenderedPageBreak/>
        <w:t>April Report, dated 8 May. 2020</w:t>
      </w:r>
    </w:p>
    <w:p w14:paraId="2F0DC9A8" w14:textId="77777777" w:rsidR="00156D06" w:rsidRDefault="00156D06" w:rsidP="00156D06">
      <w:r>
        <w:t>However, there was also a large increase in the number of workers who were classified as employed but</w:t>
      </w:r>
    </w:p>
    <w:p w14:paraId="3EFDF8D7" w14:textId="77777777" w:rsidR="00156D06" w:rsidRDefault="00156D06" w:rsidP="00156D06">
      <w:r>
        <w:t>absent from work. As was the case in March, special instructions sent to household survey interviewers</w:t>
      </w:r>
    </w:p>
    <w:p w14:paraId="30401C89" w14:textId="77777777" w:rsidR="00156D06" w:rsidRDefault="00156D06" w:rsidP="00156D06">
      <w:r>
        <w:t>called for all employed persons absent from work due to coronavirus-related business closures to be</w:t>
      </w:r>
    </w:p>
    <w:p w14:paraId="269371BD" w14:textId="77777777" w:rsidR="00156D06" w:rsidRDefault="00156D06" w:rsidP="00156D06">
      <w:r>
        <w:t>classified as unemployed on temporary layoff. However, it is apparent that not all such workers were so</w:t>
      </w:r>
    </w:p>
    <w:p w14:paraId="017F1B75" w14:textId="77777777" w:rsidR="00156D06" w:rsidRDefault="00156D06" w:rsidP="00156D06">
      <w:r>
        <w:t>classified.</w:t>
      </w:r>
    </w:p>
    <w:p w14:paraId="044D0909" w14:textId="77777777" w:rsidR="00156D06" w:rsidRDefault="00156D06" w:rsidP="00156D06"/>
    <w:p w14:paraId="1A605439" w14:textId="77777777" w:rsidR="00156D06" w:rsidRDefault="00156D06" w:rsidP="00156D06">
      <w:r>
        <w:t>If the workers who were recorded as employed but absent from work due to “other reasons” (over and</w:t>
      </w:r>
    </w:p>
    <w:p w14:paraId="7C8BC549" w14:textId="77777777" w:rsidR="00156D06" w:rsidRDefault="00156D06" w:rsidP="00156D06">
      <w:r>
        <w:t>above the number absent for other reasons in a typical April) had been classified as unemployed on</w:t>
      </w:r>
    </w:p>
    <w:p w14:paraId="191C7365" w14:textId="77777777" w:rsidR="00156D06" w:rsidRDefault="00156D06" w:rsidP="00156D06">
      <w:r>
        <w:t>temporary layoff, the overall unemployment rate would have been almost 5 percentage points higher</w:t>
      </w:r>
    </w:p>
    <w:p w14:paraId="518A6889" w14:textId="507F51A0" w:rsidR="00156D06" w:rsidRDefault="00156D06" w:rsidP="00156D06">
      <w:r>
        <w:t>than reported (on a not seasonally adjusted basis). However, according to usual practice, the data from the household survey are accepted as recorded. To maintain data integrity, no ad hoc actions are taken to</w:t>
      </w:r>
      <w:r>
        <w:t xml:space="preserve"> </w:t>
      </w:r>
      <w:r>
        <w:t>reclassify survey responses.</w:t>
      </w:r>
    </w:p>
    <w:p w14:paraId="5935C91A" w14:textId="77777777" w:rsidR="00156D06" w:rsidRPr="00156D06" w:rsidRDefault="00156D06" w:rsidP="00156D06"/>
    <w:p w14:paraId="04606896" w14:textId="77777777" w:rsidR="00156D06" w:rsidRPr="00156D06" w:rsidRDefault="00156D06" w:rsidP="00156D06"/>
    <w:p w14:paraId="39773617" w14:textId="24B3354B" w:rsidR="00156D06" w:rsidRDefault="00156D06" w:rsidP="00156D06">
      <w:pPr>
        <w:pStyle w:val="Heading2"/>
      </w:pPr>
      <w:r>
        <w:t>May Report, dated 5 Jun 2020</w:t>
      </w:r>
    </w:p>
    <w:p w14:paraId="285A5CAC" w14:textId="77777777" w:rsidR="00156D06" w:rsidRDefault="00156D06" w:rsidP="00156D06">
      <w:r>
        <w:t>However, there was also a large number of workers who were classified as employed but absent from</w:t>
      </w:r>
    </w:p>
    <w:p w14:paraId="2DA20B33" w14:textId="77777777" w:rsidR="00156D06" w:rsidRDefault="00156D06" w:rsidP="00156D06">
      <w:r>
        <w:t>work. As was the case in March and April, household survey interviewers were instructed to classify</w:t>
      </w:r>
    </w:p>
    <w:p w14:paraId="3C947FC4" w14:textId="77777777" w:rsidR="00156D06" w:rsidRDefault="00156D06" w:rsidP="00156D06">
      <w:r>
        <w:t>employed persons absent from work due to coronavirus-related business closures as unemployed on</w:t>
      </w:r>
    </w:p>
    <w:p w14:paraId="27F64CAF" w14:textId="77777777" w:rsidR="00156D06" w:rsidRDefault="00156D06" w:rsidP="00156D06">
      <w:r>
        <w:t>temporary layoff. However, it is apparent that not all such workers were so classified. BLS and the</w:t>
      </w:r>
    </w:p>
    <w:p w14:paraId="2EE89E2E" w14:textId="77777777" w:rsidR="00156D06" w:rsidRDefault="00156D06" w:rsidP="00156D06">
      <w:r>
        <w:t>Census Bureau are investigating why this misclassification error continues to occur and are taking</w:t>
      </w:r>
    </w:p>
    <w:p w14:paraId="2D0924ED" w14:textId="77777777" w:rsidR="00156D06" w:rsidRDefault="00156D06" w:rsidP="00156D06">
      <w:r>
        <w:t>additional steps to address the issue.</w:t>
      </w:r>
    </w:p>
    <w:p w14:paraId="52DA663F" w14:textId="77777777" w:rsidR="00156D06" w:rsidRDefault="00156D06" w:rsidP="00156D06">
      <w:r>
        <w:t>If the workers who were recorded as employed but absent from work due to “other reasons” (over and</w:t>
      </w:r>
    </w:p>
    <w:p w14:paraId="1F916A09" w14:textId="77777777" w:rsidR="00156D06" w:rsidRDefault="00156D06" w:rsidP="00156D06">
      <w:r>
        <w:t>above the number absent for other reasons in a typical May) had been classified as unemployed on</w:t>
      </w:r>
    </w:p>
    <w:p w14:paraId="034EB809" w14:textId="655B3A66" w:rsidR="00156D06" w:rsidRDefault="00156D06" w:rsidP="00156D06">
      <w:r>
        <w:t>temporary layoff, the overall unemployment rate would have been about 3 percentage points higher than</w:t>
      </w:r>
      <w:r w:rsidR="002E64A3">
        <w:t xml:space="preserve"> </w:t>
      </w:r>
      <w:r>
        <w:t>reported (on a not seasonally adjusted basis). However, according to usual practice, the data from the</w:t>
      </w:r>
      <w:r w:rsidR="002E64A3">
        <w:t xml:space="preserve"> </w:t>
      </w:r>
      <w:r>
        <w:t>household survey are accepted as recorded. To maintain data integrity, no ad hoc actions are taken to</w:t>
      </w:r>
      <w:r w:rsidR="002E64A3">
        <w:t xml:space="preserve"> </w:t>
      </w:r>
      <w:r>
        <w:t>reclassify survey responses</w:t>
      </w:r>
      <w:r w:rsidR="00080F4E">
        <w:t>.</w:t>
      </w:r>
    </w:p>
    <w:p w14:paraId="77DC3EEE" w14:textId="57673588" w:rsidR="00080F4E" w:rsidRDefault="00080F4E" w:rsidP="00156D06"/>
    <w:p w14:paraId="420B936E" w14:textId="77777777" w:rsidR="00080F4E" w:rsidRDefault="00080F4E">
      <w:pPr>
        <w:spacing w:after="160" w:line="259" w:lineRule="auto"/>
        <w:rPr>
          <w:rFonts w:asciiTheme="majorHAnsi" w:eastAsiaTheme="majorEastAsia" w:hAnsiTheme="majorHAnsi" w:cstheme="majorBidi"/>
          <w:sz w:val="32"/>
          <w:szCs w:val="32"/>
        </w:rPr>
      </w:pPr>
      <w:r>
        <w:br w:type="page"/>
      </w:r>
    </w:p>
    <w:p w14:paraId="2D7D9306" w14:textId="68CEC144" w:rsidR="00080F4E" w:rsidRDefault="00080F4E" w:rsidP="00080F4E">
      <w:pPr>
        <w:pStyle w:val="Heading1"/>
      </w:pPr>
      <w:r>
        <w:lastRenderedPageBreak/>
        <w:t>Appendix C – Residual Histograms</w:t>
      </w:r>
    </w:p>
    <w:p w14:paraId="5ED92C09" w14:textId="77777777" w:rsidR="00080F4E" w:rsidRPr="00080F4E" w:rsidRDefault="00080F4E" w:rsidP="00080F4E"/>
    <w:p w14:paraId="47EC0F6B" w14:textId="77777777" w:rsidR="00080F4E" w:rsidRDefault="00080F4E" w:rsidP="00080F4E">
      <w:pPr>
        <w:keepNext/>
      </w:pPr>
      <w:r w:rsidRPr="00080F4E">
        <w:drawing>
          <wp:inline distT="0" distB="0" distL="0" distR="0" wp14:anchorId="21FED994" wp14:editId="4518D58F">
            <wp:extent cx="5943600" cy="3303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03270"/>
                    </a:xfrm>
                    <a:prstGeom prst="rect">
                      <a:avLst/>
                    </a:prstGeom>
                  </pic:spPr>
                </pic:pic>
              </a:graphicData>
            </a:graphic>
          </wp:inline>
        </w:drawing>
      </w:r>
    </w:p>
    <w:p w14:paraId="626DDD63" w14:textId="71D12A7F" w:rsidR="00080F4E" w:rsidRDefault="00080F4E" w:rsidP="00080F4E">
      <w:pPr>
        <w:pStyle w:val="Caption"/>
      </w:pPr>
      <w:r>
        <w:t xml:space="preserve">Figure </w:t>
      </w:r>
      <w:fldSimple w:instr=" SEQ Figure \* ARABIC ">
        <w:r w:rsidR="0009081D">
          <w:rPr>
            <w:noProof/>
          </w:rPr>
          <w:t>9</w:t>
        </w:r>
      </w:fldSimple>
      <w:r>
        <w:t xml:space="preserve"> - Residual histogram for U6 predicted from U3</w:t>
      </w:r>
      <w:r w:rsidR="00C23B18">
        <w:t xml:space="preserve"> using a linear model.</w:t>
      </w:r>
    </w:p>
    <w:p w14:paraId="33BA28A4" w14:textId="07B5EBC1" w:rsidR="00C03523" w:rsidRDefault="00C03523" w:rsidP="00C03523"/>
    <w:p w14:paraId="74E0A8A8" w14:textId="77777777" w:rsidR="00C03523" w:rsidRDefault="00C03523" w:rsidP="00C03523">
      <w:pPr>
        <w:keepNext/>
      </w:pPr>
      <w:r w:rsidRPr="00C03523">
        <w:drawing>
          <wp:inline distT="0" distB="0" distL="0" distR="0" wp14:anchorId="3554233B" wp14:editId="2E4E8151">
            <wp:extent cx="5943600" cy="3704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04590"/>
                    </a:xfrm>
                    <a:prstGeom prst="rect">
                      <a:avLst/>
                    </a:prstGeom>
                  </pic:spPr>
                </pic:pic>
              </a:graphicData>
            </a:graphic>
          </wp:inline>
        </w:drawing>
      </w:r>
    </w:p>
    <w:p w14:paraId="69220C39" w14:textId="52FE1C42" w:rsidR="00C03523" w:rsidRDefault="00C03523" w:rsidP="00C03523">
      <w:pPr>
        <w:pStyle w:val="Caption"/>
      </w:pPr>
      <w:bookmarkStart w:id="4" w:name="_Ref42405865"/>
      <w:r>
        <w:t xml:space="preserve">Figure </w:t>
      </w:r>
      <w:fldSimple w:instr=" SEQ Figure \* ARABIC ">
        <w:r w:rsidR="0009081D">
          <w:rPr>
            <w:noProof/>
          </w:rPr>
          <w:t>10</w:t>
        </w:r>
      </w:fldSimple>
      <w:bookmarkEnd w:id="4"/>
      <w:r>
        <w:t xml:space="preserve"> -</w:t>
      </w:r>
      <w:r w:rsidRPr="00C03523">
        <w:t xml:space="preserve"> </w:t>
      </w:r>
      <w:r>
        <w:t>Residual histogram for U</w:t>
      </w:r>
      <w:r>
        <w:t>3 predicted from ICSA using a linear model.</w:t>
      </w:r>
    </w:p>
    <w:p w14:paraId="51A8F699" w14:textId="77777777" w:rsidR="00663FB0" w:rsidRDefault="00663FB0" w:rsidP="00663FB0">
      <w:pPr>
        <w:keepNext/>
      </w:pPr>
      <w:r w:rsidRPr="00663FB0">
        <w:lastRenderedPageBreak/>
        <w:drawing>
          <wp:inline distT="0" distB="0" distL="0" distR="0" wp14:anchorId="1B689DF7" wp14:editId="4EE19539">
            <wp:extent cx="5943600" cy="38284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28415"/>
                    </a:xfrm>
                    <a:prstGeom prst="rect">
                      <a:avLst/>
                    </a:prstGeom>
                  </pic:spPr>
                </pic:pic>
              </a:graphicData>
            </a:graphic>
          </wp:inline>
        </w:drawing>
      </w:r>
    </w:p>
    <w:p w14:paraId="3C485CD5" w14:textId="594D745A" w:rsidR="00663FB0" w:rsidRDefault="00663FB0" w:rsidP="00663FB0">
      <w:pPr>
        <w:pStyle w:val="Caption"/>
      </w:pPr>
      <w:bookmarkStart w:id="5" w:name="_Ref42406206"/>
      <w:r>
        <w:t xml:space="preserve">Figure </w:t>
      </w:r>
      <w:fldSimple w:instr=" SEQ Figure \* ARABIC ">
        <w:r w:rsidR="0009081D">
          <w:rPr>
            <w:noProof/>
          </w:rPr>
          <w:t>11</w:t>
        </w:r>
      </w:fldSimple>
      <w:bookmarkEnd w:id="5"/>
      <w:r>
        <w:t xml:space="preserve"> -</w:t>
      </w:r>
      <w:r w:rsidRPr="00C03523">
        <w:t xml:space="preserve"> </w:t>
      </w:r>
      <w:r>
        <w:t xml:space="preserve">Residual histogram for U3 predicted from </w:t>
      </w:r>
      <w:r>
        <w:t>C</w:t>
      </w:r>
      <w:r>
        <w:t>CSA using a linear model.</w:t>
      </w:r>
    </w:p>
    <w:p w14:paraId="3EE35A6A" w14:textId="3F1E381D" w:rsidR="00C03523" w:rsidRPr="00C03523" w:rsidRDefault="00C03523" w:rsidP="00663FB0">
      <w:pPr>
        <w:pStyle w:val="Caption"/>
      </w:pPr>
    </w:p>
    <w:p w14:paraId="758D266D" w14:textId="77777777" w:rsidR="00C23B18" w:rsidRPr="00C23B18" w:rsidRDefault="00C23B18" w:rsidP="00C23B18"/>
    <w:sectPr w:rsidR="00C23B18" w:rsidRPr="00C23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D5D"/>
    <w:rsid w:val="00080F4E"/>
    <w:rsid w:val="0009081D"/>
    <w:rsid w:val="00156D06"/>
    <w:rsid w:val="001B459E"/>
    <w:rsid w:val="001B6D5D"/>
    <w:rsid w:val="00286BDE"/>
    <w:rsid w:val="002E64A3"/>
    <w:rsid w:val="003C647F"/>
    <w:rsid w:val="00412FB0"/>
    <w:rsid w:val="00425BBB"/>
    <w:rsid w:val="004920AC"/>
    <w:rsid w:val="005A4CCC"/>
    <w:rsid w:val="005D1A30"/>
    <w:rsid w:val="00663FB0"/>
    <w:rsid w:val="00685183"/>
    <w:rsid w:val="00685DAE"/>
    <w:rsid w:val="00691AE1"/>
    <w:rsid w:val="0079066D"/>
    <w:rsid w:val="007A134F"/>
    <w:rsid w:val="007A5A83"/>
    <w:rsid w:val="007F089A"/>
    <w:rsid w:val="00801A14"/>
    <w:rsid w:val="0083187E"/>
    <w:rsid w:val="00875FBB"/>
    <w:rsid w:val="00913CA6"/>
    <w:rsid w:val="00A6284E"/>
    <w:rsid w:val="00AA7C8F"/>
    <w:rsid w:val="00B702FF"/>
    <w:rsid w:val="00C03523"/>
    <w:rsid w:val="00C23B18"/>
    <w:rsid w:val="00DA2ABB"/>
    <w:rsid w:val="00DD6948"/>
    <w:rsid w:val="00EB3DDA"/>
    <w:rsid w:val="00F61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7889C"/>
  <w15:chartTrackingRefBased/>
  <w15:docId w15:val="{0E159BB1-0D46-4F9F-9333-B149D3048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BDE"/>
    <w:pPr>
      <w:spacing w:after="0" w:line="240" w:lineRule="auto"/>
    </w:pPr>
    <w:rPr>
      <w:rFonts w:ascii="Calibri" w:hAnsi="Calibri" w:cs="Calibri"/>
    </w:rPr>
  </w:style>
  <w:style w:type="paragraph" w:styleId="Heading1">
    <w:name w:val="heading 1"/>
    <w:basedOn w:val="Normal"/>
    <w:next w:val="Normal"/>
    <w:link w:val="Heading1Char"/>
    <w:uiPriority w:val="9"/>
    <w:qFormat/>
    <w:rsid w:val="00685DAE"/>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156D06"/>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DAE"/>
    <w:rPr>
      <w:rFonts w:asciiTheme="majorHAnsi" w:eastAsiaTheme="majorEastAsia" w:hAnsiTheme="majorHAnsi" w:cstheme="majorBidi"/>
      <w:sz w:val="32"/>
      <w:szCs w:val="32"/>
    </w:rPr>
  </w:style>
  <w:style w:type="paragraph" w:styleId="Caption">
    <w:name w:val="caption"/>
    <w:basedOn w:val="Normal"/>
    <w:next w:val="Normal"/>
    <w:uiPriority w:val="35"/>
    <w:unhideWhenUsed/>
    <w:qFormat/>
    <w:rsid w:val="004920AC"/>
    <w:pPr>
      <w:spacing w:after="200"/>
    </w:pPr>
    <w:rPr>
      <w:i/>
      <w:iCs/>
      <w:color w:val="44546A" w:themeColor="text2"/>
      <w:sz w:val="18"/>
      <w:szCs w:val="18"/>
    </w:rPr>
  </w:style>
  <w:style w:type="character" w:customStyle="1" w:styleId="Heading2Char">
    <w:name w:val="Heading 2 Char"/>
    <w:basedOn w:val="DefaultParagraphFont"/>
    <w:link w:val="Heading2"/>
    <w:uiPriority w:val="9"/>
    <w:rsid w:val="00156D06"/>
    <w:rPr>
      <w:rFonts w:asciiTheme="majorHAnsi" w:eastAsiaTheme="majorEastAsia" w:hAnsiTheme="majorHAnsi"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078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42D0C-B97A-48B7-889B-AB50C19D7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14</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Howard</dc:creator>
  <cp:keywords/>
  <dc:description/>
  <cp:lastModifiedBy>Brian Howard</cp:lastModifiedBy>
  <cp:revision>29</cp:revision>
  <dcterms:created xsi:type="dcterms:W3CDTF">2020-06-06T23:06:00Z</dcterms:created>
  <dcterms:modified xsi:type="dcterms:W3CDTF">2020-06-07T14:11:00Z</dcterms:modified>
</cp:coreProperties>
</file>