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F0653" w14:textId="77777777" w:rsidR="00931A7A" w:rsidRDefault="0049783F">
      <w:pPr>
        <w:pStyle w:val="Subttulo"/>
      </w:pPr>
      <w:r>
        <w:t>ISFT 189</w:t>
      </w:r>
    </w:p>
    <w:p w14:paraId="08928615" w14:textId="77777777" w:rsidR="00931A7A" w:rsidRDefault="0049783F">
      <w:r>
        <w:t>Tecnicatura Superior en Análisis de Sistemas</w:t>
      </w:r>
    </w:p>
    <w:p w14:paraId="782E84A1" w14:textId="77777777" w:rsidR="00931A7A" w:rsidRDefault="0049783F">
      <w:r>
        <w:t>Prácticas Profesionalizantes III</w:t>
      </w:r>
    </w:p>
    <w:p w14:paraId="2BA30CC0" w14:textId="77777777" w:rsidR="00931A7A" w:rsidRDefault="00931A7A"/>
    <w:p w14:paraId="292CE9C2" w14:textId="77777777" w:rsidR="00931A7A" w:rsidRDefault="00931A7A"/>
    <w:p w14:paraId="3B10804F" w14:textId="77777777" w:rsidR="00931A7A" w:rsidRDefault="0049783F">
      <w:pPr>
        <w:pStyle w:val="Ttulo"/>
      </w:pPr>
      <w:r>
        <w:t>Anexo de reglas funcionales y técnicas</w:t>
      </w:r>
    </w:p>
    <w:p w14:paraId="03171F75" w14:textId="77777777" w:rsidR="00931A7A" w:rsidRDefault="0049783F">
      <w:pPr>
        <w:pStyle w:val="Subttulo"/>
      </w:pPr>
      <w:r>
        <w:t>Sistema de Gestión Comercial Prana Electrónica</w:t>
      </w:r>
    </w:p>
    <w:p w14:paraId="291E8D4B" w14:textId="77777777" w:rsidR="00931A7A" w:rsidRDefault="00931A7A"/>
    <w:p w14:paraId="141F3C29" w14:textId="77777777" w:rsidR="00931A7A" w:rsidRDefault="0049783F">
      <w:r>
        <w:t>Autor  Valentín Morello</w:t>
      </w:r>
    </w:p>
    <w:p w14:paraId="0D53A712" w14:textId="77777777" w:rsidR="00931A7A" w:rsidRDefault="0049783F">
      <w:r>
        <w:t>Año  2026</w:t>
      </w:r>
    </w:p>
    <w:p w14:paraId="5D3D1D87" w14:textId="77777777" w:rsidR="00931A7A" w:rsidRDefault="0049783F">
      <w:r>
        <w:t>Edición  2 de octubre de 2026</w:t>
      </w:r>
    </w:p>
    <w:p w14:paraId="0CA2A288" w14:textId="77777777" w:rsidR="00931A7A" w:rsidRDefault="0049783F">
      <w:r>
        <w:br w:type="page"/>
      </w:r>
    </w:p>
    <w:p w14:paraId="5641F0C1" w14:textId="77777777" w:rsidR="00931A7A" w:rsidRDefault="0049783F">
      <w:pPr>
        <w:pStyle w:val="Ttulo"/>
      </w:pPr>
      <w:r>
        <w:lastRenderedPageBreak/>
        <w:t>Índice</w:t>
      </w:r>
    </w:p>
    <w:p w14:paraId="5B93E571" w14:textId="3A6D62EE" w:rsidR="00E30786" w:rsidRPr="00E30786" w:rsidRDefault="0049783F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r w:rsidRPr="00E30786">
        <w:rPr>
          <w:sz w:val="19"/>
        </w:rPr>
        <w:fldChar w:fldCharType="begin"/>
      </w:r>
      <w:r w:rsidRPr="00E30786">
        <w:rPr>
          <w:sz w:val="19"/>
        </w:rPr>
        <w:instrText xml:space="preserve"> TOC \o "1-2" \h \z \u </w:instrText>
      </w:r>
      <w:r w:rsidRPr="00E30786">
        <w:rPr>
          <w:sz w:val="19"/>
        </w:rPr>
        <w:fldChar w:fldCharType="separate"/>
      </w:r>
      <w:hyperlink w:anchor="_Toc241857293" w:history="1">
        <w:r w:rsidR="00E30786" w:rsidRPr="00E30786">
          <w:rPr>
            <w:rStyle w:val="Hipervnculo"/>
            <w:noProof/>
            <w:sz w:val="19"/>
          </w:rPr>
          <w:t>1 Reglas y estados de implementación</w:t>
        </w:r>
        <w:r w:rsidR="00E30786" w:rsidRPr="00E30786">
          <w:rPr>
            <w:noProof/>
            <w:webHidden/>
            <w:sz w:val="19"/>
          </w:rPr>
          <w:tab/>
        </w:r>
        <w:r w:rsidR="00E30786" w:rsidRPr="00E30786">
          <w:rPr>
            <w:noProof/>
            <w:webHidden/>
            <w:sz w:val="19"/>
          </w:rPr>
          <w:fldChar w:fldCharType="begin"/>
        </w:r>
        <w:r w:rsidR="00E30786" w:rsidRPr="00E30786">
          <w:rPr>
            <w:noProof/>
            <w:webHidden/>
            <w:sz w:val="19"/>
          </w:rPr>
          <w:instrText xml:space="preserve"> PAGEREF _Toc241857293 \h </w:instrText>
        </w:r>
        <w:r w:rsidR="00E30786" w:rsidRPr="00E30786">
          <w:rPr>
            <w:noProof/>
            <w:webHidden/>
            <w:sz w:val="19"/>
          </w:rPr>
        </w:r>
        <w:r w:rsidR="00E30786" w:rsidRPr="00E30786">
          <w:rPr>
            <w:noProof/>
            <w:webHidden/>
            <w:sz w:val="19"/>
          </w:rPr>
          <w:fldChar w:fldCharType="separate"/>
        </w:r>
        <w:r w:rsidR="00E30786">
          <w:rPr>
            <w:noProof/>
            <w:webHidden/>
            <w:sz w:val="19"/>
          </w:rPr>
          <w:t>3</w:t>
        </w:r>
        <w:r w:rsidR="00E30786" w:rsidRPr="00E30786">
          <w:rPr>
            <w:noProof/>
            <w:webHidden/>
            <w:sz w:val="19"/>
          </w:rPr>
          <w:fldChar w:fldCharType="end"/>
        </w:r>
      </w:hyperlink>
    </w:p>
    <w:p w14:paraId="53D603C8" w14:textId="6BB5025D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4" w:history="1">
        <w:r w:rsidRPr="00E30786">
          <w:rPr>
            <w:rStyle w:val="Hipervnculo"/>
            <w:noProof/>
            <w:sz w:val="19"/>
          </w:rPr>
          <w:t>2 Acceso usuarios y sesión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_Toc241857294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3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545BE06E" w14:textId="2042B7CE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5" w:history="1">
        <w:r w:rsidRPr="00E30786">
          <w:rPr>
            <w:rStyle w:val="Hipervnculo"/>
            <w:noProof/>
            <w:sz w:val="19"/>
          </w:rPr>
          <w:t>3 Clientes y deuda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_Toc241857295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4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63BDAE75" w14:textId="15036EF7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6" w:history="1">
        <w:r w:rsidRPr="00E30786">
          <w:rPr>
            <w:rStyle w:val="Hipervnculo"/>
            <w:noProof/>
            <w:sz w:val="19"/>
          </w:rPr>
          <w:t>4 Productos proveedores y stock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_Toc241857296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4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7EDA97D1" w14:textId="763B872D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7" w:history="1">
        <w:r w:rsidRPr="00E30786">
          <w:rPr>
            <w:rStyle w:val="Hipervnculo"/>
            <w:noProof/>
            <w:sz w:val="19"/>
          </w:rPr>
          <w:t>5 Ventas pagos y estados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_Toc241857297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5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22FF1A8C" w14:textId="5C15C425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8" w:history="1">
        <w:r w:rsidRPr="00E30786">
          <w:rPr>
            <w:rStyle w:val="Hipervnculo"/>
            <w:noProof/>
            <w:sz w:val="19"/>
          </w:rPr>
          <w:t>6 Preparación y entrega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_Toc241857298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6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2FAA3CCF" w14:textId="467551FE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299" w:history="1">
        <w:r w:rsidRPr="00E30786">
          <w:rPr>
            <w:rStyle w:val="Hipervnculo"/>
            <w:noProof/>
            <w:sz w:val="19"/>
          </w:rPr>
          <w:t>7 Caja comprobantes informes y auditoría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_Toc241857299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6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30EBA3C5" w14:textId="68F3A82E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300" w:history="1">
        <w:r w:rsidRPr="00E30786">
          <w:rPr>
            <w:rStyle w:val="Hipervnculo"/>
            <w:noProof/>
            <w:sz w:val="19"/>
          </w:rPr>
          <w:t>8 Base de datos y distribución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_Toc241857300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7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5AF69CD9" w14:textId="047C6282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301" w:history="1">
        <w:r w:rsidRPr="00E30786">
          <w:rPr>
            <w:rStyle w:val="Hipervnculo"/>
            <w:noProof/>
            <w:sz w:val="19"/>
          </w:rPr>
          <w:t>9 Decisiones de negocio y ejemplos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_Toc241857301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7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41EC1A55" w14:textId="3336E401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302" w:history="1">
        <w:r w:rsidRPr="00E30786">
          <w:rPr>
            <w:rStyle w:val="Hipervnculo"/>
            <w:noProof/>
            <w:sz w:val="19"/>
          </w:rPr>
          <w:t>10 Tareas técnicas pendientes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_Toc241857302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8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19BAFF21" w14:textId="3593BC8E" w:rsidR="00E30786" w:rsidRPr="00E30786" w:rsidRDefault="00E30786" w:rsidP="00E30786">
      <w:pPr>
        <w:pStyle w:val="TDC1"/>
        <w:tabs>
          <w:tab w:val="right" w:leader="dot" w:pos="9514"/>
        </w:tabs>
        <w:spacing w:after="60" w:line="240" w:lineRule="auto"/>
        <w:rPr>
          <w:rFonts w:asciiTheme="minorHAnsi" w:hAnsiTheme="minorHAnsi"/>
          <w:noProof/>
          <w:color w:val="auto"/>
          <w:sz w:val="19"/>
          <w:lang w:val="es-AR" w:eastAsia="es-AR"/>
        </w:rPr>
      </w:pPr>
      <w:hyperlink w:anchor="_Toc241857303" w:history="1">
        <w:r w:rsidRPr="00E30786">
          <w:rPr>
            <w:rStyle w:val="Hipervnculo"/>
            <w:noProof/>
            <w:sz w:val="19"/>
          </w:rPr>
          <w:t>11 Relación con las pruebas y mantenimiento del anexo</w:t>
        </w:r>
        <w:r w:rsidRPr="00E30786">
          <w:rPr>
            <w:noProof/>
            <w:webHidden/>
            <w:sz w:val="19"/>
          </w:rPr>
          <w:tab/>
        </w:r>
        <w:r w:rsidRPr="00E30786">
          <w:rPr>
            <w:noProof/>
            <w:webHidden/>
            <w:sz w:val="19"/>
          </w:rPr>
          <w:fldChar w:fldCharType="begin"/>
        </w:r>
        <w:r w:rsidRPr="00E30786">
          <w:rPr>
            <w:noProof/>
            <w:webHidden/>
            <w:sz w:val="19"/>
          </w:rPr>
          <w:instrText xml:space="preserve"> PAGEREF _Toc241857303 \h </w:instrText>
        </w:r>
        <w:r w:rsidRPr="00E30786">
          <w:rPr>
            <w:noProof/>
            <w:webHidden/>
            <w:sz w:val="19"/>
          </w:rPr>
        </w:r>
        <w:r w:rsidRPr="00E30786">
          <w:rPr>
            <w:noProof/>
            <w:webHidden/>
            <w:sz w:val="19"/>
          </w:rPr>
          <w:fldChar w:fldCharType="separate"/>
        </w:r>
        <w:r>
          <w:rPr>
            <w:noProof/>
            <w:webHidden/>
            <w:sz w:val="19"/>
          </w:rPr>
          <w:t>9</w:t>
        </w:r>
        <w:r w:rsidRPr="00E30786">
          <w:rPr>
            <w:noProof/>
            <w:webHidden/>
            <w:sz w:val="19"/>
          </w:rPr>
          <w:fldChar w:fldCharType="end"/>
        </w:r>
      </w:hyperlink>
    </w:p>
    <w:p w14:paraId="3ABE028A" w14:textId="35DA5D12" w:rsidR="00931A7A" w:rsidRDefault="0049783F" w:rsidP="00E30786">
      <w:pPr>
        <w:spacing w:after="60" w:line="240" w:lineRule="auto"/>
      </w:pPr>
      <w:r w:rsidRPr="00E30786">
        <w:rPr>
          <w:sz w:val="19"/>
        </w:rPr>
        <w:fldChar w:fldCharType="end"/>
      </w:r>
    </w:p>
    <w:p w14:paraId="26744D96" w14:textId="77777777" w:rsidR="00931A7A" w:rsidRDefault="0049783F">
      <w:pPr>
        <w:pStyle w:val="Ttulo1"/>
        <w:pageBreakBefore/>
      </w:pPr>
      <w:bookmarkStart w:id="0" w:name="_Toc241857293"/>
      <w:r>
        <w:lastRenderedPageBreak/>
        <w:t>1 Reglas y estados de implementación</w:t>
      </w:r>
      <w:bookmarkEnd w:id="0"/>
    </w:p>
    <w:p w14:paraId="56D14B15" w14:textId="77777777" w:rsidR="00931A7A" w:rsidRDefault="0049783F">
      <w:r>
        <w:t>El anexo organiza las reglas funcionales y técnicas vigentes del Sistema de Gestión Comercial Prana Electrónica. Cada regla indica su estado, referencias de implementación y ejemplo de aplicación. Implementada significa que existe el comportamiento descrito; no sustituye al resultado de una prueba. Parcial identifica cobertura incompleta y Pendiente una capacidad que debo incorporar.</w:t>
      </w:r>
    </w:p>
    <w:p w14:paraId="363A4B6E" w14:textId="77777777" w:rsidR="00931A7A" w:rsidRDefault="0049783F">
      <w:r>
        <w:t>Los identificadores de este anexo organizan la versión actual de la documentación. Las tareas técnicas corresponden a límites concretos del código y no representan funcionalidades terminadas.</w:t>
      </w:r>
    </w:p>
    <w:p w14:paraId="756C9CE4" w14:textId="77777777" w:rsidR="00931A7A" w:rsidRDefault="0049783F">
      <w:pPr>
        <w:pStyle w:val="Ttulo1"/>
      </w:pPr>
      <w:bookmarkStart w:id="1" w:name="_Toc241857294"/>
      <w:r>
        <w:t>2 Acceso usuarios y sesión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0E5FF4B3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62CBC02D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3D98672C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1ABAE13F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3080C3D4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23B1D1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0D7DFB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login exige usuario existente, activo y contraseña BCrypt válida. Una cuenta inactiva no ingresa aunque la clave coincida.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4AD1EB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CN_Usuario.IniciarSesion; CD_Usuario.BuscarUsuario; login.iconButton1_Click.</w:t>
            </w:r>
          </w:p>
        </w:tc>
      </w:tr>
      <w:tr w:rsidR="00931A7A" w14:paraId="07A71F2F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6E55D9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843CE2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contraseña nueva se transforma con BCrypt. Una entrada vacía o solo espacios se rechaza al generar hash.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1C47C04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CN_Usuario.GenerarHash y CrearUsuario.</w:t>
            </w:r>
          </w:p>
        </w:tc>
      </w:tr>
      <w:tr w:rsidR="00931A7A" w14:paraId="4ACA9249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1640FF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6C4371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edición modifica nombre, rol y contraseña; clave vacía conserva la actual. Ejemplo: renombrar una cuenta sin reiniciar su clave.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081489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frmUsuarios.Seleccionar y btnGuardar_Click; CN_Usuario.ModificarUsuario; CD_Usuario.ModificarUsuario.</w:t>
            </w:r>
          </w:p>
        </w:tc>
      </w:tr>
      <w:tr w:rsidR="00931A7A" w14:paraId="6AE08235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85AD4A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R-USR-04 Pendiente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2F9D1E9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Debo impedir nombres de usuario duplicados en altas y cambios. El esquema protege correo informado, pero no nombre_usuario.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39AADCA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CD_Usuario.CrearUsuario y ModificarUsuario; tablas Usuario e índice UX_Usuario_EmailInformado.</w:t>
            </w:r>
          </w:p>
        </w:tc>
      </w:tr>
      <w:tr w:rsidR="00931A7A" w14:paraId="25711A8A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1F00F4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R-USR-05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18729E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Los roles admitidos por altas y edición son 1 Administrador y 2 Vendedor. Otro identificador se rechaza en negocio.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295E65B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CN_Usuario.CrearUsuario y ModificarUsuario; Permisos.</w:t>
            </w:r>
          </w:p>
        </w:tc>
      </w:tr>
      <w:tr w:rsidR="00931A7A" w14:paraId="139E7DF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7F13D9A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R-USR-06 Parcial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792AED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política de permisos existe; no todas las entradas de negocio la exigen. Ejemplo: Caja está protegida en CN_Caja, pero CN_Usuario no aplica verificación central.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114B5F9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Permisos.TienePermiso; CN_Pago.Verificar; Interfaz; CN_Caja; CN_Usuario.</w:t>
            </w:r>
          </w:p>
        </w:tc>
      </w:tr>
      <w:tr w:rsidR="00931A7A" w14:paraId="3739A6F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25263D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R-USR-07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DCCE80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Cerrar Inicio elimina SesionActual.Usuario y vuelve al login con campos vacíos.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8EF165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SesionActual.CerrarSesion; login.frm_closing.</w:t>
            </w:r>
          </w:p>
        </w:tc>
      </w:tr>
      <w:tr w:rsidR="00931A7A" w14:paraId="6FE2DB70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39C6CF2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R-USR-08 Pendiente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1B07112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Debo actualizar o invalidar la sesión después de modificar la cuenta autenticada y proteger al último administrador.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92A895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SesionActual; frmUsuarios; CN_Usuario.ModificarUsuario.</w:t>
            </w:r>
          </w:p>
        </w:tc>
      </w:tr>
      <w:tr w:rsidR="00931A7A" w14:paraId="23CE8A2A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D0950F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R-USR-09 Pendiente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975237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recuperación personal y el cambio con contraseña anterior no están implementados. La edición administrativa no equivale a esos flujos.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DDEB4E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login; frmUsuarios; CN_Usuario.</w:t>
            </w:r>
          </w:p>
        </w:tc>
      </w:tr>
    </w:tbl>
    <w:p w14:paraId="45971FFC" w14:textId="77777777" w:rsidR="00931A7A" w:rsidRDefault="00931A7A">
      <w:pPr>
        <w:spacing w:after="40"/>
      </w:pPr>
    </w:p>
    <w:p w14:paraId="51B2DF43" w14:textId="77777777" w:rsidR="00931A7A" w:rsidRDefault="0049783F">
      <w:pPr>
        <w:pStyle w:val="Ttulo1"/>
      </w:pPr>
      <w:bookmarkStart w:id="2" w:name="_Toc241857295"/>
      <w:r>
        <w:lastRenderedPageBreak/>
        <w:t>3 Clientes y deuda</w:t>
      </w:r>
      <w:bookmarkEnd w:id="2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6E18B60F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562BE993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6DAC9D3E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1219427F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5577CB16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50D58E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R-CLI-01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C19897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Nombre y apellido son obligatorios y tienen formato de letras, espacios y caracteres permitidos. DNI exige 7 u 8 dígitos; teléfono admite formato entre 8 y 20 caracteres.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ABC50E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CN_Cliente.NuevoCliente y ModificarCliente.</w:t>
            </w:r>
          </w:p>
        </w:tc>
      </w:tr>
      <w:tr w:rsidR="00931A7A" w14:paraId="3D96B6D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6FB6F4C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R-CLI-02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58D9D58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Debe evitarse otro cliente con el mismo DNI; edición excluye su propio identificador.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37E093E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CN_Cliente; CD_Cliente.ExisteClientePorDNI.</w:t>
            </w:r>
          </w:p>
        </w:tc>
      </w:tr>
      <w:tr w:rsidR="00931A7A" w14:paraId="387FD17B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9F06F1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R-CLI-03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7E2357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Dirección, ciudad y código postal son opcionales. Ejemplo: registrar un cliente con nombre, apellido, DNI y teléfono sin domicilio.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C2A295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frmClientes; CD_Cliente.NuevoCliente y ModificarCliente.</w:t>
            </w:r>
          </w:p>
        </w:tc>
      </w:tr>
      <w:tr w:rsidR="00931A7A" w14:paraId="3288F18F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1A94395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R-CLI-04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4368C0C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Código postal se normaliza a mayúsculas y admite hasta 12 letras, números, espacios o guiones. B6700ABC es una entrada válida.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24B7998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CN_Cliente.ValidarCodigoPostal; Cliente.CodigoPostal.</w:t>
            </w:r>
          </w:p>
        </w:tc>
      </w:tr>
      <w:tr w:rsidR="00931A7A" w14:paraId="71BC5E79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AA7D2E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R-CLI-05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3533E4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deuda surge de ventas y pagos; no se edita como saldo manual del cliente. Ver detalle muestra ventas con deuda.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B896A3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CD_Cliente.buscarCliente; CN_Venta.ObtenerDeudasCliente; frmDeudaCliente.</w:t>
            </w:r>
          </w:p>
        </w:tc>
      </w:tr>
    </w:tbl>
    <w:p w14:paraId="62814563" w14:textId="77777777" w:rsidR="00931A7A" w:rsidRDefault="00931A7A">
      <w:pPr>
        <w:spacing w:after="40"/>
      </w:pPr>
    </w:p>
    <w:p w14:paraId="144FC381" w14:textId="77777777" w:rsidR="00931A7A" w:rsidRDefault="0049783F">
      <w:pPr>
        <w:pStyle w:val="Ttulo1"/>
      </w:pPr>
      <w:bookmarkStart w:id="3" w:name="_Toc241857296"/>
      <w:r>
        <w:t>4 Productos proveedores y stock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0B61E22A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530BEBDA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0B63E8AF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12E236ED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658F26B3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52E245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R-PROD-01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63541E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 requiere nombre, marca, categoría y una variante con condición y precio positivo. La pantalla también exige color.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42EE18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CN_Producto.NuevoProducto; frmStock.btnAgregarVariante_Click.</w:t>
            </w:r>
          </w:p>
        </w:tc>
      </w:tr>
      <w:tr w:rsidR="00931A7A" w14:paraId="2CD7EBE9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3FCC8A6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R-PROD-02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24E56D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Marca y categoría se buscan o crean en la transacción del alta; las variantes se insertan con disponible cero.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10A88A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CD_Producto.nuevoProducto.</w:t>
            </w:r>
          </w:p>
        </w:tc>
      </w:tr>
      <w:tr w:rsidR="00931A7A" w14:paraId="5E507691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282155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R-PROD-03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378D62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eliminación visible desactiva la variante y conserva relaciones históricas.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BCC7F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frmStock; CD_Producto.DesactivarVariante.</w:t>
            </w:r>
          </w:p>
        </w:tc>
      </w:tr>
      <w:tr w:rsidR="00931A7A" w14:paraId="5F63F304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4FE1941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R-STK-01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1BFAC9B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Ingreso requiere documento de proveedor de hasta 50 caracteres, detalles, cantidades positivas y costos no negativos.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F18398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CN_Producto.ValidarIngreso.</w:t>
            </w:r>
          </w:p>
        </w:tc>
      </w:tr>
      <w:tr w:rsidR="00931A7A" w14:paraId="3B33EBDC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86ECDC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R-STK-02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DD8FF4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proveedor escrito se normaliza y busca sin distinguir mayúsculas; si falta, se crea dentro de la transacción. Un ingreso fallido revierte esa creación.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8C6BC5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CD_Proveedor.ObtenerOCrear; CD_Producto.RegistrarIngreso.</w:t>
            </w:r>
          </w:p>
        </w:tc>
      </w:tr>
      <w:tr w:rsidR="00931A7A" w14:paraId="718F1215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1EC2EB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R-STK-03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6CC9DE0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Cada detalle suma stock_disponible y reemplaza costo por el costo unitario recibido. No calcula costo promedio ponderado.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1756A1E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CD_Producto.RegistrarIngreso.</w:t>
            </w:r>
          </w:p>
        </w:tc>
      </w:tr>
      <w:tr w:rsidR="00931A7A" w14:paraId="1103A000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8B59BA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R-STK-04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A2212F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stock consultado distingue físico, comprometido y disponible. Comprometido suma remitos con envío Pendiente; físico se presenta como disponible más comprometido.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83F574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CD_Producto.buscarProducto y obtenerProductoPorVariante.</w:t>
            </w:r>
          </w:p>
        </w:tc>
      </w:tr>
      <w:tr w:rsidR="00931A7A" w14:paraId="104B20E0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31DE0B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R-STK-05 Parcial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C438A1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Agregar producto a una venta controla cantidad con la consulta disponible; confirmar venta no reserva ni valida stock en SQL.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0615E05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frmNuevaVenta.AgregarProducto; CN_RegistroVenta.Registrar; CD_RegistroVenta.Guardar.</w:t>
            </w:r>
          </w:p>
        </w:tc>
      </w:tr>
      <w:tr w:rsidR="00931A7A" w14:paraId="0C7BBBF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D38F39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R-STK-06 Parcial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7CE6976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Edición valida datos en pantalla, pero el UPDATE de producto y variante no usa transacción explícita propia.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54AAA8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frmStock; CD_Producto.ActualizarProductoDesdeStock.</w:t>
            </w:r>
          </w:p>
        </w:tc>
      </w:tr>
    </w:tbl>
    <w:p w14:paraId="01E6561D" w14:textId="77777777" w:rsidR="00931A7A" w:rsidRDefault="00931A7A">
      <w:pPr>
        <w:spacing w:after="40"/>
      </w:pPr>
    </w:p>
    <w:p w14:paraId="7C823B2C" w14:textId="77777777" w:rsidR="00931A7A" w:rsidRDefault="0049783F">
      <w:pPr>
        <w:pStyle w:val="Ttulo1"/>
      </w:pPr>
      <w:bookmarkStart w:id="4" w:name="_Toc241857297"/>
      <w:r>
        <w:t>5 Ventas pagos y estados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48AAC369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2B25005F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458C10F5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297355AE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7F964BE9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A176CC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FB4319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total base suma cantidad por precio, resta descuento y agrega envío. Descuento no supera subtotal y envío no es negativo.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EDFED1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CN_RegistroVenta.CalcularTotalBase y Registrar.</w:t>
            </w:r>
          </w:p>
        </w:tc>
      </w:tr>
      <w:tr w:rsidR="00931A7A" w14:paraId="714EDB4E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43EB265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2F2A219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Recargo se redondea a dos decimales AwayFromZero; utiliza general o porcentaje de 3, 6, 9 y 12 cuotas.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E572C6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CN_RegistroVenta.CalcularRecargo y PorcentajeRecargo.</w:t>
            </w:r>
          </w:p>
        </w:tc>
      </w:tr>
      <w:tr w:rsidR="00931A7A" w14:paraId="55596DC9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9403D9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087A63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Nueva venta interpreta Importe cobrado como dinero final; DesglosarCobro obtiene base y recargo. Ejemplo: 110 a 10 % produce base 100 y recargo 10.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5F01710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frmNuevaVenta.AgregarPago; CN_RegistroVenta.DesglosarCobro.</w:t>
            </w:r>
          </w:p>
        </w:tc>
      </w:tr>
      <w:tr w:rsidR="00931A7A" w14:paraId="22B46CCA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62D58ED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R-VEN-04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5D67BC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pantalla ofrece Seña para reserva, Pago parcial y Pago total. Las dos primeras requieren pago inicial positivo menor que la base; total exige cubrirla.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0056F2F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frmNuevaVenta.RegistrarVenta; cboCondicionPago.</w:t>
            </w:r>
          </w:p>
        </w:tc>
      </w:tr>
      <w:tr w:rsidR="00931A7A" w14:paraId="01DA2E4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EBE408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R-VEN-05 Parcial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3BF27C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servicio admite solicitudes sin pagos y las persiste como Pendiente; el formulario exige cobro para sus condiciones parciales. No hay reserva SQL derivada de la seña.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766E7D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CN_RegistroVenta.Registrar; CD_RegistroVenta.Guardar; frmNuevaVenta.RegistrarVenta.</w:t>
            </w:r>
          </w:p>
        </w:tc>
      </w:tr>
      <w:tr w:rsidR="00931A7A" w14:paraId="3D36E339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2A2E329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R-VEN-06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4957615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Venta guarda encabezado, detalles, pagos, logística, copia de comprobante y actividad en una transacción. Una falla no conserva la operación parcial.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383DFD9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CD_RegistroVenta.Guardar.</w:t>
            </w:r>
          </w:p>
        </w:tc>
      </w:tr>
      <w:tr w:rsidR="00931A7A" w14:paraId="0C730EEC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DB7D93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R-PAG-01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1153F8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Cobro posterior exige medio activo, cuotas válidas, base positiva con hasta dos decimales y permiso.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33774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CN_Pago.Preparar y Registrar.</w:t>
            </w:r>
          </w:p>
        </w:tc>
      </w:tr>
      <w:tr w:rsidR="00931A7A" w14:paraId="50DE5696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3510359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R-PAG-02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49E4FB7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Datos vuelve a consultar saldo y porcentaje vigente. Base no supera saldo; recargo nuevo aumenta total y cobro final.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08F9F4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CD_Pago.Registrar; CD_Venta.SaldosSql.</w:t>
            </w:r>
          </w:p>
        </w:tc>
      </w:tr>
      <w:tr w:rsidR="00931A7A" w14:paraId="3D247FD0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CAC92A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R-PAG-03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382180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saldo se compara contra SUM(monto_final). Los estados anulados o cancelados tienen saldo cero en la consulta central.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0E0DA5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CD_Venta.SaldosSql.</w:t>
            </w:r>
          </w:p>
        </w:tc>
      </w:tr>
      <w:tr w:rsidR="00931A7A" w14:paraId="59CBA2E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3C482A5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R-EST-01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78D85B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Pago y entrega son independientes. Pagada no implica Entregada y Confirmar no cambia el pago.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4B5011E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CD_Entrega.Confirmar; CD_Venta.Buscar.</w:t>
            </w:r>
          </w:p>
        </w:tc>
      </w:tr>
      <w:tr w:rsidR="00931A7A" w14:paraId="626AD6DB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4349B6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R-EST-02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139CBE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La búsqueda combina número, cliente, DNI, estado de venta y estado de entrega, ignorando acentos y mayúsculas. Parcial o Pendiente pueden coincidir con ambos dominios.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1512E5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CD_Venta.Buscar; frmPanelPrincipal.ConfigurarAyudaBusqueda.</w:t>
            </w:r>
          </w:p>
        </w:tc>
      </w:tr>
    </w:tbl>
    <w:p w14:paraId="37C16BF2" w14:textId="77777777" w:rsidR="00931A7A" w:rsidRDefault="00931A7A">
      <w:pPr>
        <w:spacing w:after="40"/>
      </w:pPr>
    </w:p>
    <w:p w14:paraId="1256FB55" w14:textId="77777777" w:rsidR="00931A7A" w:rsidRDefault="0049783F">
      <w:pPr>
        <w:pStyle w:val="Ttulo1"/>
      </w:pPr>
      <w:bookmarkStart w:id="5" w:name="_Toc241857298"/>
      <w:r>
        <w:t>6 Preparación y entrega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2BBA5341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2DF4AC3E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1E80A17D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47BFFF84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4B3683A5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618B87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D69442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Preparar exige permiso, cantidad pendiente y dirección válida; retiro usa Retiro en local.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A68A2B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CN_Entrega.Preparar.</w:t>
            </w:r>
          </w:p>
        </w:tc>
      </w:tr>
      <w:tr w:rsidR="00931A7A" w14:paraId="75D78F1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056529E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15048DE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Preparación usa Serializable y UPDATE condicional para evitar disponible negativo; crea remito, detalle y envío pendiente.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6AC3D53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CD_Entrega.Preparar.</w:t>
            </w:r>
          </w:p>
        </w:tc>
      </w:tr>
      <w:tr w:rsidR="00931A7A" w14:paraId="58FAB6A0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9989B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E944D5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Se permiten preparaciones menores que el total vendido. Ejemplo: de tres unidades, preparar una deja dos por preparar.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A6893C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CD_Entrega.Pendientes y Preparar; ProductoPorEntregar.Pendientes.</w:t>
            </w:r>
          </w:p>
        </w:tc>
      </w:tr>
      <w:tr w:rsidR="00931A7A" w14:paraId="065C4A9C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253CF6D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R-ENT-04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2ED639F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Confirmar actualiza solo un envío pendiente y registra la fecha; una segunda confirmación se rechaza.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6B7BC5B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CD_Entrega.Confirmar.</w:t>
            </w:r>
          </w:p>
        </w:tc>
      </w:tr>
      <w:tr w:rsidR="00931A7A" w14:paraId="536277D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1DA6E96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R-ENT-05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755377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Confirmar no descuenta stock nuevamente; marca detalles completos cuando las cantidades entregadas cubren lo vendido.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B3D8D4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CD_Entrega.Confirmar.</w:t>
            </w:r>
          </w:p>
        </w:tc>
      </w:tr>
      <w:tr w:rsidR="00931A7A" w14:paraId="1F2F4399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039D88F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R-ENT-06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4D9D501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El número comercial de remito es IdVenta; IdRemito identifica una preparación técnica que puede ser parcial.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271657B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EntregaRegistrada.NumeroRemito; DocumentosPrana.VentaHtml.</w:t>
            </w:r>
          </w:p>
        </w:tc>
      </w:tr>
    </w:tbl>
    <w:p w14:paraId="734108B0" w14:textId="77777777" w:rsidR="00931A7A" w:rsidRDefault="00931A7A">
      <w:pPr>
        <w:spacing w:after="40"/>
      </w:pPr>
    </w:p>
    <w:p w14:paraId="20F74C6A" w14:textId="77777777" w:rsidR="00931A7A" w:rsidRDefault="0049783F">
      <w:pPr>
        <w:pStyle w:val="Ttulo1"/>
      </w:pPr>
      <w:bookmarkStart w:id="6" w:name="_Toc241857299"/>
      <w:r>
        <w:t>7 Caja comprobantes informes y auditoría</w:t>
      </w:r>
      <w:bookmarkEnd w:id="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788CA41E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4A3B3761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5CC858E8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0D079FDD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19E7176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4681140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60E91CA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Caja reúne pagos por fecha_pago y movimientos no anulados de la fecha, incluyendo cobros de ventas anteriores.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9FC94D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CD_Caja.LeerMovimientos.</w:t>
            </w:r>
          </w:p>
        </w:tc>
      </w:tr>
      <w:tr w:rsidR="00931A7A" w14:paraId="2E3C9FEC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17AC58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6DF9B65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Tipos manuales: Gasto, Ingreso extra y Café; monedas ARS y USD, con USD solo en efectivo.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1FD44A8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CN_Caja.Registrar; TiposCaja; Caja_Movimiento.</w:t>
            </w:r>
          </w:p>
        </w:tc>
      </w:tr>
      <w:tr w:rsidR="00931A7A" w14:paraId="6647BBA8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6CFEA0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15167A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Solo se anulan movimientos manuales con motivo y día abierto; los cobros no se anulan desde frmCaja.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B02677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frmCaja; CN_Caja.Anular; CD_Caja.Anular.</w:t>
            </w:r>
          </w:p>
        </w:tc>
      </w:tr>
      <w:tr w:rsidR="00931A7A" w14:paraId="7F4AD074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68F7192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R-CAJ-04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6A8D20C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Bloqueo diario compartido protege cobros, movimientos y cierre. Un día cerrado rechaza nuevos cobros o movimientos y otro cierre.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432F0E7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CD_Caja.ExigirDiaAbierto; CD_Pago.Registrar; CD_RegistroVenta.Guardar.</w:t>
            </w:r>
          </w:p>
        </w:tc>
      </w:tr>
      <w:tr w:rsidR="00931A7A" w14:paraId="48F90422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42C01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R-CAJ-05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5744718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Cerrar vuelve a leer movimientos y rechaza una consulta desactualizada. Conserva una copia JSON del cierre.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7C4839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CD_Caja.Cerrar; Caja_Cierre.</w:t>
            </w:r>
          </w:p>
        </w:tc>
      </w:tr>
      <w:tr w:rsidR="00931A7A" w14:paraId="7FEAB9A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142062E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R-CAJ-06 Parcial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397EBD2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Existen cálculos de conteo en entidades y datos de pruebas, pero la pantalla actual no pide billetes ni ofrece arqueo físico.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4E2BC32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CierreCaja; ConteoBillete; frmCaja; DocumentosPrana.CierreHtml.</w:t>
            </w:r>
          </w:p>
        </w:tc>
      </w:tr>
      <w:tr w:rsidR="00931A7A" w14:paraId="79393F91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AE06F7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R-DOC-01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F210C8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Garantía y remito comercial utilizan número de venta y copia persistida de emisión. Cambiar un cliente después no cambia la copia original.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1EBAC2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CD_Comprobante.Guardar y Obtener; Venta_Comprobante.</w:t>
            </w:r>
          </w:p>
        </w:tc>
      </w:tr>
      <w:tr w:rsidR="00931A7A" w14:paraId="1FB33ED5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24489C6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R-DOC-02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10A4151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HTML escapa datos y omite la condición Primera al final de variante; conserva outlet y otras condiciones.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01C9399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DocumentosPrana.H y VarianteImpresa.</w:t>
            </w:r>
          </w:p>
        </w:tc>
      </w:tr>
      <w:tr w:rsidR="00931A7A" w14:paraId="1269C9FE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A7E373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R-DOC-03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17190E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Garantía muestra importes finales sin desglose de recargos; remito muestra entrega, observaciones y firma. El PDF se obtiene desde impresión del navegador.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374FFB5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DocumentosPrana.VentaHtml y MostrarVenta.</w:t>
            </w:r>
          </w:p>
        </w:tc>
      </w:tr>
      <w:tr w:rsidR="00931A7A" w14:paraId="041175B2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7F76CE2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R-INF-01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0BCF361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Informe aplica filtros comerciales y exporta CSV. No constituye facturación electrónica.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275BB3E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frmInformesVentas.Consultar y Exportar; CD_InformeVentas.Buscar.</w:t>
            </w:r>
          </w:p>
        </w:tc>
      </w:tr>
      <w:tr w:rsidR="00931A7A" w14:paraId="43D70D6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2CDCD9C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R-INF-02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F9C406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Alerta exige saldo positivo y un mes desde el primer pago; excluye anuladas y canceladas. Sin primer pago no tiene vencimiento en esa consulta.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8605CD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CD_InformeVentas.ObtenerAlertas.</w:t>
            </w:r>
          </w:p>
        </w:tc>
      </w:tr>
      <w:tr w:rsidR="00931A7A" w14:paraId="4B888EE5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2C2B26E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R-HIS-01 Parcial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0E81368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Historial incluye registro de venta, descuento, pagos, entregas, cambios de medios y otros eventos incorporados. No es auditoría exhaustiva de todos los módulos.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0E14B5A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CD_RegistroVenta; GestionVentaSql.RegistrarActividad; CD_LogActividad; frmHistorial.</w:t>
            </w:r>
          </w:p>
        </w:tc>
      </w:tr>
    </w:tbl>
    <w:p w14:paraId="50DEC3E1" w14:textId="77777777" w:rsidR="00931A7A" w:rsidRDefault="00931A7A">
      <w:pPr>
        <w:spacing w:after="40"/>
      </w:pPr>
    </w:p>
    <w:p w14:paraId="0D0D5CAB" w14:textId="77777777" w:rsidR="00931A7A" w:rsidRDefault="0049783F">
      <w:pPr>
        <w:pStyle w:val="Ttulo1"/>
      </w:pPr>
      <w:bookmarkStart w:id="7" w:name="_Toc241857300"/>
      <w:r>
        <w:t>8 Base de datos y distribución</w:t>
      </w:r>
      <w:bookmarkEnd w:id="7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1871"/>
        <w:gridCol w:w="4535"/>
        <w:gridCol w:w="3118"/>
      </w:tblGrid>
      <w:tr w:rsidR="00931A7A" w14:paraId="4BF477DB" w14:textId="77777777">
        <w:trPr>
          <w:cantSplit/>
          <w:tblHeader/>
          <w:jc w:val="center"/>
        </w:trPr>
        <w:tc>
          <w:tcPr>
            <w:tcW w:w="1871" w:type="dxa"/>
            <w:shd w:val="clear" w:color="auto" w:fill="24364B"/>
            <w:vAlign w:val="center"/>
          </w:tcPr>
          <w:p w14:paraId="54A8BC00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 y estado</w:t>
            </w:r>
          </w:p>
        </w:tc>
        <w:tc>
          <w:tcPr>
            <w:tcW w:w="4535" w:type="dxa"/>
            <w:shd w:val="clear" w:color="auto" w:fill="24364B"/>
            <w:vAlign w:val="center"/>
          </w:tcPr>
          <w:p w14:paraId="68412876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Regla y ejemplo</w:t>
            </w:r>
          </w:p>
        </w:tc>
        <w:tc>
          <w:tcPr>
            <w:tcW w:w="3118" w:type="dxa"/>
            <w:shd w:val="clear" w:color="auto" w:fill="24364B"/>
            <w:vAlign w:val="center"/>
          </w:tcPr>
          <w:p w14:paraId="26BA1641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Referencia</w:t>
            </w:r>
          </w:p>
        </w:tc>
      </w:tr>
      <w:tr w:rsidR="00931A7A" w14:paraId="197D6F64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7CA6E7E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R-BD-01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2A1B262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Inicio prepara base LocalDB; esquema vacío recibe creación y todos los arranques reciben migraciones.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6E9306E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Program.Main; InicializadorBaseDatos.AsegurarBaseDeDatos y PrepararEsquema.</w:t>
            </w:r>
          </w:p>
        </w:tc>
      </w:tr>
      <w:tr w:rsidR="00931A7A" w14:paraId="125EF633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7C27194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R-BD-02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0301C3B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Preparación de esquema utiliza transacción y bloqueo exclusivo; no recrea una base por renombrar admin.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5BDEDF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InicializadorBaseDatos.PrepararEsquema.</w:t>
            </w:r>
          </w:p>
        </w:tc>
      </w:tr>
      <w:tr w:rsidR="00931A7A" w14:paraId="76FCA37F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6017C86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R-BD-03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0B71363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Correo informado es único y varios usuarios pueden carecer de correo. Este índice no protege nombre_usuario.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139F1C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ActualizarEstructuraPrana_LocalDB.sql; UX_Usuario_EmailInformado.</w:t>
            </w:r>
          </w:p>
        </w:tc>
      </w:tr>
      <w:tr w:rsidR="00931A7A" w14:paraId="45E2FF76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5519414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R-BD-04 Implementada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44EA7AF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Numeración comercial comienza en 2500 cuando corresponde; repetición no renumera ventas existentes.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727D243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CajaYComprobantes.sql.</w:t>
            </w:r>
          </w:p>
        </w:tc>
      </w:tr>
      <w:tr w:rsidR="00931A7A" w14:paraId="5806D8E6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306F359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R-DIS-01 Implementada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3567FF5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Perfil publica Release autocontenido win-x64; Inno incluye archivos y scripts y crea accesos directos.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71BC18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FolderProfile.pubxml; Instalador/PranaActual.iss.</w:t>
            </w:r>
          </w:p>
        </w:tc>
      </w:tr>
      <w:tr w:rsidR="00931A7A" w14:paraId="2D20C81B" w14:textId="77777777">
        <w:trPr>
          <w:cantSplit/>
          <w:jc w:val="center"/>
        </w:trPr>
        <w:tc>
          <w:tcPr>
            <w:tcW w:w="1871" w:type="dxa"/>
            <w:shd w:val="clear" w:color="auto" w:fill="F2F5F8"/>
            <w:vAlign w:val="center"/>
          </w:tcPr>
          <w:p w14:paraId="19BBDD2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R-DIS-02 Parcial</w:t>
            </w:r>
          </w:p>
        </w:tc>
        <w:tc>
          <w:tcPr>
            <w:tcW w:w="4535" w:type="dxa"/>
            <w:shd w:val="clear" w:color="auto" w:fill="F2F5F8"/>
            <w:vAlign w:val="center"/>
          </w:tcPr>
          <w:p w14:paraId="5720D73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LocalDB debe instalarse por separado; el script no instala motor ni garantiza versiones nuevas si la publicación está desactualizada.</w:t>
            </w:r>
          </w:p>
        </w:tc>
        <w:tc>
          <w:tcPr>
            <w:tcW w:w="3118" w:type="dxa"/>
            <w:shd w:val="clear" w:color="auto" w:fill="F2F5F8"/>
            <w:vAlign w:val="center"/>
          </w:tcPr>
          <w:p w14:paraId="21ED715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Instalador/PranaActual.iss; InicializadorBaseDatos.</w:t>
            </w:r>
          </w:p>
        </w:tc>
      </w:tr>
      <w:tr w:rsidR="00931A7A" w14:paraId="31283164" w14:textId="77777777">
        <w:trPr>
          <w:cantSplit/>
          <w:jc w:val="center"/>
        </w:trPr>
        <w:tc>
          <w:tcPr>
            <w:tcW w:w="1871" w:type="dxa"/>
            <w:shd w:val="clear" w:color="auto" w:fill="FFFFFF"/>
            <w:vAlign w:val="center"/>
          </w:tcPr>
          <w:p w14:paraId="5DA9769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R-DIS-03 Pendiente</w:t>
            </w:r>
          </w:p>
        </w:tc>
        <w:tc>
          <w:tcPr>
            <w:tcW w:w="4535" w:type="dxa"/>
            <w:shd w:val="clear" w:color="auto" w:fill="FFFFFF"/>
            <w:vAlign w:val="center"/>
          </w:tcPr>
          <w:p w14:paraId="493692C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Debo establecer versionado de entrega y reemplazo uniforme de archivos durante la actualización.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DAAEBE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MyAppVersion y [Files] de PranaActual.iss; proyectos .csproj.</w:t>
            </w:r>
          </w:p>
        </w:tc>
      </w:tr>
    </w:tbl>
    <w:p w14:paraId="6DFB9F91" w14:textId="77777777" w:rsidR="00931A7A" w:rsidRDefault="00931A7A">
      <w:pPr>
        <w:spacing w:after="40"/>
      </w:pPr>
    </w:p>
    <w:p w14:paraId="69258080" w14:textId="77777777" w:rsidR="00931A7A" w:rsidRDefault="0049783F">
      <w:pPr>
        <w:pStyle w:val="Ttulo1"/>
      </w:pPr>
      <w:bookmarkStart w:id="8" w:name="_Toc241857301"/>
      <w:r>
        <w:t>9 Decisiones de negocio y ejemplos</w:t>
      </w:r>
      <w:bookmarkEnd w:id="8"/>
    </w:p>
    <w:p w14:paraId="5EBF8E08" w14:textId="77777777" w:rsidR="00931A7A" w:rsidRDefault="0049783F">
      <w:r>
        <w:t>Definí pago y entrega como estados independientes porque representan compromisos distintos. Una venta puede quedar Pagada y Pendiente de entrega; otra puede estar Entregada con pago Parcial. Los filtros y las consultas deben conservar esa separación.</w:t>
      </w:r>
    </w:p>
    <w:p w14:paraId="75B8B972" w14:textId="77777777" w:rsidR="00931A7A" w:rsidRDefault="0049783F">
      <w:r>
        <w:lastRenderedPageBreak/>
        <w:t>El recargo se registra cuando se cobra. Ejemplo: una deuda base de 600 con un cobro posterior al 10 % produce 60 de recargo y 660 cobrados; el total aumenta 60 y la deuda baja 600. Los importes estimados en Nueva venta no se persisten como recargos hasta registrar el cobro.</w:t>
      </w:r>
    </w:p>
    <w:p w14:paraId="4AAF43DF" w14:textId="77777777" w:rsidR="00931A7A" w:rsidRDefault="0049783F">
      <w:r>
        <w:t>El stock se reduce al preparar una entrega. La confirmación cambia el envío y no repite ese descuento. Esta decisión organiza preparación y entrega, pero la reserva al confirmar la venta continúa pendiente. La seña para reserva es una condición de pago actual y no una reserva automática de existencias en SQL.</w:t>
      </w:r>
    </w:p>
    <w:p w14:paraId="40CBACC9" w14:textId="77777777" w:rsidR="00931A7A" w:rsidRDefault="0049783F">
      <w:r>
        <w:t>Los comprobantes conservan los datos originales de emisión; el panel y Pagos presentan la situación financiera vigente. Caja reúne los cobros por fecha de pago, no por fecha de venta, y el cierre conserva una copia estable de movimientos. Estas diferencias deben mantenerse al ampliar los procesos.</w:t>
      </w:r>
    </w:p>
    <w:p w14:paraId="60B06EA3" w14:textId="77777777" w:rsidR="00931A7A" w:rsidRDefault="0049783F">
      <w:pPr>
        <w:pStyle w:val="Ttulo1"/>
      </w:pPr>
      <w:bookmarkStart w:id="9" w:name="_Toc241857302"/>
      <w:r>
        <w:t>10 Tareas técnicas pendientes</w:t>
      </w:r>
      <w:bookmarkEnd w:id="9"/>
    </w:p>
    <w:p w14:paraId="6B915853" w14:textId="77777777" w:rsidR="00931A7A" w:rsidRDefault="0049783F">
      <w:r>
        <w:t>Las prioridades organizan el mantenimiento de las funciones actuales. Los identificadores de tareas son propios de esta entrega.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95" w:type="dxa"/>
          <w:bottom w:w="95" w:type="dxa"/>
          <w:right w:w="95" w:type="dxa"/>
        </w:tblCellMar>
        <w:tblLook w:val="04A0" w:firstRow="1" w:lastRow="0" w:firstColumn="1" w:lastColumn="0" w:noHBand="0" w:noVBand="1"/>
      </w:tblPr>
      <w:tblGrid>
        <w:gridCol w:w="850"/>
        <w:gridCol w:w="1191"/>
        <w:gridCol w:w="7483"/>
      </w:tblGrid>
      <w:tr w:rsidR="00931A7A" w14:paraId="2376D73A" w14:textId="77777777">
        <w:trPr>
          <w:cantSplit/>
          <w:tblHeader/>
          <w:jc w:val="center"/>
        </w:trPr>
        <w:tc>
          <w:tcPr>
            <w:tcW w:w="850" w:type="dxa"/>
            <w:shd w:val="clear" w:color="auto" w:fill="24364B"/>
            <w:vAlign w:val="center"/>
          </w:tcPr>
          <w:p w14:paraId="41F664AF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191" w:type="dxa"/>
            <w:shd w:val="clear" w:color="auto" w:fill="24364B"/>
            <w:vAlign w:val="center"/>
          </w:tcPr>
          <w:p w14:paraId="24816338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w="7483" w:type="dxa"/>
            <w:shd w:val="clear" w:color="auto" w:fill="24364B"/>
            <w:vAlign w:val="center"/>
          </w:tcPr>
          <w:p w14:paraId="12C8266D" w14:textId="77777777" w:rsidR="00931A7A" w:rsidRDefault="0049783F">
            <w:pPr>
              <w:keepNext/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Tarea y criterio de finalización</w:t>
            </w:r>
          </w:p>
        </w:tc>
      </w:tr>
      <w:tr w:rsidR="00931A7A" w14:paraId="260438F3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12B855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T-01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1DA6459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EC7E76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Incorporar unicidad de nombre de usuario en alta y edición y en SQL; probar duplicidad y concurrencia.</w:t>
            </w:r>
          </w:p>
        </w:tc>
      </w:tr>
      <w:tr w:rsidR="00931A7A" w14:paraId="4494DAF8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0B098B6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T-02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0835F96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19AE08D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Aplicar permisos en todas las entradas de negocio y controles de pantalla; probar Vendedor sin posibilidad de escritura restringida.</w:t>
            </w:r>
          </w:p>
        </w:tc>
      </w:tr>
      <w:tr w:rsidR="00931A7A" w14:paraId="333F9C04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DA139E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D373CA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5B1E44B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Validar y reservar stock al confirmar venta dentro de una transacción; probar ventas simultáneas y agotamiento.</w:t>
            </w:r>
          </w:p>
        </w:tc>
      </w:tr>
      <w:tr w:rsidR="00931A7A" w14:paraId="508D27EF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2A51166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T-04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03D4415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00DA44C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Unificar la regla de ciudad opcional en las pruebas existentes; retirar la expectativa obsoleta y conservar el caso opcional.</w:t>
            </w:r>
          </w:p>
        </w:tc>
      </w:tr>
      <w:tr w:rsidR="00931A7A" w14:paraId="078BCAFC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241EB0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T-05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45E1F30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835806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Implementar invalidación de sesión ante cambios de cuenta y proteger al último Administrador.</w:t>
            </w:r>
          </w:p>
        </w:tc>
      </w:tr>
      <w:tr w:rsidR="00931A7A" w14:paraId="19208512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18F6D7A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T-06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50BCCF2E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7664EE8D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Definir versionado de publicación e instalador y validar reemplazo de bibliotecas con igual versión anterior.</w:t>
            </w:r>
          </w:p>
        </w:tc>
      </w:tr>
      <w:tr w:rsidR="00931A7A" w14:paraId="4BA74CB0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F9DC21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T-07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22C52F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69786AD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Probar instalación limpia con LocalDB y documentar su suministro separado o incorporar un prerrequisito controlado.</w:t>
            </w:r>
          </w:p>
        </w:tc>
      </w:tr>
      <w:tr w:rsidR="00931A7A" w14:paraId="58702518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6C35D79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T-08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689C01D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Alta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44003EA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Diseñar respaldo, verificación y restauración en base aislada, y luego integrar el procedimiento administrativo.</w:t>
            </w:r>
          </w:p>
        </w:tc>
      </w:tr>
      <w:tr w:rsidR="00931A7A" w14:paraId="3417DBB3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614BEBC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T-09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8A1E86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365D4B2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Incorporar cancelaciones y devoluciones con trazabilidad de stock, cobros y documentos.</w:t>
            </w:r>
          </w:p>
        </w:tc>
      </w:tr>
      <w:tr w:rsidR="00931A7A" w14:paraId="2F9F46AE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12542A0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T-10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41DD641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6556023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Agregar cambio personal con contraseña anterior, recuperación de acceso y administración de activo.</w:t>
            </w:r>
          </w:p>
        </w:tc>
      </w:tr>
      <w:tr w:rsidR="00931A7A" w14:paraId="0DBFD4FF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0C67471F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T-11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12035C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7BBC9C2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Completar transacción en modificación de producto y variante y cubrir fallos intermedios.</w:t>
            </w:r>
          </w:p>
        </w:tc>
      </w:tr>
      <w:tr w:rsidR="00931A7A" w14:paraId="6AA7227F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135AF71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T-12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23C690B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13A98D87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Ampliar auditoría de clientes, productos, usuarios y medios; definir acciones y datos que se conservarán.</w:t>
            </w:r>
          </w:p>
        </w:tc>
      </w:tr>
      <w:tr w:rsidR="00931A7A" w14:paraId="62B9B78E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28E353A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T-13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340D0EA0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73F6EB9C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Unificar configuración de Conexion e inicializador para evitar destinos distintos al cambiar App.config.</w:t>
            </w:r>
          </w:p>
        </w:tc>
      </w:tr>
      <w:tr w:rsidR="00931A7A" w14:paraId="026FB29E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09C3B46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T-14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33ECA9E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193E3479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Armonizar saldo y tratamiento de estados en panel, clientes, informes y alertas.</w:t>
            </w:r>
          </w:p>
        </w:tc>
      </w:tr>
      <w:tr w:rsidR="00931A7A" w14:paraId="06CC450B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122414C5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lastRenderedPageBreak/>
              <w:t>T-15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0D3D73FB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997275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Separar pruebas de cálculo, integración y presentación; incorporar pago mixto, reserva y preparación parcial verificables.</w:t>
            </w:r>
          </w:p>
        </w:tc>
      </w:tr>
      <w:tr w:rsidR="00931A7A" w14:paraId="4CF797E8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658158B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T-16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2E35344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Media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4A2372CA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Unificar manejo de errores y eliminar advertencias de nulabilidad y controles sin uso que afecten mantenimiento.</w:t>
            </w:r>
          </w:p>
        </w:tc>
      </w:tr>
      <w:tr w:rsidR="00931A7A" w14:paraId="3D66298E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518B8808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T-17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70EE723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Baja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069FD97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Evaluar arqueo con conteo de billetes como función de pantalla, separado de los cálculos auxiliares existentes.</w:t>
            </w:r>
          </w:p>
        </w:tc>
      </w:tr>
      <w:tr w:rsidR="00931A7A" w14:paraId="747119A5" w14:textId="77777777">
        <w:trPr>
          <w:cantSplit/>
          <w:jc w:val="center"/>
        </w:trPr>
        <w:tc>
          <w:tcPr>
            <w:tcW w:w="850" w:type="dxa"/>
            <w:shd w:val="clear" w:color="auto" w:fill="F2F5F8"/>
            <w:vAlign w:val="center"/>
          </w:tcPr>
          <w:p w14:paraId="1355147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T-18</w:t>
            </w:r>
          </w:p>
        </w:tc>
        <w:tc>
          <w:tcPr>
            <w:tcW w:w="1191" w:type="dxa"/>
            <w:shd w:val="clear" w:color="auto" w:fill="F2F5F8"/>
            <w:vAlign w:val="center"/>
          </w:tcPr>
          <w:p w14:paraId="41FDDD16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Baja</w:t>
            </w:r>
          </w:p>
        </w:tc>
        <w:tc>
          <w:tcPr>
            <w:tcW w:w="7483" w:type="dxa"/>
            <w:shd w:val="clear" w:color="auto" w:fill="F2F5F8"/>
            <w:vAlign w:val="center"/>
          </w:tcPr>
          <w:p w14:paraId="43176B03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Evaluar facturación electrónica según requisitos definidos, sin confundirla con los comprobantes actuales.</w:t>
            </w:r>
          </w:p>
        </w:tc>
      </w:tr>
      <w:tr w:rsidR="00931A7A" w14:paraId="09657BC1" w14:textId="77777777">
        <w:trPr>
          <w:cantSplit/>
          <w:jc w:val="center"/>
        </w:trPr>
        <w:tc>
          <w:tcPr>
            <w:tcW w:w="850" w:type="dxa"/>
            <w:shd w:val="clear" w:color="auto" w:fill="FFFFFF"/>
            <w:vAlign w:val="center"/>
          </w:tcPr>
          <w:p w14:paraId="31F1BAB1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T-19</w:t>
            </w:r>
          </w:p>
        </w:tc>
        <w:tc>
          <w:tcPr>
            <w:tcW w:w="1191" w:type="dxa"/>
            <w:shd w:val="clear" w:color="auto" w:fill="FFFFFF"/>
            <w:vAlign w:val="center"/>
          </w:tcPr>
          <w:p w14:paraId="2193D392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Baja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3F285584" w14:textId="77777777" w:rsidR="00931A7A" w:rsidRDefault="0049783F">
            <w:pPr>
              <w:spacing w:before="40" w:after="40" w:line="252" w:lineRule="auto"/>
            </w:pPr>
            <w:r>
              <w:rPr>
                <w:sz w:val="18"/>
              </w:rPr>
              <w:t>Definir eventual funcionamiento en varias computadoras, sincronización, concurrencia y seguridad de red.</w:t>
            </w:r>
          </w:p>
        </w:tc>
      </w:tr>
    </w:tbl>
    <w:p w14:paraId="15494394" w14:textId="77777777" w:rsidR="00931A7A" w:rsidRDefault="00931A7A">
      <w:pPr>
        <w:spacing w:after="40"/>
      </w:pPr>
    </w:p>
    <w:p w14:paraId="36B23B8A" w14:textId="77777777" w:rsidR="00931A7A" w:rsidRDefault="0049783F">
      <w:pPr>
        <w:pStyle w:val="Ttulo1"/>
      </w:pPr>
      <w:bookmarkStart w:id="10" w:name="_Toc241857303"/>
      <w:r>
        <w:t>11 Relación con las pruebas y mantenimiento del anexo</w:t>
      </w:r>
      <w:bookmarkEnd w:id="10"/>
    </w:p>
    <w:p w14:paraId="6EA2EE81" w14:textId="77777777" w:rsidR="00931A7A" w:rsidRDefault="0049783F">
      <w:r>
        <w:t>Las reglas implementadas pueden tener pruebas automáticas, pruebas planificadas o validación por lectura de su implementación. El documento Plan y resultados de pruebas conserva esa distinción. La prueba de nombre duplicado queda no satisfactoria y se relaciona con T-01; la regla opcional de ciudad se relaciona con la actualización de pruebas T-04.</w:t>
      </w:r>
    </w:p>
    <w:p w14:paraId="7BA4AEBD" w14:textId="77777777" w:rsidR="00931A7A" w:rsidRDefault="0049783F">
      <w:r>
        <w:t>Cuando cambie una regla, debo actualizar su estado, referencia y ejemplo, y revisar el procedimiento del manual y el caso correspondiente. Los diagramas de secuencia deben mantener mensajes coherentes con la responsabilidad de cada receptor y con datos previamente recibidos o consultados.</w:t>
      </w:r>
    </w:p>
    <w:sectPr w:rsidR="00931A7A" w:rsidSect="00034616">
      <w:headerReference w:type="default" r:id="rId8"/>
      <w:footerReference w:type="default" r:id="rId9"/>
      <w:pgSz w:w="11906" w:h="16838"/>
      <w:pgMar w:top="1134" w:right="1191" w:bottom="1134" w:left="1191" w:header="510" w:footer="51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CF3692" w14:textId="77777777" w:rsidR="001F78DD" w:rsidRDefault="0049783F">
      <w:pPr>
        <w:spacing w:after="0" w:line="240" w:lineRule="auto"/>
      </w:pPr>
      <w:r>
        <w:separator/>
      </w:r>
    </w:p>
  </w:endnote>
  <w:endnote w:type="continuationSeparator" w:id="0">
    <w:p w14:paraId="0F959A4D" w14:textId="77777777" w:rsidR="001F78DD" w:rsidRDefault="00497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5B909" w14:textId="77777777" w:rsidR="00931A7A" w:rsidRDefault="0049783F">
    <w:pPr>
      <w:pStyle w:val="Piedepgina"/>
      <w:jc w:val="right"/>
    </w:pPr>
    <w:r>
      <w:rPr>
        <w:sz w:val="16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08DCE" w14:textId="77777777" w:rsidR="001F78DD" w:rsidRDefault="0049783F">
      <w:pPr>
        <w:spacing w:after="0" w:line="240" w:lineRule="auto"/>
      </w:pPr>
      <w:r>
        <w:separator/>
      </w:r>
    </w:p>
  </w:footnote>
  <w:footnote w:type="continuationSeparator" w:id="0">
    <w:p w14:paraId="39A85820" w14:textId="77777777" w:rsidR="001F78DD" w:rsidRDefault="00497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7FB26" w14:textId="77777777" w:rsidR="00931A7A" w:rsidRDefault="0049783F">
    <w:r>
      <w:rPr>
        <w:sz w:val="16"/>
      </w:rPr>
      <w:t>PRANA ELECTRÓNICA  |  Anexo de reglas funcionales y técnicas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8DD"/>
    <w:rsid w:val="0029639D"/>
    <w:rsid w:val="00326F90"/>
    <w:rsid w:val="003A7122"/>
    <w:rsid w:val="0043790B"/>
    <w:rsid w:val="0049783F"/>
    <w:rsid w:val="00931A7A"/>
    <w:rsid w:val="00AA1D8D"/>
    <w:rsid w:val="00B47730"/>
    <w:rsid w:val="00CB0664"/>
    <w:rsid w:val="00E30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528399"/>
  <w14:defaultImageDpi w14:val="300"/>
  <w15:docId w15:val="{79FCD8AC-FF7A-4F0C-85AA-A94FEB65B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before="280"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before="280" w:after="140"/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49783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978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2337</Words>
  <Characters>15895</Characters>
  <Application>Microsoft Office Word</Application>
  <DocSecurity>0</DocSecurity>
  <Lines>794</Lines>
  <Paragraphs>792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de reglas funcionales y técnicas Sistema de Gestión Comercial Prana Electrónica</dc:title>
  <dc:subject>Prácticas Profesionalizantes III</dc:subject>
  <dc:creator>Valentín Morello</dc:creator>
  <cp:keywords>Prana Electrónica, ISFT 189, 2026</cp:keywords>
  <dc:description/>
  <cp:lastModifiedBy>ISFT</cp:lastModifiedBy>
  <cp:revision>5</cp:revision>
  <dcterms:created xsi:type="dcterms:W3CDTF">2013-12-23T23:15:00Z</dcterms:created>
  <dcterms:modified xsi:type="dcterms:W3CDTF">2026-10-02T21:12:00Z</dcterms:modified>
  <cp:category/>
</cp:coreProperties>
</file>