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color w:val="365F91"/>
          <w:sz w:val="56"/>
          <w:szCs w:val="56"/>
        </w:rPr>
      </w:pPr>
      <w:r>
        <w:rPr>
          <w:color w:val="365F91"/>
          <w:sz w:val="56"/>
          <w:szCs w:val="56"/>
        </w:rPr>
        <w:t>Compte-rendu AD (partie 3)</w:t>
      </w:r>
    </w:p>
    <w:p>
      <w:pPr>
        <w:pStyle w:val="style1"/>
        <w:numPr>
          <w:ilvl w:val="0"/>
          <w:numId w:val="1"/>
        </w:numPr>
        <w:rPr/>
      </w:pPr>
      <w:r>
        <w:rPr/>
        <w:t>Choix de la méthode : Electre I</w:t>
      </w:r>
    </w:p>
    <w:p>
      <w:pPr>
        <w:pStyle w:val="style0"/>
        <w:rPr/>
      </w:pPr>
      <w:r>
        <w:rPr/>
      </w:r>
    </w:p>
    <w:p>
      <w:pPr>
        <w:pStyle w:val="style0"/>
        <w:jc w:val="both"/>
        <w:rPr/>
      </w:pPr>
      <w:r>
        <w:rPr/>
        <w:t>Nous recherchons la meilleure solution parmi les huit proposées : pour cela, nous avons décidé d’utiliser la méthode Electre I, qui permet de trouver la meilleure solution. En parallèle, la méthode Electre II permet de classer les solutions, d’où le choix de la méthode Electre I.</w:t>
      </w:r>
    </w:p>
    <w:p>
      <w:pPr>
        <w:pStyle w:val="style1"/>
        <w:numPr>
          <w:ilvl w:val="0"/>
          <w:numId w:val="1"/>
        </w:numPr>
        <w:rPr/>
      </w:pPr>
      <w:r>
        <w:rPr/>
        <w:t>Mise en œuvre de la méthode</w:t>
      </w:r>
    </w:p>
    <w:p>
      <w:pPr>
        <w:pStyle w:val="style0"/>
        <w:rPr/>
      </w:pPr>
      <w:r>
        <w:rPr/>
      </w:r>
    </w:p>
    <w:p>
      <w:pPr>
        <w:pStyle w:val="style24"/>
        <w:numPr>
          <w:ilvl w:val="1"/>
          <w:numId w:val="1"/>
        </w:numPr>
        <w:rPr/>
      </w:pPr>
      <w:r>
        <w:rPr/>
        <w:t>Solutions dominantes </w:t>
      </w:r>
    </w:p>
    <w:p>
      <w:pPr>
        <w:pStyle w:val="style24"/>
        <w:rPr/>
      </w:pPr>
      <w:r>
        <w:rPr/>
      </w:r>
    </w:p>
    <w:p>
      <w:pPr>
        <w:pStyle w:val="style0"/>
        <w:rPr/>
      </w:pPr>
      <w:r>
        <w:rPr/>
        <w:t>D’après la matrice d’appréciation, nous notons que les solutions suivantes dominent les autres solutions : a, b, d, e, h.</w:t>
      </w:r>
    </w:p>
    <w:p>
      <w:pPr>
        <w:pStyle w:val="style0"/>
        <w:rPr/>
      </w:pPr>
      <w:r>
        <w:rPr/>
      </w:r>
    </w:p>
    <w:p>
      <w:pPr>
        <w:pStyle w:val="style0"/>
        <w:rPr/>
      </w:pPr>
      <w:r>
        <w:rPr/>
        <w:t xml:space="preserve">En effet : </w:t>
      </w:r>
    </w:p>
    <w:p>
      <w:pPr>
        <w:pStyle w:val="style0"/>
        <w:rPr/>
      </w:pPr>
      <w:r>
        <w:rPr/>
      </w:r>
    </w:p>
    <w:p>
      <w:pPr>
        <w:pStyle w:val="style0"/>
        <w:rPr/>
      </w:pPr>
      <w:r>
        <w:rPr/>
        <w:t xml:space="preserve">// </w:t>
      </w:r>
      <w:r>
        <w:rPr/>
        <w:t>Graphe 1</w:t>
      </w:r>
    </w:p>
    <w:p>
      <w:pPr>
        <w:pStyle w:val="style0"/>
        <w:rPr/>
      </w:pPr>
      <w:r>
        <w:rPr/>
      </w:r>
    </w:p>
    <w:p>
      <w:pPr>
        <w:pStyle w:val="style0"/>
        <w:rPr/>
      </w:pPr>
      <w:r>
        <w:rPr/>
      </w:r>
    </w:p>
    <w:p>
      <w:pPr>
        <w:pStyle w:val="style0"/>
        <w:rPr/>
      </w:pPr>
      <w:r>
        <w:rPr/>
      </w:r>
    </w:p>
    <w:p>
      <w:pPr>
        <w:pStyle w:val="style0"/>
        <w:rPr/>
      </w:pPr>
      <w:r>
        <w:rPr/>
        <w:t>L’étude s’effectuera en deux temps : dans un premier temps, nous allons considérer que tous les coefficients de pondération sont égaux à 1, puis, dans un second temps, les critères d’appréciation seront pondérés selon les résultats obtenus dans la partie 2.</w:t>
      </w:r>
    </w:p>
    <w:p>
      <w:pPr>
        <w:pStyle w:val="style0"/>
        <w:rPr/>
      </w:pPr>
      <w:r>
        <w:rPr/>
      </w:r>
    </w:p>
    <w:p>
      <w:pPr>
        <w:pStyle w:val="style24"/>
        <w:numPr>
          <w:ilvl w:val="1"/>
          <w:numId w:val="1"/>
        </w:numPr>
        <w:rPr/>
      </w:pPr>
      <w:r>
        <w:rPr/>
        <w:t>Analyse sans pondération</w:t>
      </w:r>
    </w:p>
    <w:p>
      <w:pPr>
        <w:pStyle w:val="style0"/>
        <w:rPr/>
      </w:pPr>
      <w:r>
        <w:rPr/>
      </w:r>
    </w:p>
    <w:p>
      <w:pPr>
        <w:pStyle w:val="style24"/>
        <w:numPr>
          <w:ilvl w:val="2"/>
          <w:numId w:val="1"/>
        </w:numPr>
        <w:rPr/>
      </w:pPr>
      <w:r>
        <w:rPr/>
        <w:t>Matrice de concordance </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419"/>
        <w:gridCol w:w="1419"/>
        <w:gridCol w:w="1419"/>
        <w:gridCol w:w="1418"/>
        <w:gridCol w:w="1419"/>
        <w:gridCol w:w="1421"/>
      </w:tblGrid>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 /4</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 /4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 /4</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 /4</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 /4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 /4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3/4</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 /4</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3/4</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3/4</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3/4</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r>
    </w:tbl>
    <w:p>
      <w:pPr>
        <w:pStyle w:val="style0"/>
        <w:rPr/>
      </w:pPr>
      <w:r>
        <w:rPr/>
      </w:r>
    </w:p>
    <w:p>
      <w:pPr>
        <w:pStyle w:val="style24"/>
        <w:numPr>
          <w:ilvl w:val="2"/>
          <w:numId w:val="1"/>
        </w:numPr>
        <w:rPr/>
      </w:pPr>
      <w:r>
        <w:rPr/>
        <w:t>Matrice de discordance </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419"/>
        <w:gridCol w:w="1419"/>
        <w:gridCol w:w="1419"/>
        <w:gridCol w:w="1418"/>
        <w:gridCol w:w="1419"/>
        <w:gridCol w:w="1421"/>
      </w:tblGrid>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5/10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5/10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r>
    </w:tbl>
    <w:p>
      <w:pPr>
        <w:pStyle w:val="style0"/>
        <w:rPr/>
      </w:pPr>
      <w:r>
        <w:rPr/>
      </w:r>
    </w:p>
    <w:p>
      <w:pPr>
        <w:pStyle w:val="style24"/>
        <w:numPr>
          <w:ilvl w:val="2"/>
          <w:numId w:val="1"/>
        </w:numPr>
        <w:rPr/>
      </w:pPr>
      <w:r>
        <w:rPr/>
        <w:t>1</w:t>
      </w:r>
      <w:r>
        <w:rPr>
          <w:vertAlign w:val="superscript"/>
        </w:rPr>
        <w:t>er</w:t>
      </w:r>
      <w:r>
        <w:rPr/>
        <w:t xml:space="preserve"> seuillage </w:t>
      </w:r>
    </w:p>
    <w:p>
      <w:pPr>
        <w:pStyle w:val="style0"/>
        <w:ind w:hanging="0" w:left="360" w:right="0"/>
        <w:rPr/>
      </w:pPr>
      <w:r>
        <w:rPr/>
      </w:r>
    </w:p>
    <w:p>
      <w:pPr>
        <w:pStyle w:val="style0"/>
        <w:rPr/>
      </w:pPr>
      <w:r>
        <w:rPr/>
      </w:r>
    </w:p>
    <w:p>
      <w:pPr>
        <w:pStyle w:val="style0"/>
        <w:rPr/>
      </w:pPr>
      <w:r>
        <w:rPr/>
        <w:t xml:space="preserve">Dans un premier temps, on choisit les valeurs suivantes : </w:t>
      </w:r>
    </w:p>
    <w:p>
      <w:pPr>
        <w:pStyle w:val="style0"/>
        <w:rPr/>
      </w:pPr>
      <w:r>
        <w:rPr/>
      </w:r>
    </w:p>
    <w:tbl>
      <w:tblPr>
        <w:jc w:val="left"/>
        <w:tblInd w:type="dxa" w:w="266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917"/>
      </w:tblGrid>
      <w:tr>
        <w:trPr>
          <w:trHeight w:hRule="atLeast" w:val="560"/>
          <w:cantSplit w:val="false"/>
        </w:trPr>
        <w:tc>
          <w:tcPr>
            <w:tcW w:type="dxa" w:w="19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rPr/>
            </w:pPr>
            <w:r>
              <w:rPr/>
              <w:t xml:space="preserve">s = 0,75 = 3/4 </w:t>
            </w:r>
          </w:p>
          <w:p>
            <w:pPr>
              <w:pStyle w:val="style0"/>
              <w:rPr/>
            </w:pPr>
            <w:r>
              <w:rPr/>
              <w:t>v= 0,2 = 2/10</w:t>
            </w:r>
          </w:p>
        </w:tc>
      </w:tr>
    </w:tbl>
    <w:p>
      <w:pPr>
        <w:pStyle w:val="style0"/>
        <w:rPr/>
      </w:pPr>
      <w:r>
        <w:rPr/>
      </w:r>
    </w:p>
    <w:p>
      <w:pPr>
        <w:pStyle w:val="style0"/>
        <w:rPr/>
      </w:pPr>
      <w:r>
        <w:rPr/>
        <w:t>En comparant les matrices de concordance et de discordance aux seuils s et v, on obtient le résultat ci-dessous :</w:t>
      </w:r>
    </w:p>
    <w:p>
      <w:pPr>
        <w:pStyle w:val="style0"/>
        <w:rPr/>
      </w:pPr>
      <w:r>
        <w:rPr/>
      </w:r>
    </w:p>
    <w:p>
      <w:pPr>
        <w:pStyle w:val="style0"/>
        <w:rPr/>
      </w:pPr>
      <w:r>
        <w:rPr/>
        <w:t xml:space="preserve">// </w:t>
      </w:r>
      <w:r>
        <w:rPr/>
        <w:t>Graphe 2</w:t>
      </w:r>
    </w:p>
    <w:p>
      <w:pPr>
        <w:pStyle w:val="style0"/>
        <w:rPr/>
      </w:pPr>
      <w:r>
        <w:rPr/>
      </w:r>
    </w:p>
    <w:p>
      <w:pPr>
        <w:pStyle w:val="style0"/>
        <w:spacing w:line="360" w:lineRule="auto"/>
        <w:rPr/>
      </w:pPr>
      <w:r>
        <w:rPr/>
        <w:t xml:space="preserve">L’ensemble {a,b,e} constitue le noyau. Cependant, nous souhaitons obtenir </w:t>
      </w:r>
      <w:r>
        <w:rPr>
          <w:u w:val="single"/>
        </w:rPr>
        <w:t xml:space="preserve">une </w:t>
      </w:r>
      <w:r>
        <w:rPr/>
        <w:t>meilleure solution : le résultat obtenu n’est donc pas satisfaisant.</w:t>
      </w:r>
    </w:p>
    <w:p>
      <w:pPr>
        <w:pStyle w:val="style0"/>
        <w:rPr/>
      </w:pPr>
      <w:r>
        <w:rPr/>
      </w:r>
    </w:p>
    <w:p>
      <w:pPr>
        <w:pStyle w:val="style24"/>
        <w:numPr>
          <w:ilvl w:val="2"/>
          <w:numId w:val="1"/>
        </w:numPr>
        <w:rPr/>
      </w:pPr>
      <w:r>
        <w:rPr/>
        <w:t>2</w:t>
      </w:r>
      <w:r>
        <w:rPr>
          <w:vertAlign w:val="superscript"/>
        </w:rPr>
        <w:t>ème</w:t>
      </w:r>
      <w:r>
        <w:rPr/>
        <w:t xml:space="preserve"> seuillage </w:t>
      </w:r>
    </w:p>
    <w:p>
      <w:pPr>
        <w:pStyle w:val="style0"/>
        <w:rPr/>
      </w:pPr>
      <w:r>
        <w:rPr/>
      </w:r>
    </w:p>
    <w:p>
      <w:pPr>
        <w:pStyle w:val="style0"/>
        <w:rPr/>
      </w:pPr>
      <w:r>
        <w:rPr/>
        <w:t>Afin d’affiner le résultat et de n’obtenir qu’une seule meilleure solution, on modifie les valeurs du seuil de discordance :</w:t>
      </w:r>
    </w:p>
    <w:p>
      <w:pPr>
        <w:pStyle w:val="style0"/>
        <w:rPr/>
      </w:pPr>
      <w:r>
        <w:rPr/>
      </w:r>
    </w:p>
    <w:tbl>
      <w:tblPr>
        <w:jc w:val="left"/>
        <w:tblInd w:type="dxa" w:w="266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917"/>
      </w:tblGrid>
      <w:tr>
        <w:trPr>
          <w:trHeight w:hRule="atLeast" w:val="560"/>
          <w:cantSplit w:val="false"/>
        </w:trPr>
        <w:tc>
          <w:tcPr>
            <w:tcW w:type="dxa" w:w="19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rPr/>
            </w:pPr>
            <w:r>
              <w:rPr/>
              <w:t xml:space="preserve">s = 0,75 = 3/4 </w:t>
            </w:r>
          </w:p>
          <w:p>
            <w:pPr>
              <w:pStyle w:val="style0"/>
              <w:rPr/>
            </w:pPr>
            <w:r>
              <w:rPr/>
              <w:t>v= 0,4= 4/10</w:t>
            </w:r>
          </w:p>
          <w:p>
            <w:pPr>
              <w:pStyle w:val="style0"/>
              <w:rPr/>
            </w:pPr>
            <w:r>
              <w:rPr/>
            </w:r>
          </w:p>
        </w:tc>
      </w:tr>
    </w:tbl>
    <w:p>
      <w:pPr>
        <w:pStyle w:val="style0"/>
        <w:rPr/>
      </w:pPr>
      <w:r>
        <w:rPr/>
      </w:r>
    </w:p>
    <w:p>
      <w:pPr>
        <w:pStyle w:val="style0"/>
        <w:rPr/>
      </w:pPr>
      <w:r>
        <w:rPr/>
      </w:r>
    </w:p>
    <w:p>
      <w:pPr>
        <w:pStyle w:val="style0"/>
        <w:rPr/>
      </w:pPr>
      <w:r>
        <w:rPr/>
        <w:t>En procédant de la même façon que pour le 1</w:t>
      </w:r>
      <w:r>
        <w:rPr>
          <w:vertAlign w:val="superscript"/>
        </w:rPr>
        <w:t>er</w:t>
      </w:r>
      <w:r>
        <w:rPr/>
        <w:t xml:space="preserve"> seuillage, on obtient le résultat suivant :</w:t>
      </w:r>
    </w:p>
    <w:p>
      <w:pPr>
        <w:pStyle w:val="style0"/>
        <w:rPr/>
      </w:pPr>
      <w:r>
        <w:rPr/>
      </w:r>
    </w:p>
    <w:p>
      <w:pPr>
        <w:pStyle w:val="style0"/>
        <w:rPr/>
      </w:pPr>
      <w:r>
        <w:rPr/>
      </w:r>
    </w:p>
    <w:p>
      <w:pPr>
        <w:pStyle w:val="style0"/>
        <w:rPr/>
      </w:pPr>
      <w:r>
        <w:rPr/>
        <w:t xml:space="preserve">// </w:t>
      </w:r>
      <w:r>
        <w:rPr/>
        <w:t>Graphe 3</w:t>
      </w:r>
    </w:p>
    <w:p>
      <w:pPr>
        <w:pStyle w:val="style0"/>
        <w:rPr/>
      </w:pPr>
      <w:bookmarkStart w:id="0" w:name="_GoBack"/>
      <w:bookmarkStart w:id="1" w:name="_GoBack"/>
      <w:bookmarkEnd w:id="1"/>
      <w:r>
        <w:rPr/>
      </w:r>
    </w:p>
    <w:p>
      <w:pPr>
        <w:pStyle w:val="style0"/>
        <w:rPr/>
      </w:pPr>
      <w:r>
        <w:rPr/>
      </w:r>
    </w:p>
    <w:p>
      <w:pPr>
        <w:pStyle w:val="style0"/>
        <w:rPr/>
      </w:pPr>
      <w:r>
        <w:rPr/>
        <w:t>L’ensemble {a} constitue le noyau : a est donc la meilleure solution à ce problème.</w:t>
      </w:r>
    </w:p>
    <w:p>
      <w:pPr>
        <w:pStyle w:val="style0"/>
        <w:rPr/>
      </w:pPr>
      <w:r>
        <w:rPr/>
      </w:r>
    </w:p>
    <w:p>
      <w:pPr>
        <w:pStyle w:val="style0"/>
        <w:rPr/>
      </w:pPr>
      <w:r>
        <w:rPr/>
      </w:r>
    </w:p>
    <w:p>
      <w:pPr>
        <w:pStyle w:val="style24"/>
        <w:numPr>
          <w:ilvl w:val="1"/>
          <w:numId w:val="1"/>
        </w:numPr>
        <w:rPr/>
      </w:pPr>
      <w:r>
        <w:rPr/>
        <w:t xml:space="preserve">Analyse </w:t>
      </w:r>
      <w:r>
        <w:rPr/>
        <w:t>pondérée</w:t>
      </w:r>
    </w:p>
    <w:p>
      <w:pPr>
        <w:pStyle w:val="style0"/>
        <w:rPr/>
      </w:pPr>
      <w:r>
        <w:rPr/>
      </w:r>
    </w:p>
    <w:p>
      <w:pPr>
        <w:pStyle w:val="style24"/>
        <w:numPr>
          <w:ilvl w:val="2"/>
          <w:numId w:val="1"/>
        </w:numPr>
        <w:rPr/>
      </w:pPr>
      <w:r>
        <w:rPr/>
        <w:t>Matrice de concordance </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419"/>
        <w:gridCol w:w="1419"/>
        <w:gridCol w:w="1419"/>
        <w:gridCol w:w="1418"/>
        <w:gridCol w:w="1419"/>
        <w:gridCol w:w="1421"/>
      </w:tblGrid>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7/10,5</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 xml:space="preserve">7 ,5/10,5 </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9,5/10,5</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7/10,5</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3,5/10,5</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6,5/10,5</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9,5/10,5</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6,5/10,5</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6,5/10,5</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4/10,5</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6,5/10,5</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7/10,5</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1/10,5</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7/10,5</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4/10,5</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4/10,5</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6,5/10,5</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4/10,5</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 xml:space="preserve">7 ,5/10,5 </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6,5/10,5</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r>
    </w:tbl>
    <w:p>
      <w:pPr>
        <w:pStyle w:val="style0"/>
        <w:rPr/>
      </w:pPr>
      <w:r>
        <w:rPr/>
      </w:r>
    </w:p>
    <w:p>
      <w:pPr>
        <w:pStyle w:val="style24"/>
        <w:numPr>
          <w:ilvl w:val="2"/>
          <w:numId w:val="1"/>
        </w:numPr>
        <w:rPr/>
      </w:pPr>
      <w:r>
        <w:rPr/>
        <w:t>Matrice de discordance </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419"/>
        <w:gridCol w:w="1419"/>
        <w:gridCol w:w="1419"/>
        <w:gridCol w:w="1418"/>
        <w:gridCol w:w="1419"/>
        <w:gridCol w:w="1421"/>
      </w:tblGrid>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a</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1,6/10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b</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0,8/10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1,8/10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2,4/10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0,6/10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d</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1,8/10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e</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6/10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4/10</w:t>
            </w:r>
          </w:p>
        </w:tc>
      </w:tr>
      <w:tr>
        <w:trPr>
          <w:trHeight w:hRule="atLeast" w:val="397"/>
          <w:cantSplit w:val="false"/>
        </w:trPr>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b/>
                <w:color w:val="1F497D"/>
              </w:rPr>
            </w:pPr>
            <w:r>
              <w:rPr>
                <w:b/>
                <w:color w:val="1F497D"/>
              </w:rPr>
              <w:t>h</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1,8/10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1,2/10</w:t>
            </w:r>
          </w:p>
        </w:tc>
        <w:tc>
          <w:tcPr>
            <w:tcW w:type="dxa" w:w="1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2/10</w:t>
            </w:r>
          </w:p>
        </w:tc>
        <w:tc>
          <w:tcPr>
            <w:tcW w:type="dxa" w:w="14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rPr/>
            </w:pPr>
            <w:r>
              <w:rPr/>
              <w:t>-</w:t>
            </w:r>
          </w:p>
        </w:tc>
      </w:tr>
    </w:tbl>
    <w:p>
      <w:pPr>
        <w:pStyle w:val="style0"/>
        <w:rPr/>
      </w:pPr>
      <w:r>
        <w:rPr/>
      </w:r>
    </w:p>
    <w:p>
      <w:pPr>
        <w:pStyle w:val="style24"/>
        <w:numPr>
          <w:ilvl w:val="2"/>
          <w:numId w:val="1"/>
        </w:numPr>
        <w:rPr/>
      </w:pPr>
      <w:r>
        <w:rPr/>
        <w:t>1</w:t>
      </w:r>
      <w:r>
        <w:rPr>
          <w:vertAlign w:val="superscript"/>
        </w:rPr>
        <w:t>er</w:t>
      </w:r>
      <w:r>
        <w:rPr/>
        <w:t xml:space="preserve"> seuillage </w:t>
      </w:r>
    </w:p>
    <w:p>
      <w:pPr>
        <w:pStyle w:val="style0"/>
        <w:ind w:hanging="0" w:left="360" w:right="0"/>
        <w:rPr/>
      </w:pPr>
      <w:r>
        <w:rPr/>
      </w:r>
    </w:p>
    <w:p>
      <w:pPr>
        <w:pStyle w:val="style0"/>
        <w:rPr/>
      </w:pPr>
      <w:r>
        <w:rPr/>
      </w:r>
    </w:p>
    <w:p>
      <w:pPr>
        <w:pStyle w:val="style0"/>
        <w:rPr/>
      </w:pPr>
      <w:r>
        <w:rPr/>
        <w:t xml:space="preserve">Dans un premier temps, on choisit les valeurs suivantes : </w:t>
      </w:r>
    </w:p>
    <w:p>
      <w:pPr>
        <w:pStyle w:val="style0"/>
        <w:rPr/>
      </w:pPr>
      <w:r>
        <w:rPr/>
      </w:r>
    </w:p>
    <w:tbl>
      <w:tblPr>
        <w:jc w:val="left"/>
        <w:tblInd w:type="dxa" w:w="266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917"/>
      </w:tblGrid>
      <w:tr>
        <w:trPr>
          <w:trHeight w:hRule="atLeast" w:val="560"/>
          <w:cantSplit w:val="false"/>
        </w:trPr>
        <w:tc>
          <w:tcPr>
            <w:tcW w:type="dxa" w:w="19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rPr/>
            </w:pPr>
            <w:r>
              <w:rPr/>
              <w:t xml:space="preserve">s = 0,9 = 9,45 </w:t>
            </w:r>
          </w:p>
          <w:p>
            <w:pPr>
              <w:pStyle w:val="style0"/>
              <w:rPr/>
            </w:pPr>
            <w:r>
              <w:rPr/>
              <w:t>v= 0,2 = 2/10</w:t>
            </w:r>
          </w:p>
          <w:p>
            <w:pPr>
              <w:pStyle w:val="style0"/>
              <w:rPr/>
            </w:pPr>
            <w:r>
              <w:rPr/>
            </w:r>
          </w:p>
        </w:tc>
      </w:tr>
    </w:tbl>
    <w:p>
      <w:pPr>
        <w:pStyle w:val="style0"/>
        <w:rPr/>
      </w:pPr>
      <w:r>
        <w:rPr/>
      </w:r>
    </w:p>
    <w:p>
      <w:pPr>
        <w:pStyle w:val="style0"/>
        <w:rPr/>
      </w:pPr>
      <w:r>
        <w:rPr/>
        <w:t>En comparant les matrices de concordance et de discordance aux seuils s et v, on obtient le résultat ci-dessous :</w:t>
      </w:r>
    </w:p>
    <w:p>
      <w:pPr>
        <w:pStyle w:val="style0"/>
        <w:rPr/>
      </w:pPr>
      <w:r>
        <w:rPr/>
      </w:r>
    </w:p>
    <w:p>
      <w:pPr>
        <w:pStyle w:val="style0"/>
        <w:rPr/>
      </w:pPr>
      <w:r>
        <w:rPr/>
      </w:r>
    </w:p>
    <w:p>
      <w:pPr>
        <w:pStyle w:val="style0"/>
        <w:rPr/>
      </w:pPr>
      <w:r>
        <w:rPr/>
        <w:t xml:space="preserve">// </w:t>
      </w:r>
      <w:r>
        <w:rPr/>
        <w:t>Graphe 4</w:t>
      </w:r>
    </w:p>
    <w:p>
      <w:pPr>
        <w:pStyle w:val="style0"/>
        <w:rPr/>
      </w:pPr>
      <w:r>
        <w:rPr/>
      </w:r>
    </w:p>
    <w:p>
      <w:pPr>
        <w:pStyle w:val="style0"/>
        <w:spacing w:line="360" w:lineRule="auto"/>
        <w:rPr/>
      </w:pPr>
      <w:r>
        <w:rPr/>
        <w:t xml:space="preserve">L’ensemble {a,b,d,h} constitue le noyau. Cependant, nous souhaitons obtenir </w:t>
      </w:r>
      <w:r>
        <w:rPr>
          <w:u w:val="single"/>
        </w:rPr>
        <w:t xml:space="preserve">une </w:t>
      </w:r>
      <w:r>
        <w:rPr/>
        <w:t>meilleure solution : le résultat obtenu n’est donc pas satisfaisant.</w:t>
      </w:r>
    </w:p>
    <w:p>
      <w:pPr>
        <w:pStyle w:val="style0"/>
        <w:rPr/>
      </w:pPr>
      <w:r>
        <w:rPr/>
      </w:r>
    </w:p>
    <w:p>
      <w:pPr>
        <w:pStyle w:val="style24"/>
        <w:numPr>
          <w:ilvl w:val="2"/>
          <w:numId w:val="1"/>
        </w:numPr>
        <w:rPr/>
      </w:pPr>
      <w:r>
        <w:rPr/>
        <w:t>2</w:t>
      </w:r>
      <w:r>
        <w:rPr>
          <w:vertAlign w:val="superscript"/>
        </w:rPr>
        <w:t>ème</w:t>
      </w:r>
      <w:r>
        <w:rPr/>
        <w:t xml:space="preserve"> seuillage </w:t>
      </w:r>
    </w:p>
    <w:p>
      <w:pPr>
        <w:pStyle w:val="style0"/>
        <w:rPr/>
      </w:pPr>
      <w:r>
        <w:rPr/>
      </w:r>
    </w:p>
    <w:p>
      <w:pPr>
        <w:pStyle w:val="style0"/>
        <w:rPr/>
      </w:pPr>
      <w:r>
        <w:rPr/>
        <w:t>Afin d’affiner le résultat et de n’obtenir qu’une seule meilleure solution, on modifie les valeurs du seuil de concordance :</w:t>
      </w:r>
    </w:p>
    <w:p>
      <w:pPr>
        <w:pStyle w:val="style0"/>
        <w:rPr/>
      </w:pPr>
      <w:r>
        <w:rPr/>
      </w:r>
    </w:p>
    <w:tbl>
      <w:tblPr>
        <w:jc w:val="left"/>
        <w:tblInd w:type="dxa" w:w="266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137"/>
      </w:tblGrid>
      <w:tr>
        <w:trPr>
          <w:trHeight w:hRule="atLeast" w:val="600"/>
          <w:cantSplit w:val="false"/>
        </w:trPr>
        <w:tc>
          <w:tcPr>
            <w:tcW w:type="dxa" w:w="213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rPr/>
            </w:pPr>
            <w:r>
              <w:rPr/>
              <w:t xml:space="preserve">s = 0,7 = 7,35/10,5 </w:t>
            </w:r>
          </w:p>
          <w:p>
            <w:pPr>
              <w:pStyle w:val="style0"/>
              <w:rPr/>
            </w:pPr>
            <w:r>
              <w:rPr/>
              <w:t>v= 0,2= 2/10</w:t>
            </w:r>
          </w:p>
          <w:p>
            <w:pPr>
              <w:pStyle w:val="style0"/>
              <w:rPr/>
            </w:pPr>
            <w:r>
              <w:rPr/>
            </w:r>
          </w:p>
        </w:tc>
      </w:tr>
    </w:tbl>
    <w:p>
      <w:pPr>
        <w:pStyle w:val="style0"/>
        <w:rPr/>
      </w:pPr>
      <w:r>
        <w:rPr/>
      </w:r>
    </w:p>
    <w:p>
      <w:pPr>
        <w:pStyle w:val="style0"/>
        <w:rPr/>
      </w:pPr>
      <w:r>
        <w:rPr/>
      </w:r>
    </w:p>
    <w:p>
      <w:pPr>
        <w:pStyle w:val="style0"/>
        <w:rPr/>
      </w:pPr>
      <w:r>
        <w:rPr/>
        <w:t>En procédant de la même façon que pour le 1</w:t>
      </w:r>
      <w:r>
        <w:rPr>
          <w:vertAlign w:val="superscript"/>
        </w:rPr>
        <w:t>er</w:t>
      </w:r>
      <w:r>
        <w:rPr/>
        <w:t xml:space="preserve"> seuillage, on obtient le résultat suivant :</w:t>
      </w:r>
    </w:p>
    <w:p>
      <w:pPr>
        <w:pStyle w:val="style0"/>
        <w:rPr/>
      </w:pPr>
      <w:r>
        <w:rPr/>
      </w:r>
    </w:p>
    <w:p>
      <w:pPr>
        <w:pStyle w:val="style0"/>
        <w:rPr/>
      </w:pPr>
      <w:r>
        <w:rPr/>
        <w:t xml:space="preserve">// </w:t>
      </w:r>
      <w:r>
        <w:rPr/>
        <w:t>Graphe 5</w:t>
      </w:r>
    </w:p>
    <w:p>
      <w:pPr>
        <w:pStyle w:val="style0"/>
        <w:rPr/>
      </w:pPr>
      <w:r>
        <w:rPr/>
      </w:r>
    </w:p>
    <w:p>
      <w:pPr>
        <w:pStyle w:val="style0"/>
        <w:spacing w:line="360" w:lineRule="auto"/>
        <w:rPr/>
      </w:pPr>
      <w:r>
        <w:rPr/>
        <w:t xml:space="preserve">L’ensemble {a,b,h} constitue le noyau. Cependant, nous souhaitons obtenir </w:t>
      </w:r>
      <w:r>
        <w:rPr>
          <w:u w:val="single"/>
        </w:rPr>
        <w:t xml:space="preserve">une seule </w:t>
      </w:r>
      <w:r>
        <w:rPr/>
        <w:t>meilleure solution : le résultat obtenu n’est toujours pas satisfaisant.</w:t>
      </w:r>
    </w:p>
    <w:p>
      <w:pPr>
        <w:pStyle w:val="style0"/>
        <w:rPr/>
      </w:pPr>
      <w:r>
        <w:rPr/>
      </w:r>
    </w:p>
    <w:p>
      <w:pPr>
        <w:pStyle w:val="style24"/>
        <w:numPr>
          <w:ilvl w:val="2"/>
          <w:numId w:val="1"/>
        </w:numPr>
        <w:rPr/>
      </w:pPr>
      <w:r>
        <w:rPr/>
        <w:t>3</w:t>
      </w:r>
      <w:r>
        <w:rPr>
          <w:vertAlign w:val="superscript"/>
        </w:rPr>
        <w:t>ème</w:t>
      </w:r>
      <w:r>
        <w:rPr/>
        <w:t xml:space="preserve"> seuillage </w:t>
      </w:r>
    </w:p>
    <w:p>
      <w:pPr>
        <w:pStyle w:val="style0"/>
        <w:rPr/>
      </w:pPr>
      <w:r>
        <w:rPr/>
      </w:r>
    </w:p>
    <w:p>
      <w:pPr>
        <w:pStyle w:val="style0"/>
        <w:rPr/>
      </w:pPr>
      <w:r>
        <w:rPr/>
        <w:t>Afin d’affiner le résultat et de n’obtenir qu’une seule meilleure solution, on modifie les valeurs du seuil de concordance et du seuil de discordance :</w:t>
      </w:r>
    </w:p>
    <w:p>
      <w:pPr>
        <w:pStyle w:val="style0"/>
        <w:rPr/>
      </w:pPr>
      <w:r>
        <w:rPr/>
      </w:r>
    </w:p>
    <w:tbl>
      <w:tblPr>
        <w:jc w:val="left"/>
        <w:tblInd w:type="dxa" w:w="266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317"/>
      </w:tblGrid>
      <w:tr>
        <w:trPr>
          <w:trHeight w:hRule="atLeast" w:val="580"/>
          <w:cantSplit w:val="false"/>
        </w:trPr>
        <w:tc>
          <w:tcPr>
            <w:tcW w:type="dxa" w:w="23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rPr/>
            </w:pPr>
            <w:r>
              <w:rPr/>
              <w:t xml:space="preserve">s = 0,66 = 6,9/10,5 </w:t>
            </w:r>
          </w:p>
          <w:p>
            <w:pPr>
              <w:pStyle w:val="style0"/>
              <w:rPr/>
            </w:pPr>
            <w:r>
              <w:rPr/>
              <w:t>v= 0,4= 4/10</w:t>
            </w:r>
          </w:p>
          <w:p>
            <w:pPr>
              <w:pStyle w:val="style0"/>
              <w:rPr/>
            </w:pPr>
            <w:r>
              <w:rPr/>
            </w:r>
          </w:p>
        </w:tc>
      </w:tr>
    </w:tbl>
    <w:p>
      <w:pPr>
        <w:pStyle w:val="style0"/>
        <w:rPr/>
      </w:pPr>
      <w:r>
        <w:rPr/>
      </w:r>
    </w:p>
    <w:p>
      <w:pPr>
        <w:pStyle w:val="style0"/>
        <w:rPr/>
      </w:pPr>
      <w:r>
        <w:rPr/>
      </w:r>
    </w:p>
    <w:p>
      <w:pPr>
        <w:pStyle w:val="style0"/>
        <w:rPr/>
      </w:pPr>
      <w:r>
        <w:rPr/>
        <w:t>En procédant de la même façon que pour le 1</w:t>
      </w:r>
      <w:r>
        <w:rPr>
          <w:vertAlign w:val="superscript"/>
        </w:rPr>
        <w:t>er</w:t>
      </w:r>
      <w:r>
        <w:rPr/>
        <w:t xml:space="preserve">  et le 2</w:t>
      </w:r>
      <w:r>
        <w:rPr>
          <w:vertAlign w:val="superscript"/>
        </w:rPr>
        <w:t>ème</w:t>
      </w:r>
      <w:r>
        <w:rPr/>
        <w:t xml:space="preserve"> seuillage, on obtient le résultat suivant :</w:t>
      </w:r>
    </w:p>
    <w:p>
      <w:pPr>
        <w:pStyle w:val="style0"/>
        <w:rPr/>
      </w:pPr>
      <w:r>
        <w:rPr/>
      </w:r>
    </w:p>
    <w:p>
      <w:pPr>
        <w:pStyle w:val="style0"/>
        <w:rPr/>
      </w:pPr>
      <w:r>
        <w:rPr/>
      </w:r>
    </w:p>
    <w:p>
      <w:pPr>
        <w:pStyle w:val="style0"/>
        <w:rPr/>
      </w:pPr>
      <w:r>
        <w:rPr/>
        <w:t xml:space="preserve">// </w:t>
      </w:r>
      <w:r>
        <w:rPr/>
        <w:t>Graphe 6</w:t>
      </w:r>
    </w:p>
    <w:p>
      <w:pPr>
        <w:pStyle w:val="style0"/>
        <w:rPr/>
      </w:pPr>
      <w:r>
        <w:rPr/>
      </w:r>
    </w:p>
    <w:p>
      <w:pPr>
        <w:pStyle w:val="style0"/>
        <w:rPr/>
      </w:pPr>
      <w:r>
        <w:rPr/>
        <w:t>L’ensemble {a} constitue le noyau : a est donc la meilleure solution à ce problème.</w:t>
      </w:r>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360" w:left="720"/>
      </w:pPr>
      <w:rPr>
        <w:color w:val="00000A"/>
        <w:sz w:val="24"/>
        <w:b w:val="false"/>
      </w:rPr>
    </w:lvl>
    <w:lvl w:ilvl="2">
      <w:start w:val="1"/>
      <w:numFmt w:val="decimal"/>
      <w:lvlText w:val="%1.%2.%3"/>
      <w:lvlJc w:val="left"/>
      <w:pPr>
        <w:ind w:hanging="720" w:left="1080"/>
      </w:pPr>
      <w:rPr>
        <w:color w:val="00000A"/>
        <w:sz w:val="24"/>
        <w:b w:val="false"/>
      </w:rPr>
    </w:lvl>
    <w:lvl w:ilvl="3">
      <w:start w:val="1"/>
      <w:numFmt w:val="decimal"/>
      <w:lvlText w:val="%1.%2.%3.%4"/>
      <w:lvlJc w:val="left"/>
      <w:pPr>
        <w:ind w:hanging="1080" w:left="1440"/>
      </w:pPr>
      <w:rPr>
        <w:color w:val="00000A"/>
        <w:sz w:val="24"/>
        <w:b w:val="false"/>
      </w:rPr>
    </w:lvl>
    <w:lvl w:ilvl="4">
      <w:start w:val="1"/>
      <w:numFmt w:val="decimal"/>
      <w:lvlText w:val="%1.%2.%3.%4.%5"/>
      <w:lvlJc w:val="left"/>
      <w:pPr>
        <w:ind w:hanging="1080" w:left="1440"/>
      </w:pPr>
      <w:rPr>
        <w:color w:val="00000A"/>
        <w:sz w:val="24"/>
        <w:b w:val="false"/>
      </w:rPr>
    </w:lvl>
    <w:lvl w:ilvl="5">
      <w:start w:val="1"/>
      <w:numFmt w:val="decimal"/>
      <w:lvlText w:val="%1.%2.%3.%4.%5.%6"/>
      <w:lvlJc w:val="left"/>
      <w:pPr>
        <w:ind w:hanging="1440" w:left="1800"/>
      </w:pPr>
      <w:rPr>
        <w:color w:val="00000A"/>
        <w:sz w:val="24"/>
        <w:b w:val="false"/>
      </w:rPr>
    </w:lvl>
    <w:lvl w:ilvl="6">
      <w:start w:val="1"/>
      <w:numFmt w:val="decimal"/>
      <w:lvlText w:val="%1.%2.%3.%4.%5.%6.%7"/>
      <w:lvlJc w:val="left"/>
      <w:pPr>
        <w:ind w:hanging="1440" w:left="1800"/>
      </w:pPr>
      <w:rPr>
        <w:color w:val="00000A"/>
        <w:sz w:val="24"/>
        <w:b w:val="false"/>
      </w:rPr>
    </w:lvl>
    <w:lvl w:ilvl="7">
      <w:start w:val="1"/>
      <w:numFmt w:val="decimal"/>
      <w:lvlText w:val="%1.%2.%3.%4.%5.%6.%7.%8"/>
      <w:lvlJc w:val="left"/>
      <w:pPr>
        <w:ind w:hanging="1800" w:left="2160"/>
      </w:pPr>
      <w:rPr>
        <w:color w:val="00000A"/>
        <w:sz w:val="24"/>
        <w:b w:val="false"/>
      </w:rPr>
    </w:lvl>
    <w:lvl w:ilvl="8">
      <w:start w:val="1"/>
      <w:numFmt w:val="decimal"/>
      <w:lvlText w:val="%1.%2.%3.%4.%5.%6.%7.%8.%9"/>
      <w:lvlJc w:val="left"/>
      <w:pPr>
        <w:ind w:hanging="1800" w:left="2160"/>
      </w:pPr>
      <w:rPr>
        <w:color w:val="00000A"/>
        <w:sz w:val="24"/>
        <w:b w:val="false"/>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SimSun" w:hAnsi="Cambria"/>
      <w:color w:val="auto"/>
      <w:sz w:val="24"/>
      <w:szCs w:val="24"/>
      <w:lang w:bidi="ar-SA" w:eastAsia="en-US" w:val="fr-FR"/>
    </w:rPr>
  </w:style>
  <w:style w:styleId="style1" w:type="paragraph">
    <w:name w:val="Titre 1"/>
    <w:basedOn w:val="style0"/>
    <w:next w:val="style1"/>
    <w:pPr>
      <w:keepNext/>
      <w:keepLines/>
      <w:spacing w:after="0" w:before="480"/>
      <w:contextualSpacing w:val="false"/>
    </w:pPr>
    <w:rPr>
      <w:rFonts w:ascii="Calibri" w:cs="" w:hAnsi="Calibri"/>
      <w:b/>
      <w:bCs/>
      <w:color w:val="345A8A"/>
      <w:sz w:val="32"/>
      <w:szCs w:val="32"/>
    </w:rPr>
  </w:style>
  <w:style w:styleId="style2" w:type="paragraph">
    <w:name w:val="Titre 2"/>
    <w:basedOn w:val="style0"/>
    <w:next w:val="style2"/>
    <w:pPr>
      <w:keepNext/>
      <w:keepLines/>
      <w:spacing w:after="0" w:before="200"/>
      <w:contextualSpacing w:val="false"/>
    </w:pPr>
    <w:rPr>
      <w:rFonts w:ascii="Calibri" w:cs="" w:hAnsi="Calibri"/>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Heading 2 Char"/>
    <w:basedOn w:val="style15"/>
    <w:next w:val="style17"/>
    <w:rPr>
      <w:rFonts w:ascii="Calibri" w:cs="" w:hAnsi="Calibri"/>
      <w:b/>
      <w:bCs/>
      <w:color w:val="4F81BD"/>
      <w:sz w:val="26"/>
      <w:szCs w:val="26"/>
    </w:rPr>
  </w:style>
  <w:style w:styleId="style18" w:type="character">
    <w:name w:val="ListLabel 1"/>
    <w:next w:val="style18"/>
    <w:rPr>
      <w:rFonts w:cs=""/>
      <w:b w:val="false"/>
      <w:color w:val="00000A"/>
      <w:sz w:val="24"/>
    </w:rPr>
  </w:style>
  <w:style w:styleId="style19" w:type="paragraph">
    <w:name w:val="Titre"/>
    <w:basedOn w:val="style0"/>
    <w:next w:val="style20"/>
    <w:pPr>
      <w:keepNext/>
      <w:spacing w:after="120" w:before="240"/>
      <w:contextualSpacing w:val="false"/>
    </w:pPr>
    <w:rPr>
      <w:rFonts w:ascii="Arial" w:cs="Mangal" w:eastAsia="Microsoft YaHei" w:hAnsi="Arial"/>
      <w:sz w:val="28"/>
      <w:szCs w:val="28"/>
    </w:rPr>
  </w:style>
  <w:style w:styleId="style20" w:type="paragraph">
    <w:name w:val="Corps de texte"/>
    <w:basedOn w:val="style0"/>
    <w:next w:val="style20"/>
    <w:pPr>
      <w:spacing w:after="120" w:before="0"/>
      <w:contextualSpacing w:val="false"/>
    </w:pPr>
    <w:rPr/>
  </w:style>
  <w:style w:styleId="style21" w:type="paragraph">
    <w:name w:val="Liste"/>
    <w:basedOn w:val="style20"/>
    <w:next w:val="style21"/>
    <w:pPr/>
    <w:rPr>
      <w:rFonts w:cs="Mangal"/>
    </w:rPr>
  </w:style>
  <w:style w:styleId="style22" w:type="paragraph">
    <w:name w:val="Légende"/>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List Paragraph"/>
    <w:basedOn w:val="style0"/>
    <w:next w:val="style24"/>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2014-10-07T14:43:00Z</dcterms:created>
  <dc:creator>Meryem Benchakroune</dc:creator>
  <cp:lastModifiedBy>Meryem Benchakroune</cp:lastModifiedBy>
  <dcterms:modified xsi:type="dcterms:W3CDTF">2014-10-08T11:44:00Z</dcterms:modified>
  <cp:revision>2</cp:revision>
</cp:coreProperties>
</file>