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CB9" w:rsidRDefault="00143CB9" w:rsidP="00143CB9">
      <w:pPr>
        <w:pStyle w:val="Titre1"/>
      </w:pPr>
      <w:r>
        <w:t xml:space="preserve">Présentation ERP SAP </w:t>
      </w:r>
      <w:proofErr w:type="spellStart"/>
      <w:r>
        <w:t>ByD</w:t>
      </w:r>
      <w:proofErr w:type="spellEnd"/>
      <w:r>
        <w:t> :</w:t>
      </w:r>
    </w:p>
    <w:p w:rsidR="009E34F2" w:rsidRDefault="00707B37">
      <w:r>
        <w:t xml:space="preserve">L’objectif de cette partie est d’étudier l’offre proposée par un ERP particulier : SAP </w:t>
      </w:r>
      <w:proofErr w:type="spellStart"/>
      <w:r>
        <w:t>ByD</w:t>
      </w:r>
      <w:proofErr w:type="spellEnd"/>
      <w:r>
        <w:t>. Cette étude concernera la conformité des différents scénarios proposés par la plateforme avec le périmètre de travail défini par SPIE (à savoir les processus de maintenance et services)</w:t>
      </w:r>
    </w:p>
    <w:p w:rsidR="00A4088E" w:rsidRDefault="00C56189">
      <w:r>
        <w:t xml:space="preserve">SAP </w:t>
      </w:r>
      <w:proofErr w:type="spellStart"/>
      <w:r>
        <w:t>ByD</w:t>
      </w:r>
      <w:proofErr w:type="spellEnd"/>
      <w:r>
        <w:t xml:space="preserve"> se présente comme un ERP et BAS (Logiciel de Business </w:t>
      </w:r>
      <w:r w:rsidR="00153004">
        <w:t>Management) entièrement intégrés</w:t>
      </w:r>
      <w:r>
        <w:t xml:space="preserve"> dans une plateforme Cloud développée par SAP AG. </w:t>
      </w:r>
      <w:proofErr w:type="gramStart"/>
      <w:r>
        <w:t>Cet</w:t>
      </w:r>
      <w:proofErr w:type="gramEnd"/>
      <w:r>
        <w:t xml:space="preserve"> </w:t>
      </w:r>
      <w:proofErr w:type="spellStart"/>
      <w:r>
        <w:t>SaaS</w:t>
      </w:r>
      <w:proofErr w:type="spellEnd"/>
      <w:r>
        <w:t xml:space="preserve"> bénéficie de tous les avantages de ce type de services Cloud : un déploiement rapide (client léger</w:t>
      </w:r>
      <w:r w:rsidR="00153004">
        <w:t>)</w:t>
      </w:r>
      <w:r>
        <w:t>, externalisation de la maintenance et de l’hébergement</w:t>
      </w:r>
      <w:r w:rsidR="00153004">
        <w:t xml:space="preserve"> ...</w:t>
      </w:r>
    </w:p>
    <w:p w:rsidR="0068027D" w:rsidRDefault="00594101">
      <w:r>
        <w:t xml:space="preserve">En </w:t>
      </w:r>
      <w:r w:rsidR="004C1DBC">
        <w:t>termes</w:t>
      </w:r>
      <w:r>
        <w:t xml:space="preserve"> de couts</w:t>
      </w:r>
      <w:r w:rsidR="004C1DBC">
        <w:t>, s</w:t>
      </w:r>
      <w:r w:rsidR="004C1DBC" w:rsidRPr="004C1DBC">
        <w:t>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004C1DBC">
        <w:t>.</w:t>
      </w:r>
      <w:r w:rsidR="004C1DBC">
        <w:br/>
      </w:r>
      <w:r w:rsidR="004C1DBC" w:rsidRPr="004C1DBC">
        <w:t>La simulation ci-dessous</w:t>
      </w:r>
      <w:r w:rsidR="0068027D">
        <w:t xml:space="preserve"> (comparant les deux solutions </w:t>
      </w:r>
      <w:proofErr w:type="spellStart"/>
      <w:r w:rsidR="0068027D">
        <w:t>MySAP</w:t>
      </w:r>
      <w:proofErr w:type="spellEnd"/>
      <w:r w:rsidR="0068027D">
        <w:t xml:space="preserve"> All In One et </w:t>
      </w:r>
      <w:proofErr w:type="spellStart"/>
      <w:r w:rsidR="0068027D">
        <w:t>ByD</w:t>
      </w:r>
      <w:proofErr w:type="spellEnd"/>
      <w:r w:rsidR="0068027D">
        <w:t>)</w:t>
      </w:r>
      <w:r w:rsidR="004C1DBC" w:rsidRPr="004C1DBC">
        <w:t xml:space="preserve"> nous montre que, dans le meilleur des cas, le coût de SAP</w:t>
      </w:r>
      <w:r w:rsidR="0068027D">
        <w:t xml:space="preserve"> </w:t>
      </w:r>
      <w:proofErr w:type="spellStart"/>
      <w:r w:rsidR="0068027D">
        <w:t>ByD</w:t>
      </w:r>
      <w:proofErr w:type="spellEnd"/>
      <w:r w:rsidR="004C1DBC" w:rsidRPr="004C1DBC">
        <w:t xml:space="preserve">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r w:rsidR="0068027D">
        <w:br/>
      </w:r>
      <w:r w:rsidR="0068027D" w:rsidRPr="0068027D">
        <w:rPr>
          <w:i/>
        </w:rPr>
        <w:t>(L’hypothèse retenue est celle d’informaticiens payés sur la base de 3000 euros bruts mensuels, soit un coût annuel incluant les charges patronales de 52200 euros, source EXIA.CESI)</w:t>
      </w:r>
    </w:p>
    <w:tbl>
      <w:tblPr>
        <w:tblW w:w="9902"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3382"/>
        <w:gridCol w:w="2704"/>
        <w:gridCol w:w="3816"/>
      </w:tblGrid>
      <w:tr w:rsidR="004C1DBC" w:rsidRPr="00594101" w:rsidTr="004C1DBC">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rsidR="004C1DBC" w:rsidRPr="00594101" w:rsidRDefault="004C1DBC" w:rsidP="00594101">
            <w:pPr>
              <w:spacing w:after="0" w:line="270" w:lineRule="atLeast"/>
              <w:jc w:val="center"/>
              <w:rPr>
                <w:rFonts w:ascii="Arial" w:eastAsia="Times New Roman" w:hAnsi="Arial" w:cs="Arial"/>
                <w:b/>
                <w:bCs/>
                <w:color w:val="333333"/>
                <w:sz w:val="30"/>
                <w:szCs w:val="30"/>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1DBC" w:rsidRPr="00594101" w:rsidRDefault="004C1DBC" w:rsidP="00594101">
            <w:pPr>
              <w:spacing w:after="0"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1DBC" w:rsidRPr="00594101" w:rsidRDefault="004C1DBC" w:rsidP="00594101">
            <w:pPr>
              <w:spacing w:after="0"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594101" w:rsidRPr="00594101" w:rsidTr="004C1DBC">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sidR="004852E7">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594101" w:rsidRPr="00594101" w:rsidTr="004C1DBC">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sidR="004852E7">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sidR="004852E7">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sidR="004852E7">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sidR="004852E7">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594101" w:rsidRPr="00594101" w:rsidTr="004C1DBC">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sidR="004852E7">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68027D" w:rsidP="00594101">
            <w:pPr>
              <w:spacing w:after="0"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594101" w:rsidRPr="00594101" w:rsidTr="004C1DBC">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DF4DBD" w:rsidP="00594101">
            <w:pPr>
              <w:spacing w:after="0"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1 4</w:t>
            </w:r>
            <w:r w:rsidR="00594101"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00594101" w:rsidRPr="00594101">
              <w:rPr>
                <w:rFonts w:ascii="Arial" w:eastAsia="Times New Roman" w:hAnsi="Arial" w:cs="Arial"/>
                <w:color w:val="333333"/>
                <w:sz w:val="30"/>
                <w:szCs w:val="30"/>
                <w:lang w:eastAsia="fr-FR"/>
              </w:rPr>
              <w:t>000 €</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617DD8" w:rsidP="00594101">
            <w:pPr>
              <w:spacing w:after="0" w:line="270" w:lineRule="atLeast"/>
              <w:rPr>
                <w:rFonts w:ascii="Arial" w:eastAsia="Times New Roman" w:hAnsi="Arial" w:cs="Arial"/>
                <w:color w:val="333333"/>
                <w:sz w:val="30"/>
                <w:szCs w:val="30"/>
                <w:lang w:eastAsia="fr-FR"/>
              </w:rPr>
            </w:pPr>
            <w:r>
              <w:rPr>
                <w:rFonts w:ascii="Arial" w:eastAsia="Times New Roman" w:hAnsi="Arial" w:cs="Arial"/>
                <w:b/>
                <w:bCs/>
                <w:color w:val="333333"/>
                <w:sz w:val="30"/>
                <w:lang w:eastAsia="fr-FR"/>
              </w:rPr>
              <w:t>536 4</w:t>
            </w:r>
            <w:r w:rsidR="00594101" w:rsidRPr="00594101">
              <w:rPr>
                <w:rFonts w:ascii="Arial" w:eastAsia="Times New Roman" w:hAnsi="Arial" w:cs="Arial"/>
                <w:b/>
                <w:bCs/>
                <w:color w:val="333333"/>
                <w:sz w:val="30"/>
                <w:lang w:eastAsia="fr-FR"/>
              </w:rPr>
              <w:t>00</w:t>
            </w:r>
            <w:r w:rsidR="00594101" w:rsidRPr="00594101">
              <w:rPr>
                <w:rFonts w:ascii="Arial" w:eastAsia="Times New Roman" w:hAnsi="Arial" w:cs="Arial"/>
                <w:color w:val="333333"/>
                <w:sz w:val="30"/>
                <w:lang w:eastAsia="fr-FR"/>
              </w:rPr>
              <w:t> </w:t>
            </w:r>
            <w:r w:rsidR="00594101" w:rsidRPr="00594101">
              <w:rPr>
                <w:rFonts w:ascii="Arial" w:eastAsia="Times New Roman" w:hAnsi="Arial" w:cs="Arial"/>
                <w:color w:val="333333"/>
                <w:sz w:val="30"/>
                <w:szCs w:val="30"/>
                <w:lang w:eastAsia="fr-FR"/>
              </w:rPr>
              <w:t>€</w:t>
            </w:r>
          </w:p>
        </w:tc>
      </w:tr>
      <w:tr w:rsidR="00594101" w:rsidRPr="00594101" w:rsidTr="004C1DBC">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DF4DBD" w:rsidP="00594101">
            <w:pPr>
              <w:spacing w:after="0"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2 4</w:t>
            </w:r>
            <w:r w:rsidR="00594101"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00594101" w:rsidRPr="00594101">
              <w:rPr>
                <w:rFonts w:ascii="Arial" w:eastAsia="Times New Roman" w:hAnsi="Arial" w:cs="Arial"/>
                <w:color w:val="333333"/>
                <w:sz w:val="30"/>
                <w:szCs w:val="30"/>
                <w:lang w:eastAsia="fr-FR"/>
              </w:rPr>
              <w:t>000 €</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617DD8" w:rsidP="00594101">
            <w:pPr>
              <w:spacing w:after="0" w:line="270" w:lineRule="atLeast"/>
              <w:rPr>
                <w:rFonts w:ascii="Arial" w:eastAsia="Times New Roman" w:hAnsi="Arial" w:cs="Arial"/>
                <w:color w:val="333333"/>
                <w:sz w:val="30"/>
                <w:szCs w:val="30"/>
                <w:lang w:eastAsia="fr-FR"/>
              </w:rPr>
            </w:pPr>
            <w:r>
              <w:rPr>
                <w:rFonts w:ascii="Arial" w:eastAsia="Times New Roman" w:hAnsi="Arial" w:cs="Arial"/>
                <w:b/>
                <w:bCs/>
                <w:color w:val="333333"/>
                <w:sz w:val="30"/>
                <w:lang w:eastAsia="fr-FR"/>
              </w:rPr>
              <w:t>894</w:t>
            </w:r>
            <w:r w:rsidR="004852E7">
              <w:rPr>
                <w:rFonts w:ascii="Arial" w:eastAsia="Times New Roman" w:hAnsi="Arial" w:cs="Arial"/>
                <w:b/>
                <w:bCs/>
                <w:color w:val="333333"/>
                <w:sz w:val="30"/>
                <w:lang w:eastAsia="fr-FR"/>
              </w:rPr>
              <w:t xml:space="preserve"> </w:t>
            </w:r>
            <w:r>
              <w:rPr>
                <w:rFonts w:ascii="Arial" w:eastAsia="Times New Roman" w:hAnsi="Arial" w:cs="Arial"/>
                <w:b/>
                <w:bCs/>
                <w:color w:val="333333"/>
                <w:sz w:val="30"/>
                <w:lang w:eastAsia="fr-FR"/>
              </w:rPr>
              <w:t>0</w:t>
            </w:r>
            <w:r w:rsidR="00594101" w:rsidRPr="00594101">
              <w:rPr>
                <w:rFonts w:ascii="Arial" w:eastAsia="Times New Roman" w:hAnsi="Arial" w:cs="Arial"/>
                <w:b/>
                <w:bCs/>
                <w:color w:val="333333"/>
                <w:sz w:val="30"/>
                <w:lang w:eastAsia="fr-FR"/>
              </w:rPr>
              <w:t>00</w:t>
            </w:r>
            <w:r w:rsidR="00594101" w:rsidRPr="00594101">
              <w:rPr>
                <w:rFonts w:ascii="Arial" w:eastAsia="Times New Roman" w:hAnsi="Arial" w:cs="Arial"/>
                <w:color w:val="333333"/>
                <w:sz w:val="30"/>
                <w:lang w:eastAsia="fr-FR"/>
              </w:rPr>
              <w:t> </w:t>
            </w:r>
            <w:r w:rsidR="00594101" w:rsidRPr="00594101">
              <w:rPr>
                <w:rFonts w:ascii="Arial" w:eastAsia="Times New Roman" w:hAnsi="Arial" w:cs="Arial"/>
                <w:color w:val="333333"/>
                <w:sz w:val="30"/>
                <w:szCs w:val="30"/>
                <w:lang w:eastAsia="fr-FR"/>
              </w:rPr>
              <w:t>€</w:t>
            </w:r>
          </w:p>
        </w:tc>
      </w:tr>
      <w:tr w:rsidR="00594101" w:rsidRPr="00594101" w:rsidTr="004C1DBC">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DF4DBD" w:rsidP="00594101">
            <w:pPr>
              <w:spacing w:after="0" w:line="270" w:lineRule="atLeast"/>
              <w:rPr>
                <w:rFonts w:ascii="Arial" w:eastAsia="Times New Roman" w:hAnsi="Arial" w:cs="Arial"/>
                <w:color w:val="333333"/>
                <w:sz w:val="30"/>
                <w:szCs w:val="30"/>
                <w:lang w:eastAsia="fr-FR"/>
              </w:rPr>
            </w:pPr>
            <w:r w:rsidRPr="004852E7">
              <w:rPr>
                <w:rFonts w:ascii="Arial" w:eastAsia="Times New Roman" w:hAnsi="Arial" w:cs="Arial"/>
                <w:bCs/>
                <w:color w:val="333333"/>
                <w:sz w:val="30"/>
                <w:lang w:eastAsia="fr-FR"/>
              </w:rPr>
              <w:t>4 88</w:t>
            </w:r>
            <w:r w:rsidR="00594101" w:rsidRPr="004852E7">
              <w:rPr>
                <w:rFonts w:ascii="Arial" w:eastAsia="Times New Roman" w:hAnsi="Arial" w:cs="Arial"/>
                <w:bCs/>
                <w:color w:val="333333"/>
                <w:sz w:val="30"/>
                <w:lang w:eastAsia="fr-FR"/>
              </w:rPr>
              <w:t>0</w:t>
            </w:r>
            <w:r w:rsidRPr="004852E7">
              <w:rPr>
                <w:rFonts w:ascii="Arial" w:eastAsia="Times New Roman" w:hAnsi="Arial" w:cs="Arial"/>
                <w:bCs/>
                <w:color w:val="333333"/>
                <w:sz w:val="30"/>
                <w:lang w:eastAsia="fr-FR"/>
              </w:rPr>
              <w:t xml:space="preserve"> </w:t>
            </w:r>
            <w:r w:rsidR="00594101" w:rsidRPr="004852E7">
              <w:rPr>
                <w:rFonts w:ascii="Arial" w:eastAsia="Times New Roman" w:hAnsi="Arial" w:cs="Arial"/>
                <w:bCs/>
                <w:color w:val="333333"/>
                <w:sz w:val="30"/>
                <w:lang w:eastAsia="fr-FR"/>
              </w:rPr>
              <w:t>000</w:t>
            </w:r>
            <w:r w:rsidR="00594101" w:rsidRPr="004852E7">
              <w:rPr>
                <w:rFonts w:ascii="Arial" w:eastAsia="Times New Roman" w:hAnsi="Arial" w:cs="Arial"/>
                <w:color w:val="333333"/>
                <w:sz w:val="30"/>
                <w:lang w:eastAsia="fr-FR"/>
              </w:rPr>
              <w:t> </w:t>
            </w:r>
            <w:r w:rsidR="00594101" w:rsidRPr="00594101">
              <w:rPr>
                <w:rFonts w:ascii="Arial" w:eastAsia="Times New Roman" w:hAnsi="Arial" w:cs="Arial"/>
                <w:color w:val="333333"/>
                <w:sz w:val="30"/>
                <w:szCs w:val="30"/>
                <w:lang w:eastAsia="fr-FR"/>
              </w:rPr>
              <w:t>€</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617DD8">
            <w:pPr>
              <w:spacing w:after="0" w:line="270" w:lineRule="atLeast"/>
              <w:rPr>
                <w:rFonts w:ascii="Arial" w:eastAsia="Times New Roman" w:hAnsi="Arial" w:cs="Arial"/>
                <w:b/>
                <w:color w:val="333333"/>
                <w:sz w:val="30"/>
                <w:szCs w:val="30"/>
                <w:lang w:eastAsia="fr-FR"/>
              </w:rPr>
            </w:pPr>
            <w:r w:rsidRPr="00594101">
              <w:rPr>
                <w:rFonts w:ascii="Arial" w:eastAsia="Times New Roman" w:hAnsi="Arial" w:cs="Arial"/>
                <w:b/>
                <w:color w:val="333333"/>
                <w:sz w:val="30"/>
                <w:szCs w:val="30"/>
                <w:lang w:eastAsia="fr-FR"/>
              </w:rPr>
              <w:t>1</w:t>
            </w:r>
            <w:r w:rsidR="00617DD8">
              <w:rPr>
                <w:rFonts w:ascii="Arial" w:eastAsia="Times New Roman" w:hAnsi="Arial" w:cs="Arial"/>
                <w:b/>
                <w:color w:val="333333"/>
                <w:sz w:val="30"/>
                <w:szCs w:val="30"/>
                <w:lang w:eastAsia="fr-FR"/>
              </w:rPr>
              <w:t> 788 0</w:t>
            </w:r>
            <w:r w:rsidRPr="00594101">
              <w:rPr>
                <w:rFonts w:ascii="Arial" w:eastAsia="Times New Roman" w:hAnsi="Arial" w:cs="Arial"/>
                <w:b/>
                <w:color w:val="333333"/>
                <w:sz w:val="30"/>
                <w:szCs w:val="30"/>
                <w:lang w:eastAsia="fr-FR"/>
              </w:rPr>
              <w:t>00 €</w:t>
            </w:r>
          </w:p>
        </w:tc>
      </w:tr>
      <w:tr w:rsidR="00594101" w:rsidRPr="00594101" w:rsidTr="004C1DBC">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6.79</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3.58</w:t>
            </w:r>
          </w:p>
        </w:tc>
      </w:tr>
      <w:tr w:rsidR="00594101" w:rsidRPr="00594101" w:rsidTr="004C1DBC">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4.75</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594101" w:rsidRPr="00594101" w:rsidTr="004C1DBC">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lastRenderedPageBreak/>
              <w:t>Equivalent salariés par an (*) sur 10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3.22</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4101" w:rsidRPr="00594101" w:rsidRDefault="00594101" w:rsidP="00594101">
            <w:pPr>
              <w:spacing w:after="0"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3.47</w:t>
            </w:r>
          </w:p>
        </w:tc>
      </w:tr>
    </w:tbl>
    <w:p w:rsidR="00594101" w:rsidRDefault="00594101"/>
    <w:p w:rsidR="00707B37" w:rsidRDefault="00A4088E">
      <w:r>
        <w:t xml:space="preserve">Intégrés à l’offre initiale de SAP </w:t>
      </w:r>
      <w:proofErr w:type="spellStart"/>
      <w:r>
        <w:t>ByD</w:t>
      </w:r>
      <w:proofErr w:type="spellEnd"/>
      <w:r>
        <w:t xml:space="preserve">, des scénarios de gestion </w:t>
      </w:r>
      <w:r w:rsidR="00031851">
        <w:t xml:space="preserve">offrent une approche globale et standard concernant les processus mis en œuvre dans les différents domaines de gestion (Comptabilité, Stock, RH …). Nous nous intéresserons </w:t>
      </w:r>
      <w:r w:rsidR="00F71C27">
        <w:t>plus particulièrement au scénario FIELD SERVICE &amp; REPAIR,</w:t>
      </w:r>
      <w:r w:rsidR="00031851">
        <w:t xml:space="preserve"> se rattachant à la gestion des contrats de maintenance et services. </w:t>
      </w:r>
    </w:p>
    <w:p w:rsidR="00656186" w:rsidRDefault="00656186">
      <w:r w:rsidRPr="00143CB9">
        <w:rPr>
          <w:rStyle w:val="Titre1Car"/>
        </w:rPr>
        <w:t>Présentation du Scénario Service et réparation </w:t>
      </w:r>
      <w:proofErr w:type="gramStart"/>
      <w:r w:rsidRPr="00143CB9">
        <w:rPr>
          <w:rStyle w:val="Titre1Car"/>
        </w:rPr>
        <w:t>:</w:t>
      </w:r>
      <w:proofErr w:type="gramEnd"/>
      <w:r>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rsidR="00656186" w:rsidRDefault="00656186">
      <w:r>
        <w:t xml:space="preserve">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w:t>
      </w:r>
      <w:r w:rsidR="00143CB9">
        <w:t>en ce qui concerne l’aboutissement de la commande, le détail des sous-processus ainsi que les intervenants sollicités lors du déroulement du scénario (celui de SPIE étant plus riche et complet).</w:t>
      </w:r>
    </w:p>
    <w:p w:rsidR="00143CB9" w:rsidRPr="00594101" w:rsidRDefault="00143CB9">
      <w:r>
        <w:t>De plus, ce scénario présente</w:t>
      </w:r>
      <w:r w:rsidR="00594101">
        <w:t xml:space="preserve"> des avantages qui peuvent répondre aux attentes formulées par SPIE. Tout d’abord, en termes de </w:t>
      </w:r>
      <w:r w:rsidR="00594101">
        <w:rPr>
          <w:b/>
        </w:rPr>
        <w:t xml:space="preserve">nomadisme, </w:t>
      </w:r>
      <w:r w:rsidR="00594101">
        <w:t xml:space="preserve">ce processus intègre la gestion d’une solution mobile pour appareils nomades (Windows Mobile) via une solution partenaire. Ensuite, en termes de </w:t>
      </w:r>
      <w:r w:rsidR="00594101">
        <w:rPr>
          <w:b/>
        </w:rPr>
        <w:t>satisfaction client</w:t>
      </w:r>
      <w:r w:rsidR="00594101">
        <w:t xml:space="preserve">, le processus améliore ce point en intégrant une gestion des droits à garantie afin de mieux traiter les réclamations. Enfin, l’analyse et </w:t>
      </w:r>
      <w:proofErr w:type="spellStart"/>
      <w:r w:rsidR="00594101">
        <w:t>reporting</w:t>
      </w:r>
      <w:proofErr w:type="spellEnd"/>
      <w:r w:rsidR="00594101">
        <w:t xml:space="preserve"> intégrés permettent d’améliorer le suivi et la mise en place d’indicateurs clés utiles lors du suivi des ordres de services.</w:t>
      </w:r>
    </w:p>
    <w:p w:rsidR="00143CB9" w:rsidRDefault="00143CB9">
      <w:r>
        <w:t>&lt;&lt; CAPTURE DU SCENARIO (PowerPoint) &gt;&gt;</w:t>
      </w:r>
    </w:p>
    <w:p w:rsidR="00143CB9" w:rsidRDefault="00594101">
      <w:r>
        <w:t>Pour conclure, c</w:t>
      </w:r>
      <w:r w:rsidR="00143CB9">
        <w:t xml:space="preserve">ette analyse du scénario de gestion présenté par SAP </w:t>
      </w:r>
      <w:proofErr w:type="spellStart"/>
      <w:r w:rsidR="00143CB9">
        <w:t>ByD</w:t>
      </w:r>
      <w:proofErr w:type="spellEnd"/>
      <w:r w:rsidR="00143CB9">
        <w:t xml:space="preserve"> suggère tout naturellement des modifications organisationnelles et procédurales en vue d’intégrer cet ERP dans l’environnement de SPIE </w:t>
      </w:r>
      <w:proofErr w:type="spellStart"/>
      <w:r w:rsidR="00143CB9">
        <w:t>Sud-Est</w:t>
      </w:r>
      <w:proofErr w:type="spellEnd"/>
      <w:r w:rsidR="00143CB9">
        <w:t xml:space="preserve">. </w:t>
      </w:r>
    </w:p>
    <w:sectPr w:rsidR="00143CB9" w:rsidSect="009E34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7B37"/>
    <w:rsid w:val="00031851"/>
    <w:rsid w:val="00143CB9"/>
    <w:rsid w:val="00153004"/>
    <w:rsid w:val="004852E7"/>
    <w:rsid w:val="004C1DBC"/>
    <w:rsid w:val="00594101"/>
    <w:rsid w:val="00617DD8"/>
    <w:rsid w:val="00656186"/>
    <w:rsid w:val="0068027D"/>
    <w:rsid w:val="00707B37"/>
    <w:rsid w:val="009E34F2"/>
    <w:rsid w:val="00A4088E"/>
    <w:rsid w:val="00BE7846"/>
    <w:rsid w:val="00C56189"/>
    <w:rsid w:val="00DF4DBD"/>
    <w:rsid w:val="00F71C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F2"/>
  </w:style>
  <w:style w:type="paragraph" w:styleId="Titre1">
    <w:name w:val="heading 1"/>
    <w:basedOn w:val="Normal"/>
    <w:next w:val="Normal"/>
    <w:link w:val="Titre1Car"/>
    <w:uiPriority w:val="9"/>
    <w:qFormat/>
    <w:rsid w:val="00143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3CB9"/>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594101"/>
    <w:rPr>
      <w:b/>
      <w:bCs/>
    </w:rPr>
  </w:style>
  <w:style w:type="character" w:customStyle="1" w:styleId="apple-converted-space">
    <w:name w:val="apple-converted-space"/>
    <w:basedOn w:val="Policepardfaut"/>
    <w:rsid w:val="00594101"/>
  </w:style>
</w:styles>
</file>

<file path=word/webSettings.xml><?xml version="1.0" encoding="utf-8"?>
<w:webSettings xmlns:r="http://schemas.openxmlformats.org/officeDocument/2006/relationships" xmlns:w="http://schemas.openxmlformats.org/wordprocessingml/2006/main">
  <w:divs>
    <w:div w:id="189183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646</Words>
  <Characters>3553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MOURINO</dc:creator>
  <cp:lastModifiedBy>MOURINO</cp:lastModifiedBy>
  <cp:revision>3</cp:revision>
  <dcterms:created xsi:type="dcterms:W3CDTF">2014-12-30T22:05:00Z</dcterms:created>
  <dcterms:modified xsi:type="dcterms:W3CDTF">2015-01-04T19:52:00Z</dcterms:modified>
</cp:coreProperties>
</file>