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1" w:name="introduction"/>
    <w:p>
      <w:pPr>
        <w:pStyle w:val="berschrift1"/>
      </w:pPr>
      <w:r>
        <w:rPr>
          <w:rStyle w:val="SectionNumber"/>
        </w:rPr>
        <w:t xml:space="preserve">1</w:t>
      </w:r>
      <w:r>
        <w:tab/>
      </w:r>
      <w:r>
        <w:t xml:space="preserve">Introduction</w:t>
      </w:r>
    </w:p>
    <w:p>
      <w:pPr>
        <w:pStyle w:val="Blocktext"/>
      </w:pPr>
      <w:r>
        <w:t xml:space="preserve">Renata’s SEM paper will come in handy</w:t>
      </w:r>
    </w:p>
    <w:p>
      <w:pPr>
        <w:pStyle w:val="FirstParagraph"/>
      </w:pPr>
      <w:r>
        <w:t xml:space="preserve">Recent decades have seen a proliferation of interest and research in the construct of employee engagement.</w:t>
      </w:r>
    </w:p>
    <w:p>
      <w:pPr>
        <w:pStyle w:val="Blocktext"/>
      </w:pPr>
      <w:r>
        <w:t xml:space="preserve">more on why we’re looking at tripartite model</w:t>
      </w:r>
    </w:p>
    <w:p>
      <w:pPr>
        <w:pStyle w:val="FirstParagraph"/>
      </w:pPr>
      <w:r>
        <w:t xml:space="preserve">The roots of employee</w:t>
      </w:r>
      <w:r>
        <w:t xml:space="preserve"> </w:t>
      </w:r>
      <w:r>
        <w:t xml:space="preserve">(aka work; e.g., W. Schaufeli &amp; Bakker, 2010)</w:t>
      </w:r>
      <w:r>
        <w:t xml:space="preserve"> </w:t>
      </w:r>
      <w:r>
        <w:t xml:space="preserve">engagement research likely started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et al., 1991)</w:t>
      </w:r>
      <w:r>
        <w:t xml:space="preserve">. This exploration extended into broader considerations of attitudes and emotions</w:t>
      </w:r>
      <w:r>
        <w:t xml:space="preserve"> </w:t>
      </w:r>
      <w:r>
        <w:t xml:space="preserve">(Staw et al., 1994)</w:t>
      </w:r>
      <w:r>
        <w:t xml:space="preserve"> </w:t>
      </w:r>
      <w:r>
        <w:t xml:space="preserve">and were informed by further exploration of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Kahn (1990a)</w:t>
      </w:r>
      <w:r>
        <w:t xml:space="preserve">).</w:t>
      </w:r>
      <w:r>
        <w:t xml:space="preserve"> </w:t>
      </w:r>
      <w:r>
        <w:t xml:space="preserve">Staw et al. (1994)</w:t>
      </w:r>
      <w:r>
        <w:t xml:space="preserve"> </w:t>
      </w:r>
      <w:r>
        <w:t xml:space="preserve">investigated the relationships between</w:t>
      </w:r>
      <w:r>
        <w:t xml:space="preserve"> </w:t>
      </w:r>
      <w:r>
        <w:rPr>
          <w:i/>
        </w:rPr>
        <w:t xml:space="preserve">positive emotions</w:t>
      </w:r>
      <w:r>
        <w:t xml:space="preserve"> </w:t>
      </w:r>
      <w:r>
        <w:t xml:space="preserve">and favorable work outcomes, and although they do not use the word,</w:t>
      </w:r>
      <w:r>
        <w:t xml:space="preserve"> </w:t>
      </w:r>
      <w:r>
        <w:t xml:space="preserve">“</w:t>
      </w:r>
      <w:r>
        <w:t xml:space="preserve">engagement,</w:t>
      </w:r>
      <w:r>
        <w:t xml:space="preserve">”</w:t>
      </w:r>
      <w:r>
        <w:t xml:space="preserve"> </w:t>
      </w:r>
      <w:r>
        <w:t xml:space="preserve">their distinction between felt and expressed emotion likely held influence upon the burgeoning interest in the engagement construct.</w:t>
      </w:r>
    </w:p>
    <w:p>
      <w:pPr>
        <w:pStyle w:val="Blocktext"/>
      </w:pPr>
      <w:r>
        <w:t xml:space="preserve">burnout</w:t>
      </w:r>
    </w:p>
    <w:p>
      <w:pPr>
        <w:pStyle w:val="FirstParagraph"/>
      </w:pPr>
      <w:r>
        <w:t xml:space="preserve">Although occasionally referred to as residing on the opposing pole to</w:t>
      </w:r>
      <w:r>
        <w:t xml:space="preserve"> </w:t>
      </w:r>
      <w:r>
        <w:rPr>
          <w:i/>
        </w:rPr>
        <w:t xml:space="preserve">burnout</w:t>
      </w:r>
      <w:r>
        <w:t xml:space="preserve"> </w:t>
      </w:r>
      <w:r>
        <w:t xml:space="preserve">(Maslach &amp; Leiter, 2008)</w:t>
      </w:r>
      <w:r>
        <w:t xml:space="preserve">, these two constructs are currently most commonly conceptualized as being distinct</w:t>
      </w:r>
      <w:r>
        <w:t xml:space="preserve"> </w:t>
      </w:r>
      <w:r>
        <w:t xml:space="preserve">(Goering et al., 2017; Kim et al., 2009; Schaufeli et al., 2008; Timms et al., 2012)</w:t>
      </w:r>
      <w:r>
        <w:t xml:space="preserve">, although certainly not universally</w:t>
      </w:r>
      <w:r>
        <w:t xml:space="preserve"> </w:t>
      </w:r>
      <w:r>
        <w:t xml:space="preserve">(Cole et al., 2012; Taris et al., 2017)</w:t>
      </w:r>
      <w:r>
        <w:t xml:space="preserve">. Comparing the two,</w:t>
      </w:r>
      <w:r>
        <w:t xml:space="preserve"> </w:t>
      </w:r>
      <w:r>
        <w:t xml:space="preserve">Goering et al. (2017)</w:t>
      </w:r>
      <w:r>
        <w:t xml:space="preserve"> </w:t>
      </w:r>
      <w:r>
        <w:t xml:space="preserve">concluded that they have a moderate (negative) association, but also distinct nomological networks.</w:t>
      </w:r>
      <w:r>
        <w:t xml:space="preserve"> </w:t>
      </w:r>
      <w:r>
        <w:t xml:space="preserve">Schaufeli et al. (2008)</w:t>
      </w:r>
      <w:r>
        <w:t xml:space="preserve"> </w:t>
      </w:r>
      <w:r>
        <w:t xml:space="preserve">investigated both internal and external association indicators, concluding that engagement and burnout (as well as</w:t>
      </w:r>
      <w:r>
        <w:t xml:space="preserve"> </w:t>
      </w:r>
      <w:r>
        <w:rPr>
          <w:i/>
        </w:rPr>
        <w:t xml:space="preserve">workaholism</w:t>
      </w:r>
      <w:r>
        <w:t xml:space="preserve">) should be considered three distinct constructs.</w:t>
      </w:r>
    </w:p>
    <w:p>
      <w:pPr>
        <w:pStyle w:val="Textkrper"/>
      </w:pPr>
      <w:r>
        <w:t xml:space="preserve">Burnout can be defined as a psychological syndrome characterized by exhaustion (low energy), cynicism (low involvement), and inefficacy (low self-efficacy), which is experienced in response to chronic job stressors</w:t>
      </w:r>
      <w:r>
        <w:t xml:space="preserve"> </w:t>
      </w:r>
      <w:r>
        <w:t xml:space="preserve">(e.g., Leiter &amp; Maslach, 2004; Maslach &amp; Leiter, 1997)</w:t>
      </w:r>
      <w:r>
        <w:t xml:space="preserve">. Alternatively, engagement refers to an individual worker’s involvement and satisfaction as well as enthusiasm for work</w:t>
      </w:r>
      <w:r>
        <w:t xml:space="preserve"> </w:t>
      </w:r>
      <w:r>
        <w:t xml:space="preserve">(Harter et al., 2002)</w:t>
      </w:r>
      <w:r>
        <w:t xml:space="preserve">.</w:t>
      </w:r>
      <w:r>
        <w:t xml:space="preserve"> </w:t>
      </w:r>
      <w:r>
        <w:t xml:space="preserve">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(Schaufeli et al.,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p>
    <w:p>
      <w:pPr>
        <w:pStyle w:val="Textkrper"/>
      </w:pPr>
      <w:r>
        <w:t xml:space="preserve">Regarding measurement, Gallup is widely acknowledged as an early pioneer in the measurement of the construct</w:t>
      </w:r>
      <w:r>
        <w:t xml:space="preserve"> </w:t>
      </w:r>
      <w:r>
        <w:t xml:space="preserve">(see, for example, Coffman &amp; Harter, 1999)</w:t>
      </w:r>
      <w:r>
        <w:t xml:space="preserve">. The Utrecht Work Engagement Scale (UWES) is another self-report questionnaire developed by</w:t>
      </w:r>
      <w:r>
        <w:t xml:space="preserve"> </w:t>
      </w:r>
      <w:r>
        <w:t xml:space="preserve">Schaufeli and Bakker (2003)</w:t>
      </w:r>
      <w:r>
        <w:t xml:space="preserve"> </w:t>
      </w:r>
      <w:r>
        <w:t xml:space="preserve">that directly assesses the vigor, dedication, and absorption elements.</w:t>
      </w:r>
    </w:p>
    <w:p>
      <w:pPr>
        <w:pStyle w:val="Blocktext"/>
      </w:pPr>
      <w:r>
        <w:t xml:space="preserve">TRIPARTITE MODEL–work here</w:t>
      </w:r>
    </w:p>
    <w:p>
      <w:pPr>
        <w:pStyle w:val="FirstParagraph"/>
      </w:pPr>
      <w:r>
        <w:t xml:space="preserve">The first, to our knowledge,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(1990b)</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(1990b)</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w:t>
      </w:r>
    </w:p>
    <w:p>
      <w:pPr>
        <w:pStyle w:val="Textkrper"/>
      </w:pPr>
      <w:r>
        <w:t xml:space="preserve">Although falling out of favor in the decades following its construction, interest in the tripartite model was revived by</w:t>
      </w:r>
      <w:r>
        <w:t xml:space="preserve"> </w:t>
      </w:r>
      <w:r>
        <w:t xml:space="preserve">Kaiser and Wilson (2019)</w:t>
      </w:r>
      <w:r>
        <w:t xml:space="preserv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End w:id="21"/>
    <w:bookmarkStart w:id="31" w:name="methods"/>
    <w:p>
      <w:pPr>
        <w:pStyle w:val="berschrift1"/>
      </w:pPr>
      <w:r>
        <w:rPr>
          <w:rStyle w:val="SectionNumber"/>
        </w:rPr>
        <w:t xml:space="preserve">2</w:t>
      </w:r>
      <w:r>
        <w:tab/>
      </w:r>
      <w:r>
        <w:t xml:space="preserve">Methods</w:t>
      </w:r>
    </w:p>
    <w:p>
      <w:pPr>
        <w:pStyle w:val="FirstParagraph"/>
      </w:pPr>
      <w:r>
        <w:t xml:space="preserve">Choice of focus on BIC versus AIC discussed in</w:t>
      </w:r>
      <w:r>
        <w:t xml:space="preserve"> </w:t>
      </w:r>
      <w:r>
        <w:t xml:space="preserve">Dziak et al. (2020)</w:t>
      </w:r>
      <w:r>
        <w:t xml:space="preserve">.</w:t>
      </w:r>
    </w:p>
    <w:bookmarkStart w:id="24" w:name="participants"/>
    <w:p>
      <w:pPr>
        <w:pStyle w:val="berschrift2"/>
      </w:pPr>
      <w:r>
        <w:rPr>
          <w:rStyle w:val="SectionNumber"/>
        </w:rPr>
        <w:t xml:space="preserve">2.1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r>
        <w:t xml:space="preserve">.</w:t>
      </w:r>
    </w:p>
    <w:bookmarkStart w:id="22" w:name="item-generation"/>
    <w:p>
      <w:pPr>
        <w:pStyle w:val="berschrift3"/>
      </w:pPr>
      <w:r>
        <w:rPr>
          <w:rStyle w:val="SectionNumber"/>
        </w:rPr>
        <w:t xml:space="preserve">2.1.1</w:t>
      </w:r>
      <w:r>
        <w:tab/>
      </w:r>
      <w:r>
        <w:t xml:space="preserve">Item generation.</w:t>
      </w:r>
    </w:p>
    <w:p>
      <w:pPr>
        <w:pStyle w:val="FirstParagraph"/>
      </w:pPr>
      <w:r>
        <w:t xml:space="preserve">We generated a set of 50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 </w:t>
      </w:r>
      <w:r>
        <w:rPr>
          <w:i/>
        </w:rPr>
        <w:t xml:space="preserve">“</w:t>
      </w:r>
      <w:r>
        <w:rPr>
          <w:i/>
        </w:rPr>
        <w:t xml:space="preserve">I FEEL,</w:t>
      </w:r>
      <w:r>
        <w:rPr>
          <w:i/>
        </w:rPr>
        <w:t xml:space="preserve">”</w:t>
      </w:r>
      <w:r>
        <w:rPr>
          <w:i/>
        </w:rPr>
        <w:t xml:space="preserve"> </w:t>
      </w:r>
      <w:r>
        <w:rPr>
          <w:i/>
        </w:rPr>
        <w:t xml:space="preserve">“</w:t>
      </w:r>
      <w:r>
        <w:rPr>
          <w:i/>
        </w:rPr>
        <w:t xml:space="preserve">I DO?</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bookmarkEnd w:id="22"/>
    <w:bookmarkStart w:id="23" w:name="X63f3b6ad8af3a322c625b6badad218eb1dd92f9"/>
    <w:p>
      <w:pPr>
        <w:pStyle w:val="berschrift3"/>
      </w:pPr>
      <w:r>
        <w:rPr>
          <w:rStyle w:val="SectionNumber"/>
        </w:rPr>
        <w:t xml:space="preserve">2.1.2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by at least five of seven raters were excluded from further analysis. Students were not aware of the intended dimensions of each item and were presented with the following definitions for sorting:</w:t>
      </w:r>
    </w:p>
    <w:p>
      <w:pPr>
        <w:pStyle w:val="Textkrper"/>
      </w:pPr>
      <w:r>
        <w:t xml:space="preserve">Students were given the following definitions for item sorting. Absorption: Being fully immersed in one’s work, where time passes quickly and one has difficulty detaching from work tasks. Vigor: Experiencing persistent levels of energy, effort, and enthusiasm while working. Dedication: Experiencing pride and challenge in ones work, as well as strong feelings of support from and loyalty toward the organization. Attitudinal: Pertaining to thoughts or general mental processes (for example what someone thinks). Affective: Pertaining to feelings or emotions (for example, how someone feels). Behavioral: Pertaining to acts or actions (for example, what someone does)</w:t>
      </w:r>
    </w:p>
    <w:p>
      <w:pPr>
        <w:pStyle w:val="Blocktext"/>
      </w:pPr>
      <w:r>
        <w:t xml:space="preserve">See table</w:t>
      </w:r>
      <w:r>
        <w:t xml:space="preserve"> </w:t>
      </w:r>
      <w:r>
        <w:rPr>
          <w:i/>
        </w:rPr>
        <w:t xml:space="preserve">X</w:t>
      </w:r>
      <w:r>
        <w:t xml:space="preserve"> </w:t>
      </w:r>
      <w:r>
        <w:t xml:space="preserve">for a full list of items and their respective dimensions.</w:t>
      </w:r>
    </w:p>
    <w:p>
      <w:pPr>
        <w:pStyle w:val="FirstParagraph"/>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bookmarkEnd w:id="23"/>
    <w:bookmarkEnd w:id="24"/>
    <w:bookmarkStart w:id="29" w:name="procedure"/>
    <w:p>
      <w:pPr>
        <w:pStyle w:val="berschrift2"/>
      </w:pPr>
      <w:r>
        <w:rPr>
          <w:rStyle w:val="SectionNumber"/>
        </w:rPr>
        <w:t xml:space="preserve">2.2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5" w:name="corrected-item-total-correlations"/>
    <w:p>
      <w:pPr>
        <w:pStyle w:val="berschrift3"/>
      </w:pPr>
      <w:r>
        <w:rPr>
          <w:rStyle w:val="SectionNumber"/>
        </w:rPr>
        <w:t xml:space="preserve">2.2.1</w:t>
      </w:r>
      <w:r>
        <w:tab/>
      </w:r>
      <w:r>
        <w:t xml:space="preserve">Corrected item-total correlations.</w:t>
      </w:r>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5"/>
    <w:bookmarkStart w:id="27" w:name="cfa-modification-indices"/>
    <w:p>
      <w:pPr>
        <w:pStyle w:val="berschrift3"/>
      </w:pPr>
      <w:r>
        <w:rPr>
          <w:rStyle w:val="SectionNumber"/>
        </w:rPr>
        <w:t xml:space="preserve">2.2.2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6"/>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Pr>
      <w:r>
        <w:t xml:space="preserve">Actually it doesn’t matter that much with only 1 item deletion - probably go ahead and do a few before recheck modification indices</w:t>
      </w:r>
    </w:p>
    <w:bookmarkEnd w:id="27"/>
    <w:bookmarkStart w:id="28" w:name="single-factor-versus-bifactor-approaches"/>
    <w:p>
      <w:pPr>
        <w:pStyle w:val="berschrift3"/>
      </w:pPr>
      <w:r>
        <w:rPr>
          <w:rStyle w:val="SectionNumber"/>
        </w:rPr>
        <w:t xml:space="preserve">2.2.3</w:t>
      </w:r>
      <w:r>
        <w:tab/>
      </w:r>
      <w:r>
        <w:t xml:space="preserve">Single factor versus bifactor approaches.</w:t>
      </w:r>
    </w:p>
    <w:p>
      <w:pPr>
        <w:pStyle w:val="Blocktext"/>
      </w:pPr>
      <w:r>
        <w:t xml:space="preserve">Casey this is where you come in</w:t>
      </w:r>
    </w:p>
    <w:bookmarkEnd w:id="28"/>
    <w:bookmarkEnd w:id="29"/>
    <w:bookmarkStart w:id="30" w:name="data-analysis"/>
    <w:p>
      <w:pPr>
        <w:pStyle w:val="berschrift2"/>
      </w:pPr>
      <w:r>
        <w:rPr>
          <w:rStyle w:val="SectionNumber"/>
        </w:rPr>
        <w:t xml:space="preserve">2.3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our analyses.</w:t>
      </w:r>
    </w:p>
    <w:bookmarkEnd w:id="30"/>
    <w:bookmarkEnd w:id="31"/>
    <w:bookmarkStart w:id="36" w:name="results"/>
    <w:p>
      <w:pPr>
        <w:pStyle w:val="berschrift1"/>
      </w:pPr>
      <w:r>
        <w:rPr>
          <w:rStyle w:val="SectionNumber"/>
        </w:rPr>
        <w:t xml:space="preserve">3</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5" w:name="study-2"/>
    <w:p>
      <w:pPr>
        <w:pStyle w:val="berschrift2"/>
      </w:pPr>
      <w:r>
        <w:rPr>
          <w:rStyle w:val="SectionNumber"/>
        </w:rPr>
        <w:t xml:space="preserve">3.1</w:t>
      </w:r>
      <w:r>
        <w:tab/>
      </w:r>
      <w:r>
        <w:t xml:space="preserve">Study 2</w:t>
      </w:r>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5"/>
    <w:bookmarkEnd w:id="36"/>
    <w:bookmarkStart w:id="37" w:name="discussion"/>
    <w:p>
      <w:pPr>
        <w:pStyle w:val="berschrift1"/>
      </w:pPr>
      <w:r>
        <w:rPr>
          <w:rStyle w:val="SectionNumber"/>
        </w:rPr>
        <w:t xml:space="preserve">4</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 Toward this end, we propose two similar scale definitions</w:t>
      </w:r>
    </w:p>
    <w:p>
      <w:pPr>
        <w:pStyle w:val="Textkrper"/>
      </w:pPr>
      <w:r>
        <w:t xml:space="preserve">Our next endeavor will be to establish convergent and discriminant validity of the scales.</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r>
        <w:t xml:space="preserve"> </w:t>
      </w:r>
      <w:r>
        <w:t xml:space="preserve">Secondly, we more generally advance the use of bifactor analysis as an alternative approach to testing and comparing structural models of constructs. Rather than</w:t>
      </w:r>
      <w:r>
        <w:t xml:space="preserve"> </w:t>
      </w: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37"/>
    <w:bookmarkStart w:id="115" w:name="references"/>
    <w:p>
      <w:pPr>
        <w:pStyle w:val="berschrift1"/>
      </w:pPr>
      <w:r>
        <w:rPr>
          <w:rStyle w:val="SectionNumber"/>
        </w:rPr>
        <w:t xml:space="preserve">5</w:t>
      </w:r>
      <w:r>
        <w:tab/>
      </w:r>
      <w:r>
        <w:t xml:space="preserve">References</w:t>
      </w:r>
    </w:p>
    <w:bookmarkStart w:id="114" w:name="refs"/>
    <w:bookmarkStart w:id="39"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38">
        <w:r>
          <w:rPr>
            <w:rStyle w:val="Hyperlink"/>
          </w:rPr>
          <w:t xml:space="preserve">https://github.com/crsh/papaja</w:t>
        </w:r>
      </w:hyperlink>
    </w:p>
    <w:bookmarkEnd w:id="39"/>
    <w:bookmarkStart w:id="41"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0">
        <w:r>
          <w:rPr>
            <w:rStyle w:val="Hyperlink"/>
          </w:rPr>
          <w:t xml:space="preserve">https://CRAN.R-project.org/package=magrittr</w:t>
        </w:r>
      </w:hyperlink>
    </w:p>
    <w:bookmarkEnd w:id="41"/>
    <w:bookmarkStart w:id="42"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2"/>
    <w:bookmarkStart w:id="43" w:name="ref-coffman_hard_1999"/>
    <w:p>
      <w:pPr>
        <w:pStyle w:val="Literaturverzeichnis"/>
      </w:pPr>
      <w:r>
        <w:t xml:space="preserve">Coffman, C., &amp; Harter, J. (1999). A hard look at soft numbers.</w:t>
      </w:r>
      <w:r>
        <w:t xml:space="preserve"> </w:t>
      </w:r>
      <w:r>
        <w:rPr>
          <w:i/>
        </w:rPr>
        <w:t xml:space="preserve">Position Paper, Gallup Organization</w:t>
      </w:r>
      <w:r>
        <w:t xml:space="preserve">.</w:t>
      </w:r>
    </w:p>
    <w:bookmarkEnd w:id="43"/>
    <w:bookmarkStart w:id="44" w:name="ref-cole2012job"/>
    <w:p>
      <w:pPr>
        <w:pStyle w:val="Literaturverzeichnis"/>
      </w:pPr>
      <w:r>
        <w:t xml:space="preserve">Cole, M. S., Walter, F., Bedeian, A. G., &amp; O’Boyle, E. H. (2012). Job burnout and employee engagement: A meta-analytic examination of construct proliferation.</w:t>
      </w:r>
      <w:r>
        <w:t xml:space="preserve"> </w:t>
      </w:r>
      <w:r>
        <w:rPr>
          <w:i/>
        </w:rPr>
        <w:t xml:space="preserve">Journal of Management</w:t>
      </w:r>
      <w:r>
        <w:t xml:space="preserve">,</w:t>
      </w:r>
      <w:r>
        <w:t xml:space="preserve"> </w:t>
      </w:r>
      <w:r>
        <w:rPr>
          <w:i/>
        </w:rPr>
        <w:t xml:space="preserve">38</w:t>
      </w:r>
      <w:r>
        <w:t xml:space="preserve">(5), 1550–1581.</w:t>
      </w:r>
    </w:p>
    <w:bookmarkEnd w:id="44"/>
    <w:bookmarkStart w:id="45" w:name="ref-csikszentmihalyi1990flow"/>
    <w:p>
      <w:pPr>
        <w:pStyle w:val="Literaturverzeichnis"/>
      </w:pPr>
      <w:r>
        <w:t xml:space="preserve">Csikszentmihalyi, M. (1990).</w:t>
      </w:r>
      <w:r>
        <w:t xml:space="preserve"> </w:t>
      </w:r>
      <w:r>
        <w:rPr>
          <w:i/>
        </w:rPr>
        <w:t xml:space="preserve">Flow: The psychology of optimal experience</w:t>
      </w:r>
      <w:r>
        <w:t xml:space="preserve"> </w:t>
      </w:r>
      <w:r>
        <w:t xml:space="preserve">(Vol. 1990). Harper &amp; Row New York.</w:t>
      </w:r>
    </w:p>
    <w:bookmarkEnd w:id="45"/>
    <w:bookmarkStart w:id="46"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6"/>
    <w:bookmarkStart w:id="48" w:name="ref-elloy_examination_1991"/>
    <w:p>
      <w:pPr>
        <w:pStyle w:val="Literaturverzeichnis"/>
      </w:pPr>
      <w:r>
        <w:t xml:space="preserve">Elloy, D. F., Everett, J. E., &amp; Flynn, W. R. (1991). An examination of the correlates of job involvement.</w:t>
      </w:r>
      <w:r>
        <w:t xml:space="preserve"> </w:t>
      </w:r>
      <w:r>
        <w:rPr>
          <w:i/>
        </w:rPr>
        <w:t xml:space="preserve">Group &amp; Organization Studies</w:t>
      </w:r>
      <w:r>
        <w:t xml:space="preserve">,</w:t>
      </w:r>
      <w:r>
        <w:t xml:space="preserve"> </w:t>
      </w:r>
      <w:r>
        <w:rPr>
          <w:i/>
        </w:rPr>
        <w:t xml:space="preserve">16</w:t>
      </w:r>
      <w:r>
        <w:t xml:space="preserve">(2), 160–177.</w:t>
      </w:r>
      <w:r>
        <w:t xml:space="preserve"> </w:t>
      </w:r>
      <w:hyperlink r:id="rId47">
        <w:r>
          <w:rPr>
            <w:rStyle w:val="Hyperlink"/>
          </w:rPr>
          <w:t xml:space="preserve">https://doi.org/10.1177/105960119101600204</w:t>
        </w:r>
      </w:hyperlink>
    </w:p>
    <w:bookmarkEnd w:id="48"/>
    <w:bookmarkStart w:id="50"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9">
        <w:r>
          <w:rPr>
            <w:rStyle w:val="Hyperlink"/>
          </w:rPr>
          <w:t xml:space="preserve">https://CRAN.R-project.org/package=semPlot</w:t>
        </w:r>
      </w:hyperlink>
    </w:p>
    <w:bookmarkEnd w:id="50"/>
    <w:bookmarkStart w:id="52" w:name="ref-ferris_added_1984"/>
    <w:p>
      <w:pPr>
        <w:pStyle w:val="Literaturverzeichnis"/>
      </w:pPr>
      <w:r>
        <w:t xml:space="preserve">Ferris, R., &amp; Hellier, P. (1984). Added value productivity schemes and employee participation.</w:t>
      </w:r>
      <w:r>
        <w:t xml:space="preserve"> </w:t>
      </w:r>
      <w:r>
        <w:rPr>
          <w:i/>
        </w:rPr>
        <w:t xml:space="preserve">Asia Pacific Journal of Human Resources</w:t>
      </w:r>
      <w:r>
        <w:t xml:space="preserve">,</w:t>
      </w:r>
      <w:r>
        <w:t xml:space="preserve"> </w:t>
      </w:r>
      <w:r>
        <w:rPr>
          <w:i/>
        </w:rPr>
        <w:t xml:space="preserve">22</w:t>
      </w:r>
      <w:r>
        <w:t xml:space="preserve">(4), 35–44.</w:t>
      </w:r>
      <w:r>
        <w:t xml:space="preserve"> </w:t>
      </w:r>
      <w:hyperlink r:id="rId51">
        <w:r>
          <w:rPr>
            <w:rStyle w:val="Hyperlink"/>
          </w:rPr>
          <w:t xml:space="preserve">https://doi.org/10.1177/103841118402200406</w:t>
        </w:r>
      </w:hyperlink>
    </w:p>
    <w:bookmarkEnd w:id="52"/>
    <w:bookmarkStart w:id="54"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53">
        <w:r>
          <w:rPr>
            <w:rStyle w:val="Hyperlink"/>
          </w:rPr>
          <w:t xml:space="preserve">https://CRAN.R-project.org/package=sem</w:t>
        </w:r>
      </w:hyperlink>
    </w:p>
    <w:bookmarkEnd w:id="54"/>
    <w:bookmarkStart w:id="55" w:name="ref-goering2017not"/>
    <w:p>
      <w:pPr>
        <w:pStyle w:val="Literaturverzeichnis"/>
      </w:pPr>
      <w:r>
        <w:t xml:space="preserve">Goering, D. D., Shimazu, A., Zhou, F., Wada, T., &amp; Sakai, R. (2017). Not if, but how they differ: A meta-analytic test of the nomological networks of burnout and engagement.</w:t>
      </w:r>
      <w:r>
        <w:t xml:space="preserve"> </w:t>
      </w:r>
      <w:r>
        <w:rPr>
          <w:i/>
        </w:rPr>
        <w:t xml:space="preserve">Burnout Research</w:t>
      </w:r>
      <w:r>
        <w:t xml:space="preserve">,</w:t>
      </w:r>
      <w:r>
        <w:t xml:space="preserve"> </w:t>
      </w:r>
      <w:r>
        <w:rPr>
          <w:i/>
        </w:rPr>
        <w:t xml:space="preserve">5</w:t>
      </w:r>
      <w:r>
        <w:t xml:space="preserve">, 21–34.</w:t>
      </w:r>
    </w:p>
    <w:bookmarkEnd w:id="55"/>
    <w:bookmarkStart w:id="56" w:name="ref-harter_business-unit-level_2002"/>
    <w:p>
      <w:pPr>
        <w:pStyle w:val="Literaturverzeichnis"/>
      </w:pPr>
      <w:r>
        <w:t xml:space="preserve">Harter, J. K., Schmidt, F. L., &amp; Hayes, T. L. (2002). Business-unit-level relationship between employee satisfaction, employee engagement, and business outcomes: A meta-analysis.</w:t>
      </w:r>
      <w:r>
        <w:t xml:space="preserve"> </w:t>
      </w:r>
      <w:r>
        <w:rPr>
          <w:i/>
        </w:rPr>
        <w:t xml:space="preserve">Journal of Applied Psychology</w:t>
      </w:r>
      <w:r>
        <w:t xml:space="preserve">,</w:t>
      </w:r>
      <w:r>
        <w:t xml:space="preserve"> </w:t>
      </w:r>
      <w:r>
        <w:rPr>
          <w:i/>
        </w:rPr>
        <w:t xml:space="preserve">87</w:t>
      </w:r>
      <w:r>
        <w:t xml:space="preserve">(2), 268.</w:t>
      </w:r>
    </w:p>
    <w:bookmarkEnd w:id="56"/>
    <w:bookmarkStart w:id="57" w:name="ref-harter_business-unit-level_2002"/>
    <w:p>
      <w:pPr>
        <w:pStyle w:val="Literaturverzeichnis"/>
      </w:pPr>
      <w:r>
        <w:t xml:space="preserve">Harter, J. K., Schmidt, F. L., &amp; Hayes, T. L. (2002). Business-unit-level relationship between employee satisfaction, employee engagement, and business outcomes: A meta-analysis.</w:t>
      </w:r>
      <w:r>
        <w:t xml:space="preserve"> </w:t>
      </w:r>
      <w:r>
        <w:rPr>
          <w:i/>
        </w:rPr>
        <w:t xml:space="preserve">Journal of Applied Psychology</w:t>
      </w:r>
      <w:r>
        <w:t xml:space="preserve">,</w:t>
      </w:r>
      <w:r>
        <w:t xml:space="preserve"> </w:t>
      </w:r>
      <w:r>
        <w:rPr>
          <w:i/>
        </w:rPr>
        <w:t xml:space="preserve">87</w:t>
      </w:r>
      <w:r>
        <w:t xml:space="preserve">(2), 268.</w:t>
      </w:r>
    </w:p>
    <w:bookmarkEnd w:id="57"/>
    <w:bookmarkStart w:id="59"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8">
        <w:r>
          <w:rPr>
            <w:rStyle w:val="Hyperlink"/>
          </w:rPr>
          <w:t xml:space="preserve">https://CRAN.R-project.org/package=purrr</w:t>
        </w:r>
      </w:hyperlink>
    </w:p>
    <w:bookmarkEnd w:id="59"/>
    <w:bookmarkStart w:id="60"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60"/>
    <w:bookmarkStart w:id="61" w:name="ref-kahn_psychological_1990"/>
    <w:p>
      <w:pPr>
        <w:pStyle w:val="Literaturverzeichnis"/>
      </w:pPr>
      <w:r>
        <w:t xml:space="preserve">Kahn, W. A. (1990a).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1"/>
    <w:bookmarkStart w:id="62" w:name="ref-kahn1990psychological"/>
    <w:p>
      <w:pPr>
        <w:pStyle w:val="Literaturverzeichnis"/>
      </w:pPr>
      <w:r>
        <w:t xml:space="preserve">Kahn, W. A. (1990b).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2"/>
    <w:bookmarkStart w:id="63" w:name="ref-kahn_psychological_1990"/>
    <w:p>
      <w:pPr>
        <w:pStyle w:val="Literaturverzeichnis"/>
      </w:pPr>
      <w:r>
        <w:t xml:space="preserve">Kahn, W. A. (1990a).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3"/>
    <w:bookmarkStart w:id="65" w:name="ref-kaiser_campbell_2019"/>
    <w:p>
      <w:pPr>
        <w:pStyle w:val="Literaturverzeichnis"/>
      </w:pPr>
      <w:r>
        <w:t xml:space="preserve">Kaiser, F. G., &amp; Wilson, M. (2019). The</w:t>
      </w:r>
      <w:r>
        <w:t xml:space="preserve"> </w:t>
      </w:r>
      <w:r>
        <w:t xml:space="preserve">Campbell</w:t>
      </w:r>
      <w:r>
        <w:t xml:space="preserve"> </w:t>
      </w:r>
      <w:r>
        <w:t xml:space="preserve">Paradigm</w:t>
      </w:r>
      <w:r>
        <w:t xml:space="preserve"> </w:t>
      </w:r>
      <w:r>
        <w:t xml:space="preserve">as a</w:t>
      </w:r>
      <w:r>
        <w:t xml:space="preserve"> </w:t>
      </w:r>
      <w:r>
        <w:t xml:space="preserve">Behavior</w:t>
      </w:r>
      <w:r>
        <w:t xml:space="preserve">-</w:t>
      </w:r>
      <w:r>
        <w:t xml:space="preserve">Predictive</w:t>
      </w:r>
      <w:r>
        <w:t xml:space="preserve"> </w:t>
      </w:r>
      <w:r>
        <w:t xml:space="preserve">Reinterpretation</w:t>
      </w:r>
      <w:r>
        <w:t xml:space="preserve"> </w:t>
      </w:r>
      <w:r>
        <w:t xml:space="preserve">of the</w:t>
      </w:r>
      <w:r>
        <w:t xml:space="preserve"> </w:t>
      </w:r>
      <w:r>
        <w:t xml:space="preserve">Classical</w:t>
      </w:r>
      <w:r>
        <w:t xml:space="preserve"> </w:t>
      </w:r>
      <w:r>
        <w:t xml:space="preserve">Tripartite</w:t>
      </w:r>
      <w:r>
        <w:t xml:space="preserve"> </w:t>
      </w:r>
      <w:r>
        <w:t xml:space="preserve">Model</w:t>
      </w:r>
      <w:r>
        <w:t xml:space="preserve"> </w:t>
      </w:r>
      <w:r>
        <w:t xml:space="preserve">of</w:t>
      </w:r>
      <w:r>
        <w:t xml:space="preserve"> </w:t>
      </w:r>
      <w:r>
        <w:t xml:space="preserve">Attitudes</w:t>
      </w:r>
      <w:r>
        <w:t xml:space="preserve">.</w:t>
      </w:r>
      <w:r>
        <w:t xml:space="preserve"> </w:t>
      </w:r>
      <w:r>
        <w:rPr>
          <w:i/>
        </w:rPr>
        <w:t xml:space="preserve">European Psychologist</w:t>
      </w:r>
      <w:r>
        <w:t xml:space="preserve">,</w:t>
      </w:r>
      <w:r>
        <w:t xml:space="preserve"> </w:t>
      </w:r>
      <w:r>
        <w:rPr>
          <w:i/>
        </w:rPr>
        <w:t xml:space="preserve">24</w:t>
      </w:r>
      <w:r>
        <w:t xml:space="preserve">(4), 359–374.</w:t>
      </w:r>
      <w:r>
        <w:t xml:space="preserve"> </w:t>
      </w:r>
      <w:hyperlink r:id="rId64">
        <w:r>
          <w:rPr>
            <w:rStyle w:val="Hyperlink"/>
          </w:rPr>
          <w:t xml:space="preserve">https://doi.org/10.1027/1016-9040/a000364</w:t>
        </w:r>
      </w:hyperlink>
    </w:p>
    <w:bookmarkEnd w:id="65"/>
    <w:bookmarkStart w:id="67" w:name="ref-kim_burnout_2009"/>
    <w:p>
      <w:pPr>
        <w:pStyle w:val="Literaturverzeichnis"/>
      </w:pPr>
      <w:r>
        <w:t xml:space="preserve">Kim, H. J., Shin, K. H., &amp; Swanger, N. (2009). Burnout and engagement:</w:t>
      </w:r>
      <w:r>
        <w:t xml:space="preserve"> </w:t>
      </w:r>
      <w:r>
        <w:t xml:space="preserve">A</w:t>
      </w:r>
      <w:r>
        <w:t xml:space="preserve"> </w:t>
      </w:r>
      <w:r>
        <w:t xml:space="preserve">comparative analysis using the</w:t>
      </w:r>
      <w:r>
        <w:t xml:space="preserve"> </w:t>
      </w:r>
      <w:r>
        <w:t xml:space="preserve">Big</w:t>
      </w:r>
      <w:r>
        <w:t xml:space="preserve"> </w:t>
      </w:r>
      <w:r>
        <w:t xml:space="preserve">Five</w:t>
      </w:r>
      <w:r>
        <w:t xml:space="preserve"> </w:t>
      </w:r>
      <w:r>
        <w:t xml:space="preserve">personality dimensions.</w:t>
      </w:r>
      <w:r>
        <w:t xml:space="preserve"> </w:t>
      </w:r>
      <w:r>
        <w:rPr>
          <w:i/>
        </w:rPr>
        <w:t xml:space="preserve">International Journal of Hospitality Management</w:t>
      </w:r>
      <w:r>
        <w:t xml:space="preserve">,</w:t>
      </w:r>
      <w:r>
        <w:t xml:space="preserve"> </w:t>
      </w:r>
      <w:r>
        <w:rPr>
          <w:i/>
        </w:rPr>
        <w:t xml:space="preserve">28</w:t>
      </w:r>
      <w:r>
        <w:t xml:space="preserve">(1), 96–104.</w:t>
      </w:r>
      <w:r>
        <w:t xml:space="preserve"> </w:t>
      </w:r>
      <w:hyperlink r:id="rId66">
        <w:r>
          <w:rPr>
            <w:rStyle w:val="Hyperlink"/>
          </w:rPr>
          <w:t xml:space="preserve">https://doi.org/10.1016/j.ijhm.2008.06.001</w:t>
        </w:r>
      </w:hyperlink>
    </w:p>
    <w:bookmarkEnd w:id="67"/>
    <w:bookmarkStart w:id="69"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8">
        <w:r>
          <w:rPr>
            <w:rStyle w:val="Hyperlink"/>
          </w:rPr>
          <w:t xml:space="preserve">https://CRAN.R-project.org/package=labourR</w:t>
        </w:r>
      </w:hyperlink>
    </w:p>
    <w:bookmarkEnd w:id="69"/>
    <w:bookmarkStart w:id="70" w:name="ref-kulikowski2017we"/>
    <w:p>
      <w:pPr>
        <w:pStyle w:val="Literaturverzeichnis"/>
      </w:pPr>
      <w:r>
        <w:t xml:space="preserve">Kulikowski, K. (2017).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70"/>
    <w:bookmarkStart w:id="72" w:name="ref-leiter_areas_2004"/>
    <w:p>
      <w:pPr>
        <w:pStyle w:val="Literaturverzeichnis"/>
      </w:pPr>
      <w:r>
        <w:t xml:space="preserve">Leiter, M., &amp; Maslach, C. (2004). Areas of worklife: A structured approach to organizational predictors of job burnout. In</w:t>
      </w:r>
      <w:r>
        <w:t xml:space="preserve"> </w:t>
      </w:r>
      <w:r>
        <w:rPr>
          <w:i/>
        </w:rPr>
        <w:t xml:space="preserve">Research in occupational stress and well-being</w:t>
      </w:r>
      <w:r>
        <w:t xml:space="preserve"> </w:t>
      </w:r>
      <w:r>
        <w:t xml:space="preserve">(Vol. 3, pp. 91–134).</w:t>
      </w:r>
      <w:r>
        <w:t xml:space="preserve"> </w:t>
      </w:r>
      <w:hyperlink r:id="rId71">
        <w:r>
          <w:rPr>
            <w:rStyle w:val="Hyperlink"/>
          </w:rPr>
          <w:t xml:space="preserve">https://doi.org/10.1016/S1479-3555(03)03003-8</w:t>
        </w:r>
      </w:hyperlink>
    </w:p>
    <w:bookmarkEnd w:id="72"/>
    <w:bookmarkStart w:id="73" w:name="ref-leone_relation_1995"/>
    <w:p>
      <w:pPr>
        <w:pStyle w:val="Literaturverzeichnis"/>
      </w:pPr>
      <w:r>
        <w:t xml:space="preserve">Leone, D. R. (1995).</w:t>
      </w:r>
      <w:r>
        <w:t xml:space="preserve"> </w:t>
      </w:r>
      <w:r>
        <w:rPr>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73"/>
    <w:bookmarkStart w:id="74" w:name="ref-maslach1997causes"/>
    <w:p>
      <w:pPr>
        <w:pStyle w:val="Literaturverzeichnis"/>
      </w:pPr>
      <w:r>
        <w:t xml:space="preserve">Maslach, C., &amp; Leiter, M. (1997). What causes burnout.</w:t>
      </w:r>
      <w:r>
        <w:t xml:space="preserve"> </w:t>
      </w:r>
      <w:r>
        <w:rPr>
          <w:i/>
        </w:rPr>
        <w:t xml:space="preserve">Maslach C, Leiter MP. The Truth About Burnout: How Organizations Cause Personal Stress and What to Do about It. San Francisco, CA: Josey-Bass Publishers</w:t>
      </w:r>
      <w:r>
        <w:t xml:space="preserve">, 38–60.</w:t>
      </w:r>
    </w:p>
    <w:bookmarkEnd w:id="74"/>
    <w:bookmarkStart w:id="75" w:name="ref-maslach_early_2008"/>
    <w:p>
      <w:pPr>
        <w:pStyle w:val="Literaturverzeichnis"/>
      </w:pPr>
      <w:r>
        <w:t xml:space="preserve">Maslach, C., &amp; Leiter, M. P. (2008). Early predictors of job burnout and engagement.</w:t>
      </w:r>
      <w:r>
        <w:t xml:space="preserve"> </w:t>
      </w:r>
      <w:r>
        <w:rPr>
          <w:i/>
        </w:rPr>
        <w:t xml:space="preserve">Journal of Applied Psychology</w:t>
      </w:r>
      <w:r>
        <w:t xml:space="preserve">,</w:t>
      </w:r>
      <w:r>
        <w:t xml:space="preserve"> </w:t>
      </w:r>
      <w:r>
        <w:rPr>
          <w:i/>
        </w:rPr>
        <w:t xml:space="preserve">93</w:t>
      </w:r>
      <w:r>
        <w:t xml:space="preserve">(3), 498–512.</w:t>
      </w:r>
    </w:p>
    <w:bookmarkEnd w:id="75"/>
    <w:bookmarkStart w:id="76" w:name="ref-meyer_three-component_1991"/>
    <w:p>
      <w:pPr>
        <w:pStyle w:val="Literaturverzeichnis"/>
      </w:pPr>
      <w:r>
        <w:t xml:space="preserve">Meyer, J. P., &amp; Allen, N. J. (1991). A three-component conceptualization of organizational commitment.</w:t>
      </w:r>
      <w:r>
        <w:t xml:space="preserve"> </w:t>
      </w:r>
      <w:r>
        <w:rPr>
          <w:i/>
        </w:rPr>
        <w:t xml:space="preserve">Human Resource Management Review</w:t>
      </w:r>
      <w:r>
        <w:t xml:space="preserve">,</w:t>
      </w:r>
      <w:r>
        <w:t xml:space="preserve"> </w:t>
      </w:r>
      <w:r>
        <w:rPr>
          <w:i/>
        </w:rPr>
        <w:t xml:space="preserve">1</w:t>
      </w:r>
      <w:r>
        <w:t xml:space="preserve">(1), 61–89.</w:t>
      </w:r>
    </w:p>
    <w:bookmarkEnd w:id="76"/>
    <w:bookmarkStart w:id="78"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77">
        <w:r>
          <w:rPr>
            <w:rStyle w:val="Hyperlink"/>
          </w:rPr>
          <w:t xml:space="preserve">https://CRAN.R-project.org/package=tibble</w:t>
        </w:r>
      </w:hyperlink>
    </w:p>
    <w:bookmarkEnd w:id="78"/>
    <w:bookmarkStart w:id="80"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79">
        <w:r>
          <w:rPr>
            <w:rStyle w:val="Hyperlink"/>
          </w:rPr>
          <w:t xml:space="preserve">https://www.R-project.org/</w:t>
        </w:r>
      </w:hyperlink>
    </w:p>
    <w:bookmarkEnd w:id="80"/>
    <w:bookmarkStart w:id="81"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81"/>
    <w:bookmarkStart w:id="8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82">
        <w:r>
          <w:rPr>
            <w:rStyle w:val="Hyperlink"/>
          </w:rPr>
          <w:t xml:space="preserve">https://www.jstatsoft.org/v48/i02/</w:t>
        </w:r>
      </w:hyperlink>
    </w:p>
    <w:bookmarkEnd w:id="83"/>
    <w:bookmarkStart w:id="84"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84"/>
    <w:bookmarkStart w:id="85" w:name="ref-schaufeli_uwesutrecht_2003"/>
    <w:p>
      <w:pPr>
        <w:pStyle w:val="Literaturverzeichnis"/>
      </w:pPr>
      <w:r>
        <w:t xml:space="preserve">Schaufeli, W. B., &amp; Bakker, A. B. (2003).</w:t>
      </w:r>
      <w:r>
        <w:t xml:space="preserve"> </w:t>
      </w:r>
      <w:r>
        <w:t xml:space="preserve">UWES</w:t>
      </w:r>
      <w:r>
        <w:t xml:space="preserve">–utrecht work engagement scale: Test manual.</w:t>
      </w:r>
      <w:r>
        <w:t xml:space="preserve"> </w:t>
      </w:r>
      <w:r>
        <w:rPr>
          <w:i/>
        </w:rPr>
        <w:t xml:space="preserve">Unpublished Manuscript: Department of Psychology, Utrecht University</w:t>
      </w:r>
      <w:r>
        <w:t xml:space="preserve">,</w:t>
      </w:r>
      <w:r>
        <w:t xml:space="preserve"> </w:t>
      </w:r>
      <w:r>
        <w:rPr>
          <w:i/>
        </w:rPr>
        <w:t xml:space="preserve">8</w:t>
      </w:r>
      <w:r>
        <w:t xml:space="preserve">.</w:t>
      </w:r>
    </w:p>
    <w:bookmarkEnd w:id="85"/>
    <w:bookmarkStart w:id="86"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86"/>
    <w:bookmarkStart w:id="87"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87"/>
    <w:bookmarkStart w:id="88" w:name="ref-schaufeli2008workaholism"/>
    <w:p>
      <w:pPr>
        <w:pStyle w:val="Literaturverzeichnis"/>
      </w:pPr>
      <w:r>
        <w:t xml:space="preserve">Schaufeli, W. B., Taris, T. W., &amp; Van Rhenen, W. (2008). Workaholism, burnout, and work engagement: Three of a kind or three different kinds of employee well-being?</w:t>
      </w:r>
      <w:r>
        <w:t xml:space="preserve"> </w:t>
      </w:r>
      <w:r>
        <w:rPr>
          <w:i/>
        </w:rPr>
        <w:t xml:space="preserve">Applied Psychology</w:t>
      </w:r>
      <w:r>
        <w:t xml:space="preserve">,</w:t>
      </w:r>
      <w:r>
        <w:t xml:space="preserve"> </w:t>
      </w:r>
      <w:r>
        <w:rPr>
          <w:i/>
        </w:rPr>
        <w:t xml:space="preserve">57</w:t>
      </w:r>
      <w:r>
        <w:t xml:space="preserve">(2), 173–203.</w:t>
      </w:r>
    </w:p>
    <w:bookmarkEnd w:id="88"/>
    <w:bookmarkStart w:id="89" w:name="ref-schaufeli_conceptualization_2010"/>
    <w:p>
      <w:pPr>
        <w:pStyle w:val="Literaturverzeichnis"/>
      </w:pPr>
      <w:r>
        <w:t xml:space="preserve">Schaufeli, W., &amp; Bakker, A. (2010). The conceptualization and measurement of work engagement. In W. Schaufeli, A. Bakker, &amp; M. Leiter (Eds.),</w:t>
      </w:r>
      <w:r>
        <w:t xml:space="preserve"> </w:t>
      </w:r>
      <w:r>
        <w:rPr>
          <w:i/>
        </w:rPr>
        <w:t xml:space="preserve">Work engagement: A handbook of essential theory and research</w:t>
      </w:r>
      <w:r>
        <w:t xml:space="preserve"> </w:t>
      </w:r>
      <w:r>
        <w:t xml:space="preserve">(pp. 10–24). Psychology Press.</w:t>
      </w:r>
    </w:p>
    <w:bookmarkEnd w:id="89"/>
    <w:bookmarkStart w:id="90"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90"/>
    <w:bookmarkStart w:id="92"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91">
        <w:r>
          <w:rPr>
            <w:rStyle w:val="Hyperlink"/>
          </w:rPr>
          <w:t xml:space="preserve">https://CRAN.R-project.org/package=apaTables</w:t>
        </w:r>
      </w:hyperlink>
    </w:p>
    <w:bookmarkEnd w:id="92"/>
    <w:bookmarkStart w:id="93" w:name="ref-staw_employee_1994"/>
    <w:p>
      <w:pPr>
        <w:pStyle w:val="Literaturverzeichnis"/>
      </w:pPr>
      <w:r>
        <w:t xml:space="preserve">Staw, B. M., Sutton, R. I., &amp; Pelled, L. H. (1994). Employee positive emotion and favorable outcomes at the workplace.</w:t>
      </w:r>
      <w:r>
        <w:t xml:space="preserve"> </w:t>
      </w:r>
      <w:r>
        <w:rPr>
          <w:i/>
        </w:rPr>
        <w:t xml:space="preserve">Organization Science</w:t>
      </w:r>
      <w:r>
        <w:t xml:space="preserve">,</w:t>
      </w:r>
      <w:r>
        <w:t xml:space="preserve"> </w:t>
      </w:r>
      <w:r>
        <w:rPr>
          <w:i/>
        </w:rPr>
        <w:t xml:space="preserve">5</w:t>
      </w:r>
      <w:r>
        <w:t xml:space="preserve">(1), 51–71.</w:t>
      </w:r>
    </w:p>
    <w:bookmarkEnd w:id="93"/>
    <w:bookmarkStart w:id="94" w:name="ref-taris2017burnout"/>
    <w:p>
      <w:pPr>
        <w:pStyle w:val="Literaturverzeichnis"/>
      </w:pPr>
      <w:r>
        <w:t xml:space="preserve">Taris, T. W., Ybema, J. F., &amp; Beek, I. van. (2017). Burnout and engagement: Identical twins or just close relatives?</w:t>
      </w:r>
      <w:r>
        <w:t xml:space="preserve"> </w:t>
      </w:r>
      <w:r>
        <w:rPr>
          <w:i/>
        </w:rPr>
        <w:t xml:space="preserve">Burnout Research</w:t>
      </w:r>
      <w:r>
        <w:t xml:space="preserve">,</w:t>
      </w:r>
      <w:r>
        <w:t xml:space="preserve"> </w:t>
      </w:r>
      <w:r>
        <w:rPr>
          <w:i/>
        </w:rPr>
        <w:t xml:space="preserve">5</w:t>
      </w:r>
      <w:r>
        <w:t xml:space="preserve">, 3–11.</w:t>
      </w:r>
    </w:p>
    <w:bookmarkEnd w:id="94"/>
    <w:bookmarkStart w:id="95" w:name="ref-timms2012burnt"/>
    <w:p>
      <w:pPr>
        <w:pStyle w:val="Literaturverzeichnis"/>
      </w:pPr>
      <w:r>
        <w:t xml:space="preserve">Timms, C., Brough, P., &amp; Graham, D. (2012). Burnt-out but engaged: The co-existence of psychological burnout and engagement.</w:t>
      </w:r>
      <w:r>
        <w:t xml:space="preserve"> </w:t>
      </w:r>
      <w:r>
        <w:rPr>
          <w:i/>
        </w:rPr>
        <w:t xml:space="preserve">Journal of Educational Administration</w:t>
      </w:r>
      <w:r>
        <w:t xml:space="preserve">,</w:t>
      </w:r>
      <w:r>
        <w:t xml:space="preserve"> </w:t>
      </w:r>
      <w:r>
        <w:rPr>
          <w:i/>
        </w:rPr>
        <w:t xml:space="preserve">50</w:t>
      </w:r>
      <w:r>
        <w:t xml:space="preserve">(3), 327–345.</w:t>
      </w:r>
    </w:p>
    <w:bookmarkEnd w:id="95"/>
    <w:bookmarkStart w:id="97"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96">
        <w:r>
          <w:rPr>
            <w:rStyle w:val="Hyperlink"/>
          </w:rPr>
          <w:t xml:space="preserve">https://ggplot2.tidyverse.org</w:t>
        </w:r>
      </w:hyperlink>
    </w:p>
    <w:bookmarkEnd w:id="97"/>
    <w:bookmarkStart w:id="99"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98">
        <w:r>
          <w:rPr>
            <w:rStyle w:val="Hyperlink"/>
          </w:rPr>
          <w:t xml:space="preserve">https://CRAN.R-project.org/package=stringr</w:t>
        </w:r>
      </w:hyperlink>
    </w:p>
    <w:bookmarkEnd w:id="99"/>
    <w:bookmarkStart w:id="101"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100">
        <w:r>
          <w:rPr>
            <w:rStyle w:val="Hyperlink"/>
          </w:rPr>
          <w:t xml:space="preserve">https://CRAN.R-project.org/package=forcats</w:t>
        </w:r>
      </w:hyperlink>
    </w:p>
    <w:bookmarkEnd w:id="101"/>
    <w:bookmarkStart w:id="103" w:name="ref-R-tidyr"/>
    <w:p>
      <w:pPr>
        <w:pStyle w:val="Literaturverzeichnis"/>
      </w:pPr>
      <w:r>
        <w:t xml:space="preserve">Wickham, H. (2021b).</w:t>
      </w:r>
      <w:r>
        <w:t xml:space="preserve"> </w:t>
      </w:r>
      <w:r>
        <w:rPr>
          <w:i/>
        </w:rPr>
        <w:t xml:space="preserve">Tidyr: Tidy messy data</w:t>
      </w:r>
      <w:r>
        <w:t xml:space="preserve">.</w:t>
      </w:r>
      <w:r>
        <w:t xml:space="preserve"> </w:t>
      </w:r>
      <w:hyperlink r:id="rId102">
        <w:r>
          <w:rPr>
            <w:rStyle w:val="Hyperlink"/>
          </w:rPr>
          <w:t xml:space="preserve">https://CRAN.R-project.org/package=tidyr</w:t>
        </w:r>
      </w:hyperlink>
    </w:p>
    <w:bookmarkEnd w:id="103"/>
    <w:bookmarkStart w:id="10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104">
        <w:r>
          <w:rPr>
            <w:rStyle w:val="Hyperlink"/>
          </w:rPr>
          <w:t xml:space="preserve">https://doi.org/10.21105/joss.01686</w:t>
        </w:r>
      </w:hyperlink>
    </w:p>
    <w:bookmarkEnd w:id="105"/>
    <w:bookmarkStart w:id="107"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106">
        <w:r>
          <w:rPr>
            <w:rStyle w:val="Hyperlink"/>
          </w:rPr>
          <w:t xml:space="preserve">https://CRAN.R-project.org/package=dplyr</w:t>
        </w:r>
      </w:hyperlink>
    </w:p>
    <w:bookmarkEnd w:id="107"/>
    <w:bookmarkStart w:id="109"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108">
        <w:r>
          <w:rPr>
            <w:rStyle w:val="Hyperlink"/>
          </w:rPr>
          <w:t xml:space="preserve">https://CRAN.R-project.org/package=readr</w:t>
        </w:r>
      </w:hyperlink>
    </w:p>
    <w:bookmarkEnd w:id="109"/>
    <w:bookmarkStart w:id="111"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110">
        <w:r>
          <w:rPr>
            <w:rStyle w:val="Hyperlink"/>
          </w:rPr>
          <w:t xml:space="preserve">https://CRAN.R-project.org/package=DT</w:t>
        </w:r>
      </w:hyperlink>
    </w:p>
    <w:bookmarkEnd w:id="111"/>
    <w:bookmarkStart w:id="113"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112">
        <w:r>
          <w:rPr>
            <w:rStyle w:val="Hyperlink"/>
          </w:rPr>
          <w:t xml:space="preserve">https://CRAN.R-project.org/package=kableExtra</w:t>
        </w:r>
      </w:hyperlink>
    </w:p>
    <w:bookmarkEnd w:id="113"/>
    <w:bookmarkEnd w:id="114"/>
    <w:bookmarkEnd w:id="11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110" Target="https://CRAN.R-project.org/package=DT" TargetMode="External" /><Relationship Type="http://schemas.openxmlformats.org/officeDocument/2006/relationships/hyperlink" Id="rId91" Target="https://CRAN.R-project.org/package=apaTables" TargetMode="External" /><Relationship Type="http://schemas.openxmlformats.org/officeDocument/2006/relationships/hyperlink" Id="rId106" Target="https://CRAN.R-project.org/package=dplyr" TargetMode="External" /><Relationship Type="http://schemas.openxmlformats.org/officeDocument/2006/relationships/hyperlink" Id="rId100" Target="https://CRAN.R-project.org/package=forcats" TargetMode="External" /><Relationship Type="http://schemas.openxmlformats.org/officeDocument/2006/relationships/hyperlink" Id="rId112" Target="https://CRAN.R-project.org/package=kableExtra" TargetMode="External" /><Relationship Type="http://schemas.openxmlformats.org/officeDocument/2006/relationships/hyperlink" Id="rId68"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58" Target="https://CRAN.R-project.org/package=purrr" TargetMode="External" /><Relationship Type="http://schemas.openxmlformats.org/officeDocument/2006/relationships/hyperlink" Id="rId108" Target="https://CRAN.R-project.org/package=readr" TargetMode="External" /><Relationship Type="http://schemas.openxmlformats.org/officeDocument/2006/relationships/hyperlink" Id="rId53" Target="https://CRAN.R-project.org/package=sem" TargetMode="External" /><Relationship Type="http://schemas.openxmlformats.org/officeDocument/2006/relationships/hyperlink" Id="rId49" Target="https://CRAN.R-project.org/package=semPlot" TargetMode="External" /><Relationship Type="http://schemas.openxmlformats.org/officeDocument/2006/relationships/hyperlink" Id="rId98" Target="https://CRAN.R-project.org/package=stringr" TargetMode="External" /><Relationship Type="http://schemas.openxmlformats.org/officeDocument/2006/relationships/hyperlink" Id="rId77" Target="https://CRAN.R-project.org/package=tibble" TargetMode="External" /><Relationship Type="http://schemas.openxmlformats.org/officeDocument/2006/relationships/hyperlink" Id="rId102" Target="https://CRAN.R-project.org/package=tidyr" TargetMode="External" /><Relationship Type="http://schemas.openxmlformats.org/officeDocument/2006/relationships/hyperlink" Id="rId71" Target="https://doi.org/10.1016/S1479-3555(03)03003-8" TargetMode="External" /><Relationship Type="http://schemas.openxmlformats.org/officeDocument/2006/relationships/hyperlink" Id="rId66" Target="https://doi.org/10.1016/j.ijhm.2008.06.001" TargetMode="External" /><Relationship Type="http://schemas.openxmlformats.org/officeDocument/2006/relationships/hyperlink" Id="rId64" Target="https://doi.org/10.1027/1016-9040/a000364" TargetMode="External" /><Relationship Type="http://schemas.openxmlformats.org/officeDocument/2006/relationships/hyperlink" Id="rId51" Target="https://doi.org/10.1177/103841118402200406" TargetMode="External" /><Relationship Type="http://schemas.openxmlformats.org/officeDocument/2006/relationships/hyperlink" Id="rId47" Target="https://doi.org/10.1177/105960119101600204" TargetMode="External" /><Relationship Type="http://schemas.openxmlformats.org/officeDocument/2006/relationships/hyperlink" Id="rId104" Target="https://doi.org/10.21105/joss.01686" TargetMode="External" /><Relationship Type="http://schemas.openxmlformats.org/officeDocument/2006/relationships/hyperlink" Id="rId96"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79" Target="https://www.R-project.org/" TargetMode="External" /><Relationship Type="http://schemas.openxmlformats.org/officeDocument/2006/relationships/hyperlink" Id="rId8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110" Target="https://CRAN.R-project.org/package=DT" TargetMode="External" /><Relationship Type="http://schemas.openxmlformats.org/officeDocument/2006/relationships/hyperlink" Id="rId91" Target="https://CRAN.R-project.org/package=apaTables" TargetMode="External" /><Relationship Type="http://schemas.openxmlformats.org/officeDocument/2006/relationships/hyperlink" Id="rId106" Target="https://CRAN.R-project.org/package=dplyr" TargetMode="External" /><Relationship Type="http://schemas.openxmlformats.org/officeDocument/2006/relationships/hyperlink" Id="rId100" Target="https://CRAN.R-project.org/package=forcats" TargetMode="External" /><Relationship Type="http://schemas.openxmlformats.org/officeDocument/2006/relationships/hyperlink" Id="rId112" Target="https://CRAN.R-project.org/package=kableExtra" TargetMode="External" /><Relationship Type="http://schemas.openxmlformats.org/officeDocument/2006/relationships/hyperlink" Id="rId68"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58" Target="https://CRAN.R-project.org/package=purrr" TargetMode="External" /><Relationship Type="http://schemas.openxmlformats.org/officeDocument/2006/relationships/hyperlink" Id="rId108" Target="https://CRAN.R-project.org/package=readr" TargetMode="External" /><Relationship Type="http://schemas.openxmlformats.org/officeDocument/2006/relationships/hyperlink" Id="rId53" Target="https://CRAN.R-project.org/package=sem" TargetMode="External" /><Relationship Type="http://schemas.openxmlformats.org/officeDocument/2006/relationships/hyperlink" Id="rId49" Target="https://CRAN.R-project.org/package=semPlot" TargetMode="External" /><Relationship Type="http://schemas.openxmlformats.org/officeDocument/2006/relationships/hyperlink" Id="rId98" Target="https://CRAN.R-project.org/package=stringr" TargetMode="External" /><Relationship Type="http://schemas.openxmlformats.org/officeDocument/2006/relationships/hyperlink" Id="rId77" Target="https://CRAN.R-project.org/package=tibble" TargetMode="External" /><Relationship Type="http://schemas.openxmlformats.org/officeDocument/2006/relationships/hyperlink" Id="rId102" Target="https://CRAN.R-project.org/package=tidyr" TargetMode="External" /><Relationship Type="http://schemas.openxmlformats.org/officeDocument/2006/relationships/hyperlink" Id="rId71" Target="https://doi.org/10.1016/S1479-3555(03)03003-8" TargetMode="External" /><Relationship Type="http://schemas.openxmlformats.org/officeDocument/2006/relationships/hyperlink" Id="rId66" Target="https://doi.org/10.1016/j.ijhm.2008.06.001" TargetMode="External" /><Relationship Type="http://schemas.openxmlformats.org/officeDocument/2006/relationships/hyperlink" Id="rId64" Target="https://doi.org/10.1027/1016-9040/a000364" TargetMode="External" /><Relationship Type="http://schemas.openxmlformats.org/officeDocument/2006/relationships/hyperlink" Id="rId51" Target="https://doi.org/10.1177/103841118402200406" TargetMode="External" /><Relationship Type="http://schemas.openxmlformats.org/officeDocument/2006/relationships/hyperlink" Id="rId47" Target="https://doi.org/10.1177/105960119101600204" TargetMode="External" /><Relationship Type="http://schemas.openxmlformats.org/officeDocument/2006/relationships/hyperlink" Id="rId104" Target="https://doi.org/10.21105/joss.01686" TargetMode="External" /><Relationship Type="http://schemas.openxmlformats.org/officeDocument/2006/relationships/hyperlink" Id="rId96"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79" Target="https://www.R-project.org/" TargetMode="External" /><Relationship Type="http://schemas.openxmlformats.org/officeDocument/2006/relationships/hyperlink" Id="rId8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2021-10-06T16:20:29Z</dcterms:created>
  <dcterms:modified xsi:type="dcterms:W3CDTF">2021-10-06T16:20:29Z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