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Intended</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Title: 85 characters;</w:t>
      </w:r>
      <w:r>
        <w:t xml:space="preserve"> </w:t>
      </w:r>
      <w:r>
        <w:t xml:space="preserve">Abstract: 600 characters</w:t>
      </w:r>
      <w:r>
        <w:t xml:space="preserve"> </w:t>
      </w:r>
      <w:r>
        <w:t xml:space="preserve">Word count: 3,000 words</w:t>
      </w:r>
      <w:r>
        <w:t xml:space="preserve"> </w:t>
      </w:r>
      <w:r>
        <w:t xml:space="preserve">Remove names</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Compact"/>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should be considered of interest to Industrial and Organizational Psychologists.</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Compact"/>
        <w:pStyle w:val="h1-pagebreak"/>
      </w:pPr>
      <w:r>
        <w:t xml:space="preserve">Development of an Intended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 in the early 1990s</w:t>
      </w:r>
      <w:r>
        <w:t xml:space="preserve"> </w:t>
      </w:r>
      <w:r>
        <w:t xml:space="preserve">(Kahn, 1990)</w:t>
      </w:r>
      <w:r>
        <w:t xml:space="preserve">. The evolution of the construct can perhaps be considered through the lens of semi-distinct lines of research focused on: 1) work engagement, 2) personal engagement, and 4) employee engagement, and 4) burnout.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Although</w:t>
      </w:r>
      <w:r>
        <w:t xml:space="preserve"> </w:t>
      </w:r>
      <w:r>
        <w:t xml:space="preserve">“</w:t>
      </w:r>
      <w:r>
        <w:t xml:space="preserve">personal engagement</w:t>
      </w:r>
      <w:r>
        <w:t xml:space="preserve">”</w:t>
      </w:r>
      <w:r>
        <w:t xml:space="preserve"> </w:t>
      </w:r>
      <w:r>
        <w:t xml:space="preserve">was coined in</w:t>
      </w:r>
      <w:r>
        <w:t xml:space="preserve"> </w:t>
      </w:r>
      <w:r>
        <w:t xml:space="preserve">Kahn (1990)</w:t>
      </w:r>
      <w:r>
        <w:t xml:space="preserve"> </w:t>
      </w:r>
      <w:r>
        <w:t xml:space="preserve">, few subsequent articles reference engagement by this name.</w:t>
      </w:r>
      <w:r>
        <w:t xml:space="preserve"> </w:t>
      </w:r>
      <w:r>
        <w:t xml:space="preserve">Schaufeli (2013)</w:t>
      </w:r>
      <w:r>
        <w:t xml:space="preserve"> </w:t>
      </w:r>
      <w:r>
        <w:t xml:space="preserve">distinguishes work engagement from employee engagement on the basis of their referent:</w:t>
      </w:r>
      <w:r>
        <w:t xml:space="preserve"> </w:t>
      </w:r>
      <w:r>
        <w:t xml:space="preserve">“</w:t>
      </w:r>
      <w:r>
        <w:t xml:space="preserve">Work engagement refers to the relationship of the employee with his or her</w:t>
      </w:r>
      <w:r>
        <w:t xml:space="preserve"> </w:t>
      </w:r>
      <w:r>
        <w:rPr>
          <w:i/>
        </w:rPr>
        <w:t xml:space="preserve">work</w:t>
      </w:r>
      <w:r>
        <w:t xml:space="preserve">, whereas employee engagement may also include the relationship with the</w:t>
      </w:r>
      <w:r>
        <w:t xml:space="preserve"> </w:t>
      </w:r>
      <w:r>
        <w:rPr>
          <w:i/>
        </w:rPr>
        <w:t xml:space="preserve">organization</w:t>
      </w:r>
      <w:r>
        <w:t xml:space="preserve">”</w:t>
      </w:r>
      <w:r>
        <w:t xml:space="preserve">.</w:t>
      </w:r>
    </w:p>
    <w:p>
      <w:pPr>
        <w:pStyle w:val="Textkrper"/>
      </w:pPr>
      <w:r>
        <w:t xml:space="preserve">The current project is most closely aligned with the</w:t>
      </w:r>
      <w:r>
        <w:t xml:space="preserve"> </w:t>
      </w:r>
      <w:r>
        <w:rPr>
          <w:i/>
        </w:rPr>
        <w:t xml:space="preserve">work engagement</w:t>
      </w:r>
      <w:r>
        <w:t xml:space="preserve"> </w:t>
      </w:r>
      <w:r>
        <w:t xml:space="preserve">tradition, whose most frequently-cited definition of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p. 74].</w:t>
      </w:r>
    </w:p>
    <w:p>
      <w:pPr>
        <w:pStyle w:val="Textkrper"/>
      </w:pPr>
      <w: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tend to show moderate negative correlations</w:t>
      </w:r>
      <w:r>
        <w:t xml:space="preserve"> </w:t>
      </w:r>
      <w:r>
        <w:t xml:space="preserve">(Schaufeli &amp; Bakker, 2003)</w:t>
      </w:r>
      <w:r>
        <w:t xml:space="preserve">. More recently, more sophisticated factor analysis found that a single factor did not adequately explain variance in both burnout and engagement, suggesting that they are nomologically distinct</w:t>
      </w:r>
      <w:r>
        <w:t xml:space="preserve"> </w:t>
      </w:r>
      <w:r>
        <w:t xml:space="preserve">(Trógolo et al., 2020)</w:t>
      </w:r>
      <w:r>
        <w:t xml:space="preserve">. We also align with the claim that burnout and engagement are related but separable constructs and do not explicitly explore their relationship in this study.</w:t>
      </w:r>
    </w:p>
    <w:p>
      <w:pPr>
        <w:pStyle w:val="berschrift2"/>
      </w:pPr>
      <w:bookmarkStart w:id="21" w:name="why-engagement"/>
      <w:r>
        <w:t xml:space="preserve">0.1	Why engagement?</w:t>
      </w:r>
      <w:bookmarkEnd w:id="21"/>
    </w:p>
    <w:p>
      <w:pPr>
        <w:pStyle w:val="Blocktext"/>
      </w:pPr>
      <w:r>
        <w:t xml:space="preserve">MORGAN: FOCUS ON IMPORTANT CORRELATES (I.E., COMMITMENT, ETC)</w:t>
      </w:r>
      <w:r>
        <w:t xml:space="preserve"> </w:t>
      </w:r>
      <w:r>
        <w:t xml:space="preserve">There is a large body of evidence supporting the relationships between work engagement and organizational outcomes, including those which are performance based (Simpson, 2008). Which is likely one reason that, despite some lack of consensus around the construct itself, work engagement has maintained its status as an important indicator of an organization’s overall health.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p>
      <w:pPr>
        <w:pStyle w:val="berschrift2"/>
      </w:pPr>
      <w:bookmarkStart w:id="22" w:name="our-proposed-model-of-engagement"/>
      <w:r>
        <w:t xml:space="preserve">0.2	Our Proposed Model of Engagement</w:t>
      </w:r>
      <w:bookmarkEnd w:id="22"/>
    </w:p>
    <w:p>
      <w:pPr>
        <w:pStyle w:val="Blocktext"/>
      </w:pPr>
      <w:r>
        <w:t xml:space="preserve">KULAS: Bifactor as method to clean up sub-scale associations</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p>
      <w:pPr>
        <w:pStyle w:val="berschrift2"/>
      </w:pPr>
      <w:bookmarkStart w:id="23" w:name="engagement-as-an-attitude"/>
      <w:r>
        <w:t xml:space="preserve">0.3	Engagement as an attitude</w:t>
      </w:r>
      <w:bookmarkEnd w:id="23"/>
    </w:p>
    <w:p>
      <w:pPr>
        <w:pStyle w:val="FirstParagraph"/>
      </w:pPr>
      <w:r>
        <w:t xml:space="preserve">The first definition of</w:t>
      </w:r>
      <w:r>
        <w:t xml:space="preserve"> </w:t>
      </w:r>
      <w:r>
        <w:t xml:space="preserve">“</w:t>
      </w:r>
      <w:r>
        <w:t xml:space="preserve">engagement</w:t>
      </w:r>
      <w:r>
        <w:t xml:space="preserve">”</w:t>
      </w:r>
      <w:r>
        <w:t xml:space="preserve"> </w:t>
      </w:r>
      <w:r>
        <w:t xml:space="preserve">in a work context was offered by</w:t>
      </w:r>
      <w:r>
        <w:t xml:space="preserve"> </w:t>
      </w:r>
      <w:r>
        <w:t xml:space="preserve">Kahn (1990)</w:t>
      </w:r>
      <w:r>
        <w:t xml:space="preserve">:</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p>
      <w:pPr>
        <w:pStyle w:val="berschrift2"/>
      </w:pPr>
      <w:bookmarkStart w:id="24" w:name="bifactor-structures"/>
      <w:r>
        <w:t xml:space="preserve">0.4	Bifactor structures</w:t>
      </w:r>
      <w:bookmarkEnd w:id="24"/>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the substantive and attitudinal models have non-mediated but overlapping effects on each variable.</w:t>
      </w:r>
    </w:p>
    <w:p>
      <w:pPr>
        <w:pStyle w:val="berschrift1"/>
      </w:pPr>
      <w:bookmarkStart w:id="25" w:name="methods"/>
      <w:r>
        <w:t xml:space="preserve">1	Methods</w:t>
      </w:r>
      <w:bookmarkEnd w:id="25"/>
    </w:p>
    <w:p>
      <w:pPr>
        <w:pStyle w:val="FirstParagraph"/>
      </w:pPr>
      <w:r>
        <w:t xml:space="preserve">Informed by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p>
      <w:pPr>
        <w:pStyle w:val="berschrift2"/>
      </w:pPr>
      <w:bookmarkStart w:id="26" w:name="item-generation"/>
      <w:r>
        <w:t xml:space="preserve">1.1	Item generation</w:t>
      </w:r>
      <w:bookmarkEnd w:id="26"/>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p>
      <w:pPr>
        <w:pStyle w:val="berschrift3"/>
      </w:pPr>
      <w:bookmarkStart w:id="27" w:name="X63f3b6ad8af3a322c625b6badad218eb1dd92f9"/>
      <w:r>
        <w:t xml:space="preserve">1.1.1	Content validation and initial item reduction.</w:t>
      </w:r>
      <w:bookmarkEnd w:id="27"/>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(i.e., each item was sorted</w:t>
      </w:r>
      <w:r>
        <w:t xml:space="preserve"> </w:t>
      </w:r>
      <w:r>
        <w:rPr>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p>
      <w:pPr>
        <w:pStyle w:val="berschrift2"/>
      </w:pPr>
      <w:bookmarkStart w:id="28" w:name="participants"/>
      <w:r>
        <w:t xml:space="preserve">1.2	Participants</w:t>
      </w:r>
      <w:bookmarkEnd w:id="28"/>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40.38 (SD = 13.27).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
        </w:rPr>
        <w:t xml:space="preserve">labourR</w:t>
      </w:r>
      <w:r>
        <w:t xml:space="preserve"> </w:t>
      </w:r>
      <w:r>
        <w:t xml:space="preserve">package</w:t>
      </w:r>
      <w:r>
        <w:t xml:space="preserv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p>
      <w:pPr>
        <w:pStyle w:val="berschrift2"/>
      </w:pPr>
      <w:bookmarkStart w:id="29" w:name="scale-development-conditions"/>
      <w:r>
        <w:t xml:space="preserve">1.3	Scale development</w:t>
      </w:r>
      <w:r>
        <w:t xml:space="preserve"> </w:t>
      </w:r>
      <w:r>
        <w:t xml:space="preserve">“</w:t>
      </w:r>
      <w:r>
        <w:t xml:space="preserve">conditions</w:t>
      </w:r>
      <w:r>
        <w:t xml:space="preserve">”</w:t>
      </w:r>
      <w:bookmarkEnd w:id="29"/>
    </w:p>
    <w:p>
      <w:pPr>
        <w:pStyle w:val="FirstParagraph"/>
      </w:pPr>
      <w:r>
        <w:t xml:space="preserve">In addition to an intentional bifactor structure, we wanted to also introduce procedural conditions regarding the effort to obtain final scale definitions. One team of scale reductionists therefore focused on corrected item-total correlations while the other based final scale definitions on CFA modification indices.</w:t>
      </w:r>
    </w:p>
    <w:p>
      <w:pPr>
        <w:pStyle w:val="berschrift3"/>
      </w:pPr>
      <w:bookmarkStart w:id="30" w:name="corrected-item-total-correlations"/>
      <w:r>
        <w:t xml:space="preserve">1.3.1	Corrected item-total correlations.</w:t>
      </w:r>
      <w:bookmarkEnd w:id="30"/>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calculated corrected item-total correlations for all items. For each bifactor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p>
      <w:pPr>
        <w:pStyle w:val="berschrift3"/>
      </w:pPr>
      <w:bookmarkStart w:id="31" w:name="cfa-modification-indices"/>
      <w:r>
        <w:t xml:space="preserve">1.3.2	CFA Modification Indices.</w:t>
      </w:r>
      <w:bookmarkEnd w:id="31"/>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p>
      <w:pPr>
        <w:pStyle w:val="berschrift3"/>
      </w:pPr>
      <w:bookmarkStart w:id="32" w:name="final-scale-definitions"/>
      <w:r>
        <w:t xml:space="preserve">1.3.3	Final scale definitions.</w:t>
      </w:r>
      <w:bookmarkEnd w:id="32"/>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Compact"/>
      </w:pPr>
      <w:r>
        <w:t xml:space="preserve">Table 1:</w:t>
      </w:r>
    </w:p>
    <w:p>
      <w:pPr>
        <w:pStyle w:val="Compact"/>
        <w:pStyle w:val="TableCaption"/>
      </w:pPr>
      <w:r>
        <w:rPr>
          <w:i/>
        </w:rPr>
        <w:t xml:space="preserve">Attitudinal structure modification indices (36 item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Compact"/>
      </w:pPr>
      <w:r>
        <w:t xml:space="preserve">Table 2:</w:t>
      </w:r>
    </w:p>
    <w:p>
      <w:pPr>
        <w:pStyle w:val="Compact"/>
        <w:pStyle w:val="TableCaption"/>
      </w:pPr>
      <w:r>
        <w:rPr>
          <w:i/>
        </w:rPr>
        <w:t xml:space="preserve">Summary fit statistics (18 item final proposed scale definitions)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p>
      <w:pPr>
        <w:pStyle w:val="berschrift1"/>
      </w:pPr>
      <w:bookmarkStart w:id="36" w:name="results"/>
      <w:r>
        <w:t xml:space="preserve">2	Results</w:t>
      </w:r>
      <w:bookmarkEnd w:id="36"/>
    </w:p>
    <w:p>
      <w:pPr>
        <w:pStyle w:val="FirstParagraph"/>
      </w:pPr>
      <w:r>
        <w:t xml:space="preserve">We used R</w:t>
      </w:r>
      <w:r>
        <w:t xml:space="preserve"> </w:t>
      </w:r>
      <w:r>
        <w:t xml:space="preserve">(Version 4.0.3; R Core Team, 2021)</w:t>
      </w:r>
      <w:r>
        <w:t xml:space="preserve"> </w:t>
      </w:r>
      <w:r>
        <w:t xml:space="preserve">and the R-packages</w:t>
      </w:r>
      <w:r>
        <w:t xml:space="preserve"> </w:t>
      </w:r>
      <w:r>
        <w:rPr>
          <w:i/>
        </w:rPr>
        <w:t xml:space="preserve">apaTables</w:t>
      </w:r>
      <w:r>
        <w:t xml:space="preserve"> </w:t>
      </w:r>
      <w:r>
        <w:t xml:space="preserve">(Version 2.0.8; Stanley, 2021)</w:t>
      </w:r>
      <w:r>
        <w:t xml:space="preserve">,</w:t>
      </w:r>
      <w:r>
        <w:t xml:space="preserve"> </w:t>
      </w:r>
      <w:r>
        <w:rPr>
          <w:i/>
        </w:rPr>
        <w:t xml:space="preserve">dplyr</w:t>
      </w:r>
      <w:r>
        <w:t xml:space="preserve"> </w:t>
      </w:r>
      <w:r>
        <w:t xml:space="preserve">(Version 1.0.2; Wickham, François, et al., 2021)</w:t>
      </w:r>
      <w:r>
        <w:t xml:space="preserve">,</w:t>
      </w:r>
      <w:r>
        <w:t xml:space="preserve"> </w:t>
      </w:r>
      <w:r>
        <w:rPr>
          <w:i/>
        </w:rPr>
        <w:t xml:space="preserve">DT</w:t>
      </w:r>
      <w:r>
        <w:t xml:space="preserve"> </w:t>
      </w:r>
      <w:r>
        <w:t xml:space="preserve">(Version 0.16; Xie et al., 2021)</w:t>
      </w:r>
      <w:r>
        <w:t xml:space="preserve">,</w:t>
      </w:r>
      <w:r>
        <w:t xml:space="preserve"> </w:t>
      </w:r>
      <w:r>
        <w:rPr>
          <w:i/>
        </w:rPr>
        <w:t xml:space="preserve">forcats</w:t>
      </w:r>
      <w:r>
        <w:t xml:space="preserve"> </w:t>
      </w:r>
      <w:r>
        <w:t xml:space="preserve">(Version 0.5.0; Wickham, 2021a)</w:t>
      </w:r>
      <w:r>
        <w:t xml:space="preserve">,</w:t>
      </w:r>
      <w:r>
        <w:t xml:space="preserve"> </w:t>
      </w:r>
      <w:r>
        <w:rPr>
          <w:i/>
        </w:rPr>
        <w:t xml:space="preserve">ggplot2</w:t>
      </w:r>
      <w:r>
        <w:t xml:space="preserve"> </w:t>
      </w:r>
      <w:r>
        <w:t xml:space="preserve">(Version 3.3.2; Wickham, 2016)</w:t>
      </w:r>
      <w:r>
        <w:t xml:space="preserve">,</w:t>
      </w:r>
      <w:r>
        <w:t xml:space="preserve"> </w:t>
      </w:r>
      <w:r>
        <w:rPr>
          <w:i/>
        </w:rPr>
        <w:t xml:space="preserve">kableExtra</w:t>
      </w:r>
      <w:r>
        <w:t xml:space="preserve"> </w:t>
      </w:r>
      <w:r>
        <w:t xml:space="preserve">(Version 1.3.1; Zhu, 2021)</w:t>
      </w:r>
      <w:r>
        <w:t xml:space="preserve">,</w:t>
      </w:r>
      <w:r>
        <w:t xml:space="preserve"> </w:t>
      </w:r>
      <w:r>
        <w:rPr>
          <w:i/>
        </w:rPr>
        <w:t xml:space="preserve">labourR</w:t>
      </w:r>
      <w:r>
        <w:t xml:space="preserve"> </w:t>
      </w:r>
      <w:r>
        <w:t xml:space="preserve">(Version 1.0.0; Kouretsis et al., 2020)</w:t>
      </w:r>
      <w:r>
        <w:t xml:space="preserve">,</w:t>
      </w:r>
      <w:r>
        <w:t xml:space="preserve"> </w:t>
      </w:r>
      <w:r>
        <w:rPr>
          <w:i/>
        </w:rPr>
        <w:t xml:space="preserve">lavaan</w:t>
      </w:r>
      <w:r>
        <w:t xml:space="preserve"> </w:t>
      </w:r>
      <w:r>
        <w:t xml:space="preserve">(Version 0.6.8; Rosseel, 2012)</w:t>
      </w:r>
      <w:r>
        <w:t xml:space="preserve">,</w:t>
      </w:r>
      <w:r>
        <w:t xml:space="preserve"> </w:t>
      </w:r>
      <w:r>
        <w:rPr>
          <w:i/>
        </w:rPr>
        <w:t xml:space="preserve">magrittr</w:t>
      </w:r>
      <w:r>
        <w:t xml:space="preserve"> </w:t>
      </w:r>
      <w:r>
        <w:t xml:space="preserve">(Version 2.0.1; Bache &amp; Wickham, 2020)</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readr</w:t>
      </w:r>
      <w:r>
        <w:t xml:space="preserve"> </w:t>
      </w:r>
      <w:r>
        <w:t xml:space="preserve">(Version 1.4.0; Wickham &amp; Hester, 2020)</w:t>
      </w:r>
      <w:r>
        <w:t xml:space="preserve">,</w:t>
      </w:r>
      <w:r>
        <w:t xml:space="preserve"> </w:t>
      </w:r>
      <w:r>
        <w:rPr>
          <w:i/>
        </w:rPr>
        <w:t xml:space="preserve">sem</w:t>
      </w:r>
      <w:r>
        <w:t xml:space="preserve"> </w:t>
      </w:r>
      <w:r>
        <w:t xml:space="preserve">(Version 3.1.11; Fox et al., 2020; Epskamp, 2019)</w:t>
      </w:r>
      <w:r>
        <w:t xml:space="preserve">,</w:t>
      </w:r>
      <w:r>
        <w:t xml:space="preserve"> </w:t>
      </w:r>
      <w:r>
        <w:rPr>
          <w:i/>
        </w:rPr>
        <w:t xml:space="preserve">semPlot</w:t>
      </w:r>
      <w:r>
        <w:t xml:space="preserve"> </w:t>
      </w:r>
      <w:r>
        <w:t xml:space="preserve">(Version 1.1.2; Epskamp, 2019)</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3.1.0; Müller &amp; Wickham, 2021)</w:t>
      </w:r>
      <w:r>
        <w:t xml:space="preserve">,</w:t>
      </w:r>
      <w:r>
        <w:t xml:space="preserve"> </w:t>
      </w:r>
      <w:r>
        <w:rPr>
          <w:i/>
        </w:rPr>
        <w:t xml:space="preserve">tidyr</w:t>
      </w:r>
      <w:r>
        <w:t xml:space="preserve"> </w:t>
      </w:r>
      <w:r>
        <w:t xml:space="preserve">(Version 1.1.2; Wickham, 2021b)</w:t>
      </w:r>
      <w:r>
        <w:t xml:space="preserve">, and</w:t>
      </w:r>
      <w:r>
        <w:t xml:space="preserve"> </w:t>
      </w:r>
      <w:r>
        <w:rPr>
          <w:i/>
        </w:rPr>
        <w:t xml:space="preserve">tidyverse</w:t>
      </w:r>
      <w:r>
        <w:t xml:space="preserve"> </w:t>
      </w:r>
      <w:r>
        <w:t xml:space="preserve">(Version 1.3.0; Wickham, Averick, et al., 2019)</w:t>
      </w:r>
      <w:r>
        <w:t xml:space="preserve"> </w:t>
      </w:r>
      <w:r>
        <w:t xml:space="preserve">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Compact"/>
      </w:pPr>
      <w:r>
        <w:t xml:space="preserve">Table 3:</w:t>
      </w:r>
    </w:p>
    <w:p>
      <w:pPr>
        <w:pStyle w:val="Compact"/>
        <w:pStyle w:val="TableCaption"/>
      </w:pPr>
      <w:r>
        <w:rPr>
          <w:i/>
        </w:rPr>
        <w:t xml:space="preserve">Final proposed scale definitions (derived via attendance to corrected item-total correlations or CFA modification indices)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Corrected.Item.Total.Definition</w:t>
            </w:r>
          </w:p>
        </w:tc>
        <w:tc>
          <w:tcPr>
            <w:tcBorders>
              <w:bottom w:val="single"/>
            </w:tcBorders>
            <w:vAlign w:val="bottom"/>
          </w:tcPr>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w:t>
            </w:r>
          </w:p>
        </w:tc>
        <w:tc>
          <w:p>
            <w:pPr>
              <w:pStyle w:val="Compact"/>
              <w:jc w:val="left"/>
            </w:pPr>
            <w:r>
              <w:t xml:space="preserve">Item_1=</w:t>
            </w:r>
            <w:r>
              <w:rPr>
                <w:rStyle w:val="VerbatimChar"/>
              </w:rPr>
              <w:t xml:space="preserve">Iâ€™m able to concentrate on my work without distractions.</w:t>
            </w:r>
            <w:r>
              <w:t xml:space="preserve">,</w:t>
            </w:r>
          </w:p>
        </w:tc>
        <w:tc>
          <w:p>
            <w:pPr>
              <w:pStyle w:val="Compact"/>
              <w:jc w:val="left"/>
            </w:pPr>
            <w:r>
              <w:t xml:space="preserve">Item_2=</w:t>
            </w:r>
            <w:r>
              <w:rPr>
                <w:rStyle w:val="VerbatimChar"/>
              </w:rPr>
              <w:t xml:space="preserve">I have a hard time detaching mentally from my work.</w:t>
            </w:r>
            <w:r>
              <w:t xml:space="preserve">,</w:t>
            </w:r>
          </w:p>
        </w:tc>
      </w:tr>
      <w:tr>
        <w:tc>
          <w:p>
            <w:pPr>
              <w:pStyle w:val="Compact"/>
              <w:jc w:val="left"/>
            </w:pPr>
            <w:r>
              <w:t xml:space="preserve">Absorption</w:t>
            </w:r>
          </w:p>
        </w:tc>
        <w:tc>
          <w:p>
            <w:pPr>
              <w:pStyle w:val="Compact"/>
              <w:jc w:val="left"/>
            </w:pPr>
            <w:r>
              <w:t xml:space="preserve">Cog</w:t>
            </w:r>
          </w:p>
        </w:tc>
        <w:tc>
          <w:p>
            <w:pPr>
              <w:pStyle w:val="Compact"/>
              <w:jc w:val="left"/>
            </w:pPr>
            <w:r>
              <w:t xml:space="preserve">Item_3=</w:t>
            </w:r>
            <w:r>
              <w:rPr>
                <w:rStyle w:val="VerbatimChar"/>
              </w:rPr>
              <w:t xml:space="preserve">Time passes quickly while Iâ€™m working.</w:t>
            </w:r>
            <w:r>
              <w:t xml:space="preserve">,</w:t>
            </w:r>
          </w:p>
        </w:tc>
        <w:tc>
          <w:p>
            <w:pPr>
              <w:pStyle w:val="Compact"/>
              <w:jc w:val="left"/>
            </w:pPr>
            <w:r>
              <w:t xml:space="preserve">Item_3=</w:t>
            </w:r>
            <w:r>
              <w:rPr>
                <w:rStyle w:val="VerbatimChar"/>
              </w:rPr>
              <w:t xml:space="preserve">Time passes quickly while Iâ€™m working.</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Item_5=</w:t>
            </w:r>
            <w:r>
              <w:rPr>
                <w:rStyle w:val="VerbatimChar"/>
              </w:rPr>
              <w:t xml:space="preserve">I enjoy thinking about work even when Iâ€™m not at work.</w:t>
            </w:r>
            <w:r>
              <w:t xml:space="preserve">,</w:t>
            </w:r>
          </w:p>
        </w:tc>
        <w:tc>
          <w:p>
            <w:pPr>
              <w:pStyle w:val="Compact"/>
              <w:jc w:val="left"/>
            </w:pPr>
            <w:r>
              <w:t xml:space="preserve">Item_7=</w:t>
            </w:r>
            <w:r>
              <w:rPr>
                <w:rStyle w:val="VerbatimChar"/>
              </w:rPr>
              <w:t xml:space="preserve">I am happiest when I am immersed in a project.</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Item_8=</w:t>
            </w:r>
            <w:r>
              <w:rPr>
                <w:rStyle w:val="VerbatimChar"/>
              </w:rPr>
              <w:t xml:space="preserve">I love starting my workday.</w:t>
            </w:r>
            <w:r>
              <w:t xml:space="preserve">,</w:t>
            </w:r>
          </w:p>
        </w:tc>
        <w:tc>
          <w:p>
            <w:pPr>
              <w:pStyle w:val="Compact"/>
              <w:jc w:val="left"/>
            </w:pPr>
            <w:r>
              <w:t xml:space="preserve">Item_8=</w:t>
            </w:r>
            <w:r>
              <w:rPr>
                <w:rStyle w:val="VerbatimChar"/>
              </w:rPr>
              <w:t xml:space="preserve">I love starting my workday.</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Item_10=</w:t>
            </w:r>
            <w:r>
              <w:rPr>
                <w:rStyle w:val="VerbatimChar"/>
              </w:rPr>
              <w:t xml:space="preserve">I have to be reminded to take breaks while Iâ€™m at work.</w:t>
            </w:r>
            <w:r>
              <w:t xml:space="preserve">,</w:t>
            </w:r>
          </w:p>
        </w:tc>
        <w:tc>
          <w:p>
            <w:pPr>
              <w:pStyle w:val="Compact"/>
              <w:jc w:val="left"/>
            </w:pPr>
            <w:r>
              <w:t xml:space="preserve">Item_10=</w:t>
            </w:r>
            <w:r>
              <w:rPr>
                <w:rStyle w:val="VerbatimChar"/>
              </w:rPr>
              <w:t xml:space="preserve">I have to be reminded to take breaks while Iâ€™m at work.</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Item_9=</w:t>
            </w:r>
            <w:r>
              <w:rPr>
                <w:rStyle w:val="VerbatimChar"/>
              </w:rPr>
              <w:t xml:space="preserve">I devote more time than is expected of me.</w:t>
            </w:r>
            <w:r>
              <w:t xml:space="preserve">,</w:t>
            </w:r>
          </w:p>
        </w:tc>
        <w:tc>
          <w:p>
            <w:pPr>
              <w:pStyle w:val="Compact"/>
              <w:jc w:val="left"/>
            </w:pPr>
            <w:r>
              <w:t xml:space="preserve">Item_11=</w:t>
            </w:r>
            <w:r>
              <w:rPr>
                <w:rStyle w:val="VerbatimChar"/>
              </w:rPr>
              <w:t xml:space="preserve">I never miss a work deadline.</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Item_13=</w:t>
            </w:r>
            <w:r>
              <w:rPr>
                <w:rStyle w:val="VerbatimChar"/>
              </w:rPr>
              <w:t xml:space="preserve">I devote my full attention to my work tasks throughout the day.</w:t>
            </w:r>
            <w:r>
              <w:t xml:space="preserve">,</w:t>
            </w:r>
          </w:p>
        </w:tc>
        <w:tc>
          <w:p>
            <w:pPr>
              <w:pStyle w:val="Compact"/>
              <w:jc w:val="left"/>
            </w:pPr>
            <w:r>
              <w:t xml:space="preserve">Item_14=</w:t>
            </w:r>
            <w:r>
              <w:rPr>
                <w:rStyle w:val="VerbatimChar"/>
              </w:rPr>
              <w:t xml:space="preserve">Thinking about work saps my energy.</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Item_16=</w:t>
            </w:r>
            <w:r>
              <w:rPr>
                <w:rStyle w:val="VerbatimChar"/>
              </w:rPr>
              <w:t xml:space="preserve">Iâ€™m able to maintain good levels of energy throughout the workday.</w:t>
            </w:r>
            <w:r>
              <w:t xml:space="preserve">,</w:t>
            </w:r>
          </w:p>
        </w:tc>
        <w:tc>
          <w:p>
            <w:pPr>
              <w:pStyle w:val="Compact"/>
              <w:jc w:val="left"/>
            </w:pPr>
            <w:r>
              <w:t xml:space="preserve">Item_16=</w:t>
            </w:r>
            <w:r>
              <w:rPr>
                <w:rStyle w:val="VerbatimChar"/>
              </w:rPr>
              <w:t xml:space="preserve">Iâ€™m able to maintain good levels of energy throughout the workday.</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Item_17=</w:t>
            </w:r>
            <w:r>
              <w:rPr>
                <w:rStyle w:val="VerbatimChar"/>
              </w:rPr>
              <w:t xml:space="preserve">I enjoy spending time completing my job tasks.</w:t>
            </w:r>
            <w:r>
              <w:t xml:space="preserve">,</w:t>
            </w:r>
          </w:p>
        </w:tc>
        <w:tc>
          <w:p>
            <w:pPr>
              <w:pStyle w:val="Compact"/>
              <w:jc w:val="left"/>
            </w:pPr>
            <w:r>
              <w:t xml:space="preserve">Item_17=</w:t>
            </w:r>
            <w:r>
              <w:rPr>
                <w:rStyle w:val="VerbatimChar"/>
              </w:rPr>
              <w:t xml:space="preserve">I enjoy spending time completing my job tasks.</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Item_18=</w:t>
            </w:r>
            <w:r>
              <w:rPr>
                <w:rStyle w:val="VerbatimChar"/>
              </w:rPr>
              <w:t xml:space="preserve">Most days I feel enthusiastic about starting my work day.</w:t>
            </w:r>
            <w:r>
              <w:t xml:space="preserve">,</w:t>
            </w:r>
          </w:p>
        </w:tc>
        <w:tc>
          <w:p>
            <w:pPr>
              <w:pStyle w:val="Compact"/>
              <w:jc w:val="left"/>
            </w:pPr>
            <w:r>
              <w:t xml:space="preserve">Item_19=</w:t>
            </w:r>
            <w:r>
              <w:rPr>
                <w:rStyle w:val="VerbatimChar"/>
              </w:rPr>
              <w:t xml:space="preserve">I feel motivated to go beyond what is asked of me.</w:t>
            </w:r>
            <w:r>
              <w:t xml:space="preserve">, [ADD</w:t>
            </w:r>
            <w:r>
              <w:t xml:space="preserve"> </w:t>
            </w:r>
            <w:r>
              <w:t xml:space="preserve">“</w:t>
            </w:r>
            <w:r>
              <w:t xml:space="preserve">AT WORK</w:t>
            </w:r>
            <w:r>
              <w:t xml:space="preser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Item_23=</w:t>
            </w:r>
            <w:r>
              <w:rPr>
                <w:rStyle w:val="VerbatimChar"/>
              </w:rPr>
              <w:t xml:space="preserve">I try my best to perform well at work.</w:t>
            </w:r>
            <w:r>
              <w:t xml:space="preserve">,</w:t>
            </w:r>
          </w:p>
        </w:tc>
        <w:tc>
          <w:p>
            <w:pPr>
              <w:pStyle w:val="Compact"/>
              <w:jc w:val="left"/>
            </w:pPr>
            <w:r>
              <w:t xml:space="preserve">Item_21=</w:t>
            </w:r>
            <w:r>
              <w:rPr>
                <w:rStyle w:val="VerbatimChar"/>
              </w:rPr>
              <w:t xml:space="preserve">When work is slow I find ways to be productive.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Item_22=</w:t>
            </w:r>
            <w:r>
              <w:rPr>
                <w:rStyle w:val="VerbatimChar"/>
              </w:rPr>
              <w:t xml:space="preserve">I express enthusiasm for my job while at work.</w:t>
            </w:r>
            <w:r>
              <w:t xml:space="preserve">,</w:t>
            </w:r>
          </w:p>
        </w:tc>
        <w:tc>
          <w:p>
            <w:pPr>
              <w:pStyle w:val="Compact"/>
              <w:jc w:val="left"/>
            </w:pPr>
            <w:r>
              <w:t xml:space="preserve">Item_22=</w:t>
            </w:r>
            <w:r>
              <w:rPr>
                <w:rStyle w:val="VerbatimChar"/>
              </w:rPr>
              <w:t xml:space="preserve">I express enthusiasm for my job while at work.</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Item_26=</w:t>
            </w:r>
            <w:r>
              <w:rPr>
                <w:rStyle w:val="VerbatimChar"/>
              </w:rPr>
              <w:t xml:space="preserve">I believe this company cares about my career goals.</w:t>
            </w:r>
            <w:r>
              <w:t xml:space="preserve">,</w:t>
            </w:r>
          </w:p>
        </w:tc>
        <w:tc>
          <w:p>
            <w:pPr>
              <w:pStyle w:val="Compact"/>
              <w:jc w:val="left"/>
            </w:pPr>
            <w:r>
              <w:t xml:space="preserve">Item_26=</w:t>
            </w:r>
            <w:r>
              <w:rPr>
                <w:rStyle w:val="VerbatimChar"/>
              </w:rPr>
              <w:t xml:space="preserve">I believe this company cares about my career goals.</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Item_25=</w:t>
            </w:r>
            <w:r>
              <w:rPr>
                <w:rStyle w:val="VerbatimChar"/>
              </w:rPr>
              <w:t xml:space="preserve">I plan my future with this company.</w:t>
            </w:r>
            <w:r>
              <w:t xml:space="preserve">,</w:t>
            </w:r>
          </w:p>
        </w:tc>
        <w:tc>
          <w:p>
            <w:pPr>
              <w:pStyle w:val="Compact"/>
              <w:jc w:val="left"/>
            </w:pPr>
            <w:r>
              <w:t xml:space="preserve">Item_28=</w:t>
            </w:r>
            <w:r>
              <w:rPr>
                <w:rStyle w:val="VerbatimChar"/>
              </w:rPr>
              <w:t xml:space="preserve">This organization challenges me to work at my full potential.</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Item_31=</w:t>
            </w:r>
            <w:r>
              <w:rPr>
                <w:rStyle w:val="VerbatimChar"/>
              </w:rPr>
              <w:t xml:space="preserve">I feel proud of my accomplishments within this organization.</w:t>
            </w:r>
            <w:r>
              <w:t xml:space="preserve">,</w:t>
            </w:r>
          </w:p>
        </w:tc>
        <w:tc>
          <w:p>
            <w:pPr>
              <w:pStyle w:val="Compact"/>
              <w:jc w:val="left"/>
            </w:pPr>
            <w:r>
              <w:t xml:space="preserve">Item_31=</w:t>
            </w:r>
            <w:r>
              <w:rPr>
                <w:rStyle w:val="VerbatimChar"/>
              </w:rPr>
              <w:t xml:space="preserve">I feel proud of my accomplishments within this organization.</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Item_32=</w:t>
            </w:r>
            <w:r>
              <w:rPr>
                <w:rStyle w:val="VerbatimChar"/>
              </w:rPr>
              <w:t xml:space="preserve">My job makes me feel like Iâ€™m part of something meaningful.</w:t>
            </w:r>
            <w:r>
              <w:t xml:space="preserve">,</w:t>
            </w:r>
          </w:p>
        </w:tc>
        <w:tc>
          <w:p>
            <w:pPr>
              <w:pStyle w:val="Compact"/>
              <w:jc w:val="left"/>
            </w:pPr>
            <w:r>
              <w:t xml:space="preserve">Item_32=</w:t>
            </w:r>
            <w:r>
              <w:rPr>
                <w:rStyle w:val="VerbatimChar"/>
              </w:rPr>
              <w:t xml:space="preserve">My job makes me feel like Iâ€™m part of something meaningful.</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Item_33=</w:t>
            </w:r>
            <w:r>
              <w:rPr>
                <w:rStyle w:val="VerbatimChar"/>
              </w:rPr>
              <w:t xml:space="preserve">I make valued contributions to the organization.</w:t>
            </w:r>
            <w:r>
              <w:t xml:space="preserve">,</w:t>
            </w:r>
          </w:p>
        </w:tc>
        <w:tc>
          <w:p>
            <w:pPr>
              <w:pStyle w:val="Compact"/>
              <w:jc w:val="left"/>
            </w:pPr>
            <w:r>
              <w:t xml:space="preserve">Item_34=</w:t>
            </w:r>
            <w:r>
              <w:rPr>
                <w:rStyle w:val="VerbatimChar"/>
              </w:rPr>
              <w:t xml:space="preserve">I embrace challenging situations at work.</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Item_35=</w:t>
            </w:r>
            <w:r>
              <w:rPr>
                <w:rStyle w:val="VerbatimChar"/>
              </w:rPr>
              <w:t xml:space="preserve">I speak positively about this organization to others.</w:t>
            </w:r>
            <w:r>
              <w:t xml:space="preserve">,</w:t>
            </w:r>
          </w:p>
        </w:tc>
        <w:tc>
          <w:p>
            <w:pPr>
              <w:pStyle w:val="Compact"/>
              <w:jc w:val="left"/>
            </w:pPr>
            <w:r>
              <w:t xml:space="preserve">Item_35=</w:t>
            </w:r>
            <w:r>
              <w:rPr>
                <w:rStyle w:val="VerbatimChar"/>
              </w:rPr>
              <w:t xml:space="preserve">I speak positively about this organization to others.</w:t>
            </w:r>
            <w:r>
              <w:t xml:space="preserve">,</w:t>
            </w:r>
          </w:p>
        </w:tc>
      </w:tr>
    </w:tbl>
    <w:p>
      <w:pPr>
        <w:pStyle w:val="berschrift2"/>
      </w:pPr>
      <w:bookmarkStart w:id="37" w:name="final-scale-definitions-1"/>
      <w:r>
        <w:t xml:space="preserve">2.1	Final scale definitions</w:t>
      </w:r>
      <w:bookmarkEnd w:id="37"/>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w:t>
      </w:r>
    </w:p>
    <w:p>
      <w:pPr>
        <w:pStyle w:val="Blocktext"/>
      </w:pPr>
      <w:r>
        <w:t xml:space="preserve">For KULAS to do: two sections 1) 6x6 correlation matrix between scale scores 2) corrected item-total correlations</w:t>
      </w:r>
    </w:p>
    <w:p>
      <w:pPr>
        <w:pStyle w:val="Compact"/>
      </w:pPr>
      <w:r>
        <w:t xml:space="preserve">Table 4:</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r>
    </w:tbl>
    <w:p>
      <w:pPr>
        <w:pStyle w:val="berschrift1"/>
      </w:pPr>
      <w:bookmarkStart w:id="38" w:name="discussion"/>
      <w:r>
        <w:t xml:space="preserve">3	Discussion</w:t>
      </w:r>
      <w:bookmarkEnd w:id="38"/>
    </w:p>
    <w:p>
      <w:pPr>
        <w:pStyle w:val="FirstParagraph"/>
      </w:pPr>
      <w:r>
        <w:t xml:space="preserve">The purpose of this study was to document the development of an intentionally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 It is our hope that the success of this approach might evangelize bifactor analysis and the more general approach of consolidating and integrating theories rather than parsing them.</w:t>
      </w:r>
    </w:p>
    <w:p>
      <w:r>
        <w:br w:type="page"/>
      </w:r>
    </w:p>
    <w:p>
      <w:pPr>
        <w:pStyle w:val="berschrift1"/>
      </w:pPr>
      <w:bookmarkStart w:id="39" w:name="references"/>
      <w:r>
        <w:t xml:space="preserve">4	References</w:t>
      </w:r>
      <w:bookmarkEnd w:id="39"/>
    </w:p>
    <w:bookmarkStart w:id="96" w:name="refs"/>
    <w:bookmarkStart w:id="41"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40">
        <w:r>
          <w:rPr>
            <w:rStyle w:val="Hyperlink"/>
          </w:rPr>
          <w:t xml:space="preserve">https://github.com/crsh/papaja</w:t>
        </w:r>
      </w:hyperlink>
    </w:p>
    <w:bookmarkEnd w:id="41"/>
    <w:bookmarkStart w:id="43" w:name="ref-R-magrittr"/>
    <w:p>
      <w:pPr>
        <w:pStyle w:val="Literaturverzeichnis"/>
        <w:pStyle w:val="Literaturverzeichnis"/>
      </w:pPr>
      <w:r>
        <w:t xml:space="preserve">Bache, S. M., &amp; Wickham, H. (2020).</w:t>
      </w:r>
      <w:r>
        <w:t xml:space="preserve"> </w:t>
      </w:r>
      <w:r>
        <w:rPr>
          <w:i/>
        </w:rPr>
        <w:t xml:space="preserve">Magrittr: A forward-pipe operator for r</w:t>
      </w:r>
      <w:r>
        <w:t xml:space="preserve">.</w:t>
      </w:r>
      <w:r>
        <w:t xml:space="preserve"> </w:t>
      </w:r>
      <w:hyperlink r:id="rId42">
        <w:r>
          <w:rPr>
            <w:rStyle w:val="Hyperlink"/>
          </w:rPr>
          <w:t xml:space="preserve">https://CRAN.R-project.org/package=magrittr</w:t>
        </w:r>
      </w:hyperlink>
    </w:p>
    <w:bookmarkEnd w:id="43"/>
    <w:bookmarkStart w:id="44" w:name="ref-baumruk2004missing"/>
    <w:p>
      <w:pPr>
        <w:pStyle w:val="Literaturverzeichnis"/>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4"/>
    <w:bookmarkStart w:id="46" w:name="ref-R-semPlot"/>
    <w:p>
      <w:pPr>
        <w:pStyle w:val="Literaturverzeichnis"/>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5">
        <w:r>
          <w:rPr>
            <w:rStyle w:val="Hyperlink"/>
          </w:rPr>
          <w:t xml:space="preserve">https://CRAN.R-project.org/package=semPlot</w:t>
        </w:r>
      </w:hyperlink>
    </w:p>
    <w:bookmarkEnd w:id="46"/>
    <w:bookmarkStart w:id="48" w:name="ref-R-sem"/>
    <w:p>
      <w:pPr>
        <w:pStyle w:val="Literaturverzeichnis"/>
        <w:pStyle w:val="Literaturverzeichnis"/>
      </w:pPr>
      <w:r>
        <w:t xml:space="preserve">Fox, J., Nie, Z., &amp; Byrnes, J. (2020).</w:t>
      </w:r>
      <w:r>
        <w:t xml:space="preserve"> </w:t>
      </w:r>
      <w:r>
        <w:rPr>
          <w:i/>
        </w:rPr>
        <w:t xml:space="preserve">Sem: Structural equation models</w:t>
      </w:r>
      <w:r>
        <w:t xml:space="preserve">.</w:t>
      </w:r>
      <w:r>
        <w:t xml:space="preserve"> </w:t>
      </w:r>
      <w:hyperlink r:id="rId47">
        <w:r>
          <w:rPr>
            <w:rStyle w:val="Hyperlink"/>
          </w:rPr>
          <w:t xml:space="preserve">https://CRAN.R-project.org/package=sem</w:t>
        </w:r>
      </w:hyperlink>
    </w:p>
    <w:bookmarkEnd w:id="48"/>
    <w:bookmarkStart w:id="50" w:name="ref-giordano_exploratory_2020"/>
    <w:p>
      <w:pPr>
        <w:pStyle w:val="Literaturverzeichnis"/>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49">
        <w:r>
          <w:rPr>
            <w:rStyle w:val="Hyperlink"/>
          </w:rPr>
          <w:t xml:space="preserve">https://doi.org/10.1016/j.jvb.2020.103430</w:t>
        </w:r>
      </w:hyperlink>
    </w:p>
    <w:bookmarkEnd w:id="50"/>
    <w:bookmarkStart w:id="52" w:name="ref-R-purrr"/>
    <w:p>
      <w:pPr>
        <w:pStyle w:val="Literaturverzeichnis"/>
        <w:pStyle w:val="Literaturverzeichnis"/>
      </w:pPr>
      <w:r>
        <w:t xml:space="preserve">Henry, L., &amp; Wickham, H. (2020).</w:t>
      </w:r>
      <w:r>
        <w:t xml:space="preserve"> </w:t>
      </w:r>
      <w:r>
        <w:rPr>
          <w:i/>
        </w:rPr>
        <w:t xml:space="preserve">Purrr: Functional programming tools</w:t>
      </w:r>
      <w:r>
        <w:t xml:space="preserve">.</w:t>
      </w:r>
      <w:r>
        <w:t xml:space="preserve"> </w:t>
      </w:r>
      <w:hyperlink r:id="rId51">
        <w:r>
          <w:rPr>
            <w:rStyle w:val="Hyperlink"/>
          </w:rPr>
          <w:t xml:space="preserve">https://CRAN.R-project.org/package=purrr</w:t>
        </w:r>
      </w:hyperlink>
    </w:p>
    <w:bookmarkEnd w:id="52"/>
    <w:bookmarkStart w:id="53" w:name="ref-kahn1990psychological"/>
    <w:p>
      <w:pPr>
        <w:pStyle w:val="Literaturverzeichnis"/>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3"/>
    <w:bookmarkStart w:id="55" w:name="ref-kaiser_campbell_2019"/>
    <w:p>
      <w:pPr>
        <w:pStyle w:val="Literaturverzeichnis"/>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4">
        <w:r>
          <w:rPr>
            <w:rStyle w:val="Hyperlink"/>
          </w:rPr>
          <w:t xml:space="preserve">https://doi.org/10.1027/1016-9040/a000364</w:t>
        </w:r>
      </w:hyperlink>
    </w:p>
    <w:bookmarkEnd w:id="55"/>
    <w:bookmarkStart w:id="57" w:name="ref-R-labourR"/>
    <w:p>
      <w:pPr>
        <w:pStyle w:val="Literaturverzeichnis"/>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56">
        <w:r>
          <w:rPr>
            <w:rStyle w:val="Hyperlink"/>
          </w:rPr>
          <w:t xml:space="preserve">https://CRAN.R-project.org/package=labourR</w:t>
        </w:r>
      </w:hyperlink>
    </w:p>
    <w:bookmarkEnd w:id="57"/>
    <w:bookmarkStart w:id="59" w:name="ref-kulikowski_we_2017"/>
    <w:p>
      <w:pPr>
        <w:pStyle w:val="Literaturverzeichnis"/>
        <w:pStyle w:val="Literaturverzeichnis"/>
      </w:pPr>
      <w:r>
        <w:t xml:space="preserve">Kulikowski, K. (2017).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58">
        <w:r>
          <w:rPr>
            <w:rStyle w:val="Hyperlink"/>
          </w:rPr>
          <w:t xml:space="preserve">https://doi.org/10.13075/ijomeh.1896.00947</w:t>
        </w:r>
      </w:hyperlink>
    </w:p>
    <w:bookmarkEnd w:id="59"/>
    <w:bookmarkStart w:id="61" w:name="ref-R-tibble"/>
    <w:p>
      <w:pPr>
        <w:pStyle w:val="Literaturverzeichnis"/>
        <w:pStyle w:val="Literaturverzeichnis"/>
      </w:pPr>
      <w:r>
        <w:t xml:space="preserve">Müller, K., &amp; Wickham, H. (2021).</w:t>
      </w:r>
      <w:r>
        <w:t xml:space="preserve"> </w:t>
      </w:r>
      <w:r>
        <w:rPr>
          <w:i/>
        </w:rPr>
        <w:t xml:space="preserve">Tibble: Simple data frames</w:t>
      </w:r>
      <w:r>
        <w:t xml:space="preserve">.</w:t>
      </w:r>
      <w:r>
        <w:t xml:space="preserve"> </w:t>
      </w:r>
      <w:hyperlink r:id="rId60">
        <w:r>
          <w:rPr>
            <w:rStyle w:val="Hyperlink"/>
          </w:rPr>
          <w:t xml:space="preserve">https://CRAN.R-project.org/package=tibble</w:t>
        </w:r>
      </w:hyperlink>
    </w:p>
    <w:bookmarkEnd w:id="61"/>
    <w:bookmarkStart w:id="63" w:name="ref-R-base"/>
    <w:p>
      <w:pPr>
        <w:pStyle w:val="Literaturverzeichnis"/>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2">
        <w:r>
          <w:rPr>
            <w:rStyle w:val="Hyperlink"/>
          </w:rPr>
          <w:t xml:space="preserve">https://www.R-project.org/</w:t>
        </w:r>
      </w:hyperlink>
    </w:p>
    <w:bookmarkEnd w:id="63"/>
    <w:bookmarkStart w:id="65" w:name="ref-reise_rediscovery_2012"/>
    <w:p>
      <w:pPr>
        <w:pStyle w:val="Literaturverzeichnis"/>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4">
        <w:r>
          <w:rPr>
            <w:rStyle w:val="Hyperlink"/>
          </w:rPr>
          <w:t xml:space="preserve">https://doi.org/10.1080/00273171.2012.715555</w:t>
        </w:r>
      </w:hyperlink>
    </w:p>
    <w:bookmarkEnd w:id="65"/>
    <w:bookmarkStart w:id="66" w:name="ref-rosenberg_cognitive_1960"/>
    <w:p>
      <w:pPr>
        <w:pStyle w:val="Literaturverzeichnis"/>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66"/>
    <w:bookmarkStart w:id="68" w:name="ref-R-lavaan"/>
    <w:p>
      <w:pPr>
        <w:pStyle w:val="Literaturverzeichnis"/>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67">
        <w:r>
          <w:rPr>
            <w:rStyle w:val="Hyperlink"/>
          </w:rPr>
          <w:t xml:space="preserve">https://www.jstatsoft.org/v48/i02/</w:t>
        </w:r>
      </w:hyperlink>
    </w:p>
    <w:bookmarkEnd w:id="68"/>
    <w:bookmarkStart w:id="69" w:name="ref-schaufeli2013engagement"/>
    <w:p>
      <w:pPr>
        <w:pStyle w:val="Literaturverzeichnis"/>
        <w:pStyle w:val="Literaturverzeichnis"/>
      </w:pPr>
      <w:r>
        <w:t xml:space="preserve">Schaufeli, W. B. (2013). What is engagement? In</w:t>
      </w:r>
      <w:r>
        <w:t xml:space="preserve"> </w:t>
      </w:r>
      <w:r>
        <w:rPr>
          <w:i/>
        </w:rPr>
        <w:t xml:space="preserve">Employee engagement in theory and practice</w:t>
      </w:r>
      <w:r>
        <w:t xml:space="preserve"> </w:t>
      </w:r>
      <w:r>
        <w:t xml:space="preserve">(pp. 29–49). Routledge.</w:t>
      </w:r>
    </w:p>
    <w:bookmarkEnd w:id="69"/>
    <w:bookmarkStart w:id="70" w:name="ref-schaufeli2003utrecht"/>
    <w:p>
      <w:pPr>
        <w:pStyle w:val="Literaturverzeichnis"/>
        <w:pStyle w:val="Literaturverzeichnis"/>
      </w:pPr>
      <w:r>
        <w:t xml:space="preserve">Schaufeli, W. B., &amp; Bakker, A. B. (2003). Utrecht work engagement scale: Preliminary manual.</w:t>
      </w:r>
      <w:r>
        <w:t xml:space="preserve"> </w:t>
      </w:r>
      <w:r>
        <w:rPr>
          <w:i/>
        </w:rPr>
        <w:t xml:space="preserve">Occupational Health Psychology Unit, Utrecht University, Utrecht</w:t>
      </w:r>
      <w:r>
        <w:t xml:space="preserve">,</w:t>
      </w:r>
      <w:r>
        <w:t xml:space="preserve"> </w:t>
      </w:r>
      <w:r>
        <w:rPr>
          <w:i/>
        </w:rPr>
        <w:t xml:space="preserve">26</w:t>
      </w:r>
      <w:r>
        <w:t xml:space="preserve">(1), 64–100.</w:t>
      </w:r>
    </w:p>
    <w:bookmarkEnd w:id="70"/>
    <w:bookmarkStart w:id="71" w:name="ref-schaufeli_measurement_2002"/>
    <w:p>
      <w:pPr>
        <w:pStyle w:val="Literaturverzeichnis"/>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1"/>
    <w:bookmarkStart w:id="72" w:name="ref-shaw2005engagement"/>
    <w:p>
      <w:pPr>
        <w:pStyle w:val="Literaturverzeichnis"/>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2"/>
    <w:bookmarkStart w:id="74" w:name="ref-R-apaTables"/>
    <w:p>
      <w:pPr>
        <w:pStyle w:val="Literaturverzeichnis"/>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3">
        <w:r>
          <w:rPr>
            <w:rStyle w:val="Hyperlink"/>
          </w:rPr>
          <w:t xml:space="preserve">https://CRAN.R-project.org/package=apaTables</w:t>
        </w:r>
      </w:hyperlink>
    </w:p>
    <w:bookmarkEnd w:id="74"/>
    <w:bookmarkStart w:id="75" w:name="ref-trogolo2020work"/>
    <w:p>
      <w:pPr>
        <w:pStyle w:val="Literaturverzeichnis"/>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
        </w:rPr>
        <w:t xml:space="preserve">European Journal of Work and Organizational Psychology</w:t>
      </w:r>
      <w:r>
        <w:t xml:space="preserve">,</w:t>
      </w:r>
      <w:r>
        <w:t xml:space="preserve"> </w:t>
      </w:r>
      <w:r>
        <w:rPr>
          <w:i/>
        </w:rPr>
        <w:t xml:space="preserve">29</w:t>
      </w:r>
      <w:r>
        <w:t xml:space="preserve">(6), 922–937.</w:t>
      </w:r>
    </w:p>
    <w:bookmarkEnd w:id="75"/>
    <w:bookmarkStart w:id="77"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76">
        <w:r>
          <w:rPr>
            <w:rStyle w:val="Hyperlink"/>
          </w:rPr>
          <w:t xml:space="preserve">https://ggplot2.tidyverse.org</w:t>
        </w:r>
      </w:hyperlink>
    </w:p>
    <w:bookmarkEnd w:id="77"/>
    <w:bookmarkStart w:id="79"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78">
        <w:r>
          <w:rPr>
            <w:rStyle w:val="Hyperlink"/>
          </w:rPr>
          <w:t xml:space="preserve">https://CRAN.R-project.org/package=stringr</w:t>
        </w:r>
      </w:hyperlink>
    </w:p>
    <w:bookmarkEnd w:id="79"/>
    <w:bookmarkStart w:id="81" w:name="ref-R-forcats"/>
    <w:p>
      <w:pPr>
        <w:pStyle w:val="Literaturverzeichnis"/>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0">
        <w:r>
          <w:rPr>
            <w:rStyle w:val="Hyperlink"/>
          </w:rPr>
          <w:t xml:space="preserve">https://CRAN.R-project.org/package=forcats</w:t>
        </w:r>
      </w:hyperlink>
    </w:p>
    <w:bookmarkEnd w:id="81"/>
    <w:bookmarkStart w:id="83" w:name="ref-R-tidyr"/>
    <w:p>
      <w:pPr>
        <w:pStyle w:val="Literaturverzeichnis"/>
        <w:pStyle w:val="Literaturverzeichnis"/>
      </w:pPr>
      <w:r>
        <w:t xml:space="preserve">Wickham, H. (2021b).</w:t>
      </w:r>
      <w:r>
        <w:t xml:space="preserve"> </w:t>
      </w:r>
      <w:r>
        <w:rPr>
          <w:i/>
        </w:rPr>
        <w:t xml:space="preserve">Tidyr: Tidy messy data</w:t>
      </w:r>
      <w:r>
        <w:t xml:space="preserve">.</w:t>
      </w:r>
      <w:r>
        <w:t xml:space="preserve"> </w:t>
      </w:r>
      <w:hyperlink r:id="rId82">
        <w:r>
          <w:rPr>
            <w:rStyle w:val="Hyperlink"/>
          </w:rPr>
          <w:t xml:space="preserve">https://CRAN.R-project.org/package=tidyr</w:t>
        </w:r>
      </w:hyperlink>
    </w:p>
    <w:bookmarkEnd w:id="83"/>
    <w:bookmarkStart w:id="85" w:name="ref-R-tidyverse"/>
    <w:p>
      <w:pPr>
        <w:pStyle w:val="Literaturverzeichnis"/>
        <w:pStyle w:val="Literaturverzeichnis"/>
      </w:pPr>
      <w:r>
        <w:t xml:space="preserve">Wickham, H., Averick, M., Bryan, J., Chang, W., McGowan, L. D., François, R., Grolemund, G., Hayes, A., Henry, L., Hester, J., Kuhn, M., Pedersen, T. L., Miller, E., Bache, S. M., Müller, K., Ooms, J., Robinson, D., Seidel, D. P., Spinu, V.,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4">
        <w:r>
          <w:rPr>
            <w:rStyle w:val="Hyperlink"/>
          </w:rPr>
          <w:t xml:space="preserve">https://doi.org/10.21105/joss.01686</w:t>
        </w:r>
      </w:hyperlink>
    </w:p>
    <w:bookmarkEnd w:id="85"/>
    <w:bookmarkStart w:id="87" w:name="ref-R-dplyr"/>
    <w:p>
      <w:pPr>
        <w:pStyle w:val="Literaturverzeichnis"/>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86">
        <w:r>
          <w:rPr>
            <w:rStyle w:val="Hyperlink"/>
          </w:rPr>
          <w:t xml:space="preserve">https://CRAN.R-project.org/package=dplyr</w:t>
        </w:r>
      </w:hyperlink>
    </w:p>
    <w:bookmarkEnd w:id="87"/>
    <w:bookmarkStart w:id="89" w:name="ref-R-readr"/>
    <w:p>
      <w:pPr>
        <w:pStyle w:val="Literaturverzeichnis"/>
        <w:pStyle w:val="Literaturverzeichnis"/>
      </w:pPr>
      <w:r>
        <w:t xml:space="preserve">Wickham, H., &amp; Hester, J. (2020).</w:t>
      </w:r>
      <w:r>
        <w:t xml:space="preserve"> </w:t>
      </w:r>
      <w:r>
        <w:rPr>
          <w:i/>
        </w:rPr>
        <w:t xml:space="preserve">Readr: Read rectangular text data</w:t>
      </w:r>
      <w:r>
        <w:t xml:space="preserve">.</w:t>
      </w:r>
      <w:r>
        <w:t xml:space="preserve"> </w:t>
      </w:r>
      <w:hyperlink r:id="rId88">
        <w:r>
          <w:rPr>
            <w:rStyle w:val="Hyperlink"/>
          </w:rPr>
          <w:t xml:space="preserve">https://CRAN.R-project.org/package=readr</w:t>
        </w:r>
      </w:hyperlink>
    </w:p>
    <w:bookmarkEnd w:id="89"/>
    <w:bookmarkStart w:id="91" w:name="ref-willmer_exploratory_2019"/>
    <w:p>
      <w:pPr>
        <w:pStyle w:val="Literaturverzeichnis"/>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0">
        <w:r>
          <w:rPr>
            <w:rStyle w:val="Hyperlink"/>
          </w:rPr>
          <w:t xml:space="preserve">https://doi.org/10.3389/fpsyg.2019.02771</w:t>
        </w:r>
      </w:hyperlink>
    </w:p>
    <w:bookmarkEnd w:id="91"/>
    <w:bookmarkStart w:id="93" w:name="ref-R-DT"/>
    <w:p>
      <w:pPr>
        <w:pStyle w:val="Literaturverzeichnis"/>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2">
        <w:r>
          <w:rPr>
            <w:rStyle w:val="Hyperlink"/>
          </w:rPr>
          <w:t xml:space="preserve">https://CRAN.R-project.org/package=DT</w:t>
        </w:r>
      </w:hyperlink>
    </w:p>
    <w:bookmarkEnd w:id="93"/>
    <w:bookmarkStart w:id="95" w:name="ref-R-kableExtra"/>
    <w:p>
      <w:pPr>
        <w:pStyle w:val="Literaturverzeichnis"/>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4">
        <w:r>
          <w:rPr>
            <w:rStyle w:val="Hyperlink"/>
          </w:rPr>
          <w:t xml:space="preserve">https://CRAN.R-project.org/package=kableExtra</w:t>
        </w:r>
      </w:hyperlink>
    </w:p>
    <w:bookmarkEnd w:id="95"/>
    <w:bookmarkEnd w:id="9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92" Target="https://CRAN.R-project.org/package=DT" TargetMode="External" /><Relationship Type="http://schemas.openxmlformats.org/officeDocument/2006/relationships/hyperlink" Id="rId73" Target="https://CRAN.R-project.org/package=apaTables" TargetMode="External" /><Relationship Type="http://schemas.openxmlformats.org/officeDocument/2006/relationships/hyperlink" Id="rId86" Target="https://CRAN.R-project.org/package=dplyr" TargetMode="External" /><Relationship Type="http://schemas.openxmlformats.org/officeDocument/2006/relationships/hyperlink" Id="rId80" Target="https://CRAN.R-project.org/package=forcats" TargetMode="External" /><Relationship Type="http://schemas.openxmlformats.org/officeDocument/2006/relationships/hyperlink" Id="rId94" Target="https://CRAN.R-project.org/package=kableExtra" TargetMode="External" /><Relationship Type="http://schemas.openxmlformats.org/officeDocument/2006/relationships/hyperlink" Id="rId56"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1"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7" Target="https://CRAN.R-project.org/package=sem" TargetMode="External" /><Relationship Type="http://schemas.openxmlformats.org/officeDocument/2006/relationships/hyperlink" Id="rId45" Target="https://CRAN.R-project.org/package=semPlot" TargetMode="External" /><Relationship Type="http://schemas.openxmlformats.org/officeDocument/2006/relationships/hyperlink" Id="rId78"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82" Target="https://CRAN.R-project.org/package=tidyr" TargetMode="External" /><Relationship Type="http://schemas.openxmlformats.org/officeDocument/2006/relationships/hyperlink" Id="rId49" Target="https://doi.org/10.1016/j.jvb.2020.103430" TargetMode="External" /><Relationship Type="http://schemas.openxmlformats.org/officeDocument/2006/relationships/hyperlink" Id="rId54" Target="https://doi.org/10.1027/1016-9040/a000364" TargetMode="External" /><Relationship Type="http://schemas.openxmlformats.org/officeDocument/2006/relationships/hyperlink" Id="rId64" Target="https://doi.org/10.1080/00273171.2012.715555" TargetMode="External" /><Relationship Type="http://schemas.openxmlformats.org/officeDocument/2006/relationships/hyperlink" Id="rId58" Target="https://doi.org/10.13075/ijomeh.1896.00947" TargetMode="External" /><Relationship Type="http://schemas.openxmlformats.org/officeDocument/2006/relationships/hyperlink" Id="rId84" Target="https://doi.org/10.21105/joss.01686" TargetMode="External" /><Relationship Type="http://schemas.openxmlformats.org/officeDocument/2006/relationships/hyperlink" Id="rId90" Target="https://doi.org/10.3389/fpsyg.2019.02771" TargetMode="External" /><Relationship Type="http://schemas.openxmlformats.org/officeDocument/2006/relationships/hyperlink" Id="rId76"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2" Target="https://www.R-project.org/" TargetMode="External" /><Relationship Type="http://schemas.openxmlformats.org/officeDocument/2006/relationships/hyperlink" Id="rId67"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2" Target="https://CRAN.R-project.org/package=DT" TargetMode="External" /><Relationship Type="http://schemas.openxmlformats.org/officeDocument/2006/relationships/hyperlink" Id="rId73" Target="https://CRAN.R-project.org/package=apaTables" TargetMode="External" /><Relationship Type="http://schemas.openxmlformats.org/officeDocument/2006/relationships/hyperlink" Id="rId86" Target="https://CRAN.R-project.org/package=dplyr" TargetMode="External" /><Relationship Type="http://schemas.openxmlformats.org/officeDocument/2006/relationships/hyperlink" Id="rId80" Target="https://CRAN.R-project.org/package=forcats" TargetMode="External" /><Relationship Type="http://schemas.openxmlformats.org/officeDocument/2006/relationships/hyperlink" Id="rId94" Target="https://CRAN.R-project.org/package=kableExtra" TargetMode="External" /><Relationship Type="http://schemas.openxmlformats.org/officeDocument/2006/relationships/hyperlink" Id="rId56"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1"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7" Target="https://CRAN.R-project.org/package=sem" TargetMode="External" /><Relationship Type="http://schemas.openxmlformats.org/officeDocument/2006/relationships/hyperlink" Id="rId45" Target="https://CRAN.R-project.org/package=semPlot" TargetMode="External" /><Relationship Type="http://schemas.openxmlformats.org/officeDocument/2006/relationships/hyperlink" Id="rId78"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82" Target="https://CRAN.R-project.org/package=tidyr" TargetMode="External" /><Relationship Type="http://schemas.openxmlformats.org/officeDocument/2006/relationships/hyperlink" Id="rId49" Target="https://doi.org/10.1016/j.jvb.2020.103430" TargetMode="External" /><Relationship Type="http://schemas.openxmlformats.org/officeDocument/2006/relationships/hyperlink" Id="rId54" Target="https://doi.org/10.1027/1016-9040/a000364" TargetMode="External" /><Relationship Type="http://schemas.openxmlformats.org/officeDocument/2006/relationships/hyperlink" Id="rId64" Target="https://doi.org/10.1080/00273171.2012.715555" TargetMode="External" /><Relationship Type="http://schemas.openxmlformats.org/officeDocument/2006/relationships/hyperlink" Id="rId58" Target="https://doi.org/10.13075/ijomeh.1896.00947" TargetMode="External" /><Relationship Type="http://schemas.openxmlformats.org/officeDocument/2006/relationships/hyperlink" Id="rId84" Target="https://doi.org/10.21105/joss.01686" TargetMode="External" /><Relationship Type="http://schemas.openxmlformats.org/officeDocument/2006/relationships/hyperlink" Id="rId90" Target="https://doi.org/10.3389/fpsyg.2019.02771" TargetMode="External" /><Relationship Type="http://schemas.openxmlformats.org/officeDocument/2006/relationships/hyperlink" Id="rId76"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2" Target="https://www.R-project.org/" TargetMode="External" /><Relationship Type="http://schemas.openxmlformats.org/officeDocument/2006/relationships/hyperlink" Id="rId67"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Intended Bifactor Engagement Measure</dc:title>
  <dc:creator/>
  <cp:keywords/>
  <dcterms:created xsi:type="dcterms:W3CDTF">2021-10-12T17:24:20Z</dcterms:created>
  <dcterms:modified xsi:type="dcterms:W3CDTF">2021-10-12T17:24:20Z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Title: 85 characters; Abstract: 600 characters Word count: 3,000 words Remove names</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