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Postal address. E-mail:</w:t>
      </w:r>
      <w:r>
        <w:t xml:space="preserve"> </w:t>
      </w:r>
      <w:hyperlink r:id="rId20">
        <w:r>
          <w:rPr>
            <w:rStyle w:val="Hyperlink"/>
          </w:rPr>
          <w:t xml:space="preserve">my@email.com</w:t>
        </w:r>
      </w:hyperlink>
    </w:p>
    <w:p>
      <w:pPr>
        <w:pStyle w:val="h1-pagebreak"/>
      </w:pPr>
      <w:r>
        <w:t xml:space="preserve">Abstract</w:t>
      </w:r>
    </w:p>
    <w:p>
      <w:pPr>
        <w:pStyle w:val="Textkrper"/>
      </w:pPr>
      <w:r>
        <w:t xml:space="preserve">Employee engagement has, in recent years, enjoyed a surge in popularity as a positive employee outcome.</w:t>
      </w:r>
      <w:r>
        <w:t xml:space="preserve"> </w:t>
      </w:r>
      <w:r>
        <w:t xml:space="preserve">Despite this burgeoning interest, disagreement still remains regarding its factor structure and nomological relationship with similar concepts, such as burnout.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Engagement, engagement</w:t>
      </w:r>
    </w:p>
    <w:p>
      <w:pPr>
        <w:pStyle w:val="Textkrper"/>
      </w:pPr>
      <w:r>
        <w:rPr>
          <w:iCs/>
          <w:i/>
        </w:rPr>
        <w:t xml:space="preserve">Word count:</w:t>
      </w:r>
      <w:r>
        <w:t xml:space="preserve"> </w:t>
      </w:r>
      <w:r>
        <w:t xml:space="preserve">X</w:t>
      </w:r>
    </w:p>
    <w:p>
      <w:pPr>
        <w:pStyle w:val="h1-pagebreak"/>
      </w:pPr>
      <w:r>
        <w:t xml:space="preserve">Development of an Intentional BiFactor Engagement Measure</w:t>
      </w:r>
    </w:p>
    <w:p>
      <w:pPr>
        <w:pStyle w:val="Textkrper"/>
      </w:pPr>
      <w:r>
        <w:t xml:space="preserve">The roots of employee</w:t>
      </w:r>
      <w:r>
        <w:t xml:space="preserve"> </w:t>
      </w:r>
      <w:r>
        <w:t xml:space="preserve">(aka work; e.g., W. Schaufeli &amp; Bakker, 2010)</w:t>
      </w:r>
      <w:r>
        <w:t xml:space="preserve"> </w:t>
      </w:r>
      <w:r>
        <w:t xml:space="preserve">engagement research likely started with theoretical expansions of forms of employee participation</w:t>
      </w:r>
      <w:r>
        <w:t xml:space="preserve"> </w:t>
      </w:r>
      <w:r>
        <w:t xml:space="preserve">(see, for example, Ferris &amp; Hellier, 1984)</w:t>
      </w:r>
      <w:r>
        <w:t xml:space="preserve"> </w:t>
      </w:r>
      <w:r>
        <w:t xml:space="preserve">and job involvement</w:t>
      </w:r>
      <w:r>
        <w:t xml:space="preserve"> </w:t>
      </w:r>
      <w:r>
        <w:t xml:space="preserve">(e.g., Elloy, Everett, &amp; Flynn, 1991)</w:t>
      </w:r>
      <w:r>
        <w:t xml:space="preserve">. This exploration extended into broader considerations of attitudes and emotions</w:t>
      </w:r>
      <w:r>
        <w:t xml:space="preserve"> </w:t>
      </w:r>
      <w:r>
        <w:t xml:space="preserve">(Staw, Sutton, &amp; Pelled, 1994)</w:t>
      </w:r>
      <w:r>
        <w:t xml:space="preserve"> </w:t>
      </w:r>
      <w:r>
        <w:t xml:space="preserve">and were informed by further exploration of the dimensionality of constructs such as organizational commitment</w:t>
      </w:r>
      <w:r>
        <w:t xml:space="preserve"> </w:t>
      </w:r>
      <w:r>
        <w:t xml:space="preserve">(Meyer &amp; Allen, 1991)</w:t>
      </w:r>
      <w:r>
        <w:t xml:space="preserve">. The 1990’s saw focused development and refinement (for example, a dissertation;</w:t>
      </w:r>
      <w:r>
        <w:t xml:space="preserve"> </w:t>
      </w:r>
      <w:r>
        <w:t xml:space="preserve">Leone (1995)</w:t>
      </w:r>
      <w:r>
        <w:t xml:space="preserve"> </w:t>
      </w:r>
      <w:r>
        <w:t xml:space="preserve">or actual semantic reference;</w:t>
      </w:r>
      <w:r>
        <w:t xml:space="preserve"> </w:t>
      </w:r>
      <w:r>
        <w:t xml:space="preserve">Kahn (1990)</w:t>
      </w:r>
      <w:r>
        <w:t xml:space="preserve">).</w:t>
      </w:r>
      <w:r>
        <w:t xml:space="preserve"> </w:t>
      </w:r>
      <w:r>
        <w:t xml:space="preserve">Staw, Sutton, and Pelled (1994)</w:t>
      </w:r>
      <w:r>
        <w:t xml:space="preserve"> </w:t>
      </w:r>
      <w:r>
        <w:t xml:space="preserve">investigated the relationships between</w:t>
      </w:r>
      <w:r>
        <w:t xml:space="preserve"> </w:t>
      </w:r>
      <w:r>
        <w:rPr>
          <w:iCs/>
          <w:i/>
        </w:rPr>
        <w:t xml:space="preserve">positive emotions</w:t>
      </w:r>
      <w:r>
        <w:t xml:space="preserve"> </w:t>
      </w:r>
      <w:r>
        <w:t xml:space="preserve">and favorable work outcomes, and although they do not use the word,</w:t>
      </w:r>
      <w:r>
        <w:t xml:space="preserve"> </w:t>
      </w:r>
      <w:r>
        <w:t xml:space="preserve">“</w:t>
      </w:r>
      <w:r>
        <w:t xml:space="preserve">engagement,</w:t>
      </w:r>
      <w:r>
        <w:t xml:space="preserve">”</w:t>
      </w:r>
      <w:r>
        <w:t xml:space="preserve"> </w:t>
      </w:r>
      <w:r>
        <w:t xml:space="preserve">their distinction between felt and expressed emotion likely held influence upon the burgeoning interest in the engagement construct.</w:t>
      </w:r>
    </w:p>
    <w:p>
      <w:pPr>
        <w:pStyle w:val="Textkrper"/>
      </w:pPr>
      <w:r>
        <w:t xml:space="preserve">Kahn (1990)</w:t>
      </w:r>
      <w:r>
        <w:t xml:space="preserve"> </w:t>
      </w:r>
      <w:r>
        <w:t xml:space="preserve">described engaged employees as being physically involved, cognitively vigilant, and emotionally connected. Although occasionally referred to as residing on the opposing pole to</w:t>
      </w:r>
      <w:r>
        <w:t xml:space="preserve"> </w:t>
      </w:r>
      <w:r>
        <w:rPr>
          <w:iCs/>
          <w:i/>
        </w:rPr>
        <w:t xml:space="preserve">burnout</w:t>
      </w:r>
      <w:r>
        <w:t xml:space="preserve"> </w:t>
      </w:r>
      <w:r>
        <w:t xml:space="preserve">(Christina Maslach &amp; Leiter, 2008)</w:t>
      </w:r>
      <w:r>
        <w:t xml:space="preserve">, these two constructs are currently most commonly conceptualized as being distinct</w:t>
      </w:r>
      <w:r>
        <w:t xml:space="preserve"> </w:t>
      </w:r>
      <w:r>
        <w:t xml:space="preserve">(Goering, Shimazu, Zhou, Wada, &amp; Sakai, 2017; Kim, Shin, &amp; Swanger, 2009; Wilmar B. Schaufeli, Taris, &amp; Van Rhenen, 2008; Timms, Brough, &amp; Graham, 2012)</w:t>
      </w:r>
      <w:r>
        <w:t xml:space="preserve">, although certainly not universally</w:t>
      </w:r>
      <w:r>
        <w:t xml:space="preserve"> </w:t>
      </w:r>
      <w:r>
        <w:t xml:space="preserve">(Cole, Walter, Bedeian, &amp; O’Boyle, 2012; Taris, Ybema, &amp; Beek, 2017)</w:t>
      </w:r>
      <w:r>
        <w:t xml:space="preserve">. Comparing the two,</w:t>
      </w:r>
      <w:r>
        <w:t xml:space="preserve"> </w:t>
      </w:r>
      <w:r>
        <w:t xml:space="preserve">Goering, Shimazu, Zhou, Wada, and Sakai (2017)</w:t>
      </w:r>
      <w:r>
        <w:t xml:space="preserve"> </w:t>
      </w:r>
      <w:r>
        <w:t xml:space="preserve">concluded that they have a moderate (negative) association, but also distinct nomological networks.</w:t>
      </w:r>
      <w:r>
        <w:t xml:space="preserve"> </w:t>
      </w:r>
      <w:r>
        <w:t xml:space="preserve">Wilmar B. Schaufeli, Taris, and Van Rhenen (2008)</w:t>
      </w:r>
      <w:r>
        <w:t xml:space="preserve"> </w:t>
      </w:r>
      <w:r>
        <w:t xml:space="preserve">investigated both internal and external association indicators, concluding that engagement and burnout (as well as</w:t>
      </w:r>
      <w:r>
        <w:t xml:space="preserve"> </w:t>
      </w:r>
      <w:r>
        <w:rPr>
          <w:iCs/>
          <w:i/>
        </w:rPr>
        <w:t xml:space="preserve">workaholism</w:t>
      </w:r>
      <w:r>
        <w:t xml:space="preserve">) should be considered three distinct constructs.</w:t>
      </w:r>
    </w:p>
    <w:p>
      <w:pPr>
        <w:pStyle w:val="Textkrper"/>
      </w:pPr>
      <w:r>
        <w:t xml:space="preserve">Burnout can be defined as a psychological syndrome characterized by exhaustion (low energy), cynicism (low involvement), and inefficacy (low self-efficacy), which is experienced in response to chronic job stressors</w:t>
      </w:r>
      <w:r>
        <w:t xml:space="preserve"> </w:t>
      </w:r>
      <w:r>
        <w:t xml:space="preserve">(e.g., Leiter &amp; Maslach, 2004; C. Maslach &amp; Leiter, 1997)</w:t>
      </w:r>
      <w:r>
        <w:t xml:space="preserve">. Alternatively, engagement refers to an individual worker’s involvement and satisfaction as well as enthusiasm for work</w:t>
      </w:r>
      <w:r>
        <w:t xml:space="preserve"> </w:t>
      </w:r>
      <w:r>
        <w:t xml:space="preserve">(Harter, Schmidt, &amp; Hayes, 2002)</w:t>
      </w:r>
      <w:r>
        <w:t xml:space="preserve">.</w:t>
      </w:r>
      <w:r>
        <w:t xml:space="preserve"> </w:t>
      </w:r>
      <w:r>
        <w:t xml:space="preserve">W. B. Schaufeli and Bakker (2003)</w:t>
      </w:r>
      <w:r>
        <w:t xml:space="preserve"> </w:t>
      </w:r>
      <w:r>
        <w:t xml:space="preserve">further specify a</w:t>
      </w:r>
      <w:r>
        <w:t xml:space="preserve"> </w:t>
      </w:r>
      <w:r>
        <w:t xml:space="preserve">“</w:t>
      </w:r>
      <w:r>
        <w:t xml:space="preserve">positive, fulfilling, work-related state of mind that is characterized by vigor, dedication, and absorption</w:t>
      </w:r>
      <w:r>
        <w:t xml:space="preserve">”</w:t>
      </w:r>
      <w:r>
        <w:t xml:space="preserve"> </w:t>
      </w:r>
      <w:r>
        <w:t xml:space="preserve">(p. 74). Via their conceptualization, vigor is described as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 </w:t>
      </w:r>
      <w:r>
        <w:t xml:space="preserve">(Wilmar B. Schaufeli, Salanova, González-Romá, &amp; Bakker, 2002)</w:t>
      </w:r>
      <w:r>
        <w:t xml:space="preserve">. This absorption element has been noted as being influenced in conceptual specification by</w:t>
      </w:r>
      <w:r>
        <w:t xml:space="preserve"> </w:t>
      </w:r>
      <w:r>
        <w:t xml:space="preserve">(Csikszentmihalyi, 1990)</w:t>
      </w:r>
      <w:r>
        <w:t xml:space="preserve">’s concept of</w:t>
      </w:r>
      <w:r>
        <w:t xml:space="preserve"> </w:t>
      </w:r>
      <w:r>
        <w:t xml:space="preserve">“</w:t>
      </w:r>
      <w:r>
        <w:t xml:space="preserve">flow.</w:t>
      </w:r>
      <w:r>
        <w:t xml:space="preserve">”</w:t>
      </w:r>
    </w:p>
    <w:p>
      <w:pPr>
        <w:pStyle w:val="Textkrper"/>
      </w:pPr>
      <w:r>
        <w:t xml:space="preserve">Regarding measurement, Gallup is widely acknowledged as an early pioneer in the measurement of the construct</w:t>
      </w:r>
      <w:r>
        <w:t xml:space="preserve"> </w:t>
      </w:r>
      <w:r>
        <w:t xml:space="preserve">(see, for example, Coffman &amp; Harter, 1999)</w:t>
      </w:r>
      <w:r>
        <w:t xml:space="preserve">. The Utrecht Work Engagement Scale (UWES) is another self-report questionnaire developed by</w:t>
      </w:r>
      <w:r>
        <w:t xml:space="preserve"> </w:t>
      </w:r>
      <w:r>
        <w:t xml:space="preserve">W. B. Schaufeli and Bakker (2003)</w:t>
      </w:r>
      <w:r>
        <w:t xml:space="preserve"> </w:t>
      </w:r>
      <w:r>
        <w:t xml:space="preserve">that directly assesses the vigor, dedication, and absorption elements.</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Our conceptualization of work engagement is a mental state wherein employees…</w:t>
      </w:r>
    </w:p>
    <w:p>
      <w:pPr>
        <w:numPr>
          <w:ilvl w:val="0"/>
          <w:numId w:val="1001"/>
        </w:numPr>
        <w:pStyle w:val="Compact"/>
      </w:pPr>
      <w:r>
        <w:t xml:space="preserve">…feel energized (</w:t>
      </w:r>
      <w:r>
        <w:rPr>
          <w:bCs/>
          <w:b/>
        </w:rPr>
        <w:t xml:space="preserve">Vigor</w:t>
      </w:r>
      <w:r>
        <w:t xml:space="preserve">)</w:t>
      </w:r>
    </w:p>
    <w:p>
      <w:pPr>
        <w:numPr>
          <w:ilvl w:val="0"/>
          <w:numId w:val="1001"/>
        </w:numPr>
        <w:pStyle w:val="Compact"/>
      </w:pPr>
      <w:r>
        <w:t xml:space="preserve">…are enthusiastic about the content of their work and the things they do (</w:t>
      </w:r>
      <w:r>
        <w:rPr>
          <w:bCs/>
          <w:b/>
        </w:rPr>
        <w:t xml:space="preserve">Dedication</w:t>
      </w:r>
      <w:r>
        <w:t xml:space="preserve">)</w:t>
      </w:r>
    </w:p>
    <w:p>
      <w:pPr>
        <w:numPr>
          <w:ilvl w:val="0"/>
          <w:numId w:val="1001"/>
        </w:numPr>
        <w:pStyle w:val="Compact"/>
      </w:pPr>
      <w:r>
        <w:t xml:space="preserve">…are so immersed in their work activities that time seems compressed (</w:t>
      </w:r>
      <w:r>
        <w:rPr>
          <w:bCs/>
          <w:b/>
        </w:rPr>
        <w:t xml:space="preserve">Absorption</w:t>
      </w:r>
      <w:r>
        <w:t xml:space="preserve">)</w:t>
      </w:r>
    </w:p>
    <w:bookmarkStart w:id="27" w:name="methods"/>
    <w:p>
      <w:pPr>
        <w:pStyle w:val="berschrift1"/>
      </w:pPr>
      <w:r>
        <w:rPr>
          <w:rStyle w:val="SectionNumber"/>
        </w:rPr>
        <w:t xml:space="preserve">1</w:t>
      </w:r>
      <w:r>
        <w:tab/>
      </w:r>
      <w:r>
        <w:t xml:space="preserve">Methods</w:t>
      </w:r>
    </w:p>
    <w:tbl>
      <w:tblPr>
        <w:tblStyle w:val="Table"/>
        <w:tblW w:type="pct" w:w="0.0"/>
        <w:tblLook w:firstRow="1" w:lastRow="0" w:firstColumn="0" w:lastColumn="0" w:noHBand="0" w:noVBand="0" w:val="0020"/>
      </w:tblPr>
      <w:tblGrid/>
      <w:tr>
        <w:tc>
          <w:p>
            <w:pPr>
              <w:pStyle w:val="Compact"/>
              <w:jc w:val="left"/>
            </w:pPr>
            <w:r>
              <w:t xml:space="preserve">Cell</w:t>
            </w:r>
          </w:p>
        </w:tc>
        <w:tc>
          <w:p>
            <w:pPr>
              <w:pStyle w:val="Compact"/>
              <w:jc w:val="left"/>
            </w:pPr>
            <w:r>
              <w:t xml:space="preserve">Alpha</w:t>
            </w:r>
          </w:p>
        </w:tc>
      </w:tr>
      <w:tr>
        <w:tc>
          <w:p>
            <w:pPr>
              <w:pStyle w:val="Compact"/>
              <w:jc w:val="left"/>
            </w:pPr>
            <w:r>
              <w:t xml:space="preserve">Affective - Absorption</w:t>
            </w:r>
          </w:p>
        </w:tc>
        <w:tc>
          <w:p>
            <w:pPr>
              <w:pStyle w:val="Compact"/>
              <w:jc w:val="left"/>
            </w:pPr>
            <w:r>
              <w:t xml:space="preserve">r round(aff.abs</w:t>
            </w:r>
            <m:oMath>
              <m:r>
                <m:t>t</m:t>
              </m:r>
              <m:r>
                <m:t>o</m:t>
              </m:r>
              <m:r>
                <m:t>t</m:t>
              </m:r>
              <m:r>
                <m:t>a</m:t>
              </m:r>
              <m:r>
                <m:t>l</m:t>
              </m:r>
            </m:oMath>
            <w:r>
              <w:t xml:space="preserve">raw_alpha, 2)</w:t>
            </w:r>
          </w:p>
        </w:tc>
      </w:tr>
      <w:tr>
        <w:tc>
          <w:p>
            <w:pPr>
              <w:pStyle w:val="Compact"/>
              <w:jc w:val="left"/>
            </w:pPr>
            <w:r>
              <w:t xml:space="preserve">Affective - Vigor</w:t>
            </w:r>
          </w:p>
        </w:tc>
        <w:tc>
          <w:p>
            <w:pPr>
              <w:pStyle w:val="Compact"/>
              <w:jc w:val="left"/>
            </w:pPr>
            <w:r>
              <w:t xml:space="preserve">r round(aff.vig</w:t>
            </w:r>
            <m:oMath>
              <m:r>
                <m:t>t</m:t>
              </m:r>
              <m:r>
                <m:t>o</m:t>
              </m:r>
              <m:r>
                <m:t>t</m:t>
              </m:r>
              <m:r>
                <m:t>a</m:t>
              </m:r>
              <m:r>
                <m:t>l</m:t>
              </m:r>
            </m:oMath>
            <w:r>
              <w:t xml:space="preserve">raw_alpha, 2)</w:t>
            </w:r>
          </w:p>
        </w:tc>
      </w:tr>
      <w:tr>
        <w:tc>
          <w:p>
            <w:pPr>
              <w:pStyle w:val="Compact"/>
              <w:jc w:val="left"/>
            </w:pPr>
            <w:r>
              <w:t xml:space="preserve">Affective - Dedication</w:t>
            </w:r>
          </w:p>
        </w:tc>
        <w:tc>
          <w:p>
            <w:pPr>
              <w:pStyle w:val="Compact"/>
              <w:jc w:val="left"/>
            </w:pPr>
            <w:r>
              <w:t xml:space="preserve">r round(aff.ded</w:t>
            </w:r>
            <m:oMath>
              <m:r>
                <m:t>t</m:t>
              </m:r>
              <m:r>
                <m:t>o</m:t>
              </m:r>
              <m:r>
                <m:t>t</m:t>
              </m:r>
              <m:r>
                <m:t>a</m:t>
              </m:r>
              <m:r>
                <m:t>l</m:t>
              </m:r>
            </m:oMath>
            <w:r>
              <w:t xml:space="preserve">raw_alpha, 2)</w:t>
            </w:r>
          </w:p>
        </w:tc>
      </w:tr>
      <w:tr>
        <w:tc>
          <w:p/>
        </w:tc>
        <w:tc>
          <w:p/>
        </w:tc>
      </w:tr>
      <w:tr>
        <w:tc>
          <w:p>
            <w:pPr>
              <w:pStyle w:val="Compact"/>
              <w:jc w:val="left"/>
            </w:pPr>
            <w:r>
              <w:t xml:space="preserve">Behavioral - Absorption</w:t>
            </w:r>
          </w:p>
        </w:tc>
        <w:tc>
          <w:p>
            <w:pPr>
              <w:pStyle w:val="Compact"/>
              <w:jc w:val="left"/>
            </w:pPr>
            <w:r>
              <w:t xml:space="preserve">r round(beh.abs</w:t>
            </w:r>
            <m:oMath>
              <m:r>
                <m:t>t</m:t>
              </m:r>
              <m:r>
                <m:t>o</m:t>
              </m:r>
              <m:r>
                <m:t>t</m:t>
              </m:r>
              <m:r>
                <m:t>a</m:t>
              </m:r>
              <m:r>
                <m:t>l</m:t>
              </m:r>
            </m:oMath>
            <w:r>
              <w:t xml:space="preserve">raw_alpha, 2)</w:t>
            </w:r>
          </w:p>
        </w:tc>
      </w:tr>
      <w:tr>
        <w:tc>
          <w:p>
            <w:pPr>
              <w:pStyle w:val="Compact"/>
              <w:jc w:val="left"/>
            </w:pPr>
            <w:r>
              <w:t xml:space="preserve">Behavioral - Vigor</w:t>
            </w:r>
          </w:p>
        </w:tc>
        <w:tc>
          <w:p>
            <w:pPr>
              <w:pStyle w:val="Compact"/>
              <w:jc w:val="left"/>
            </w:pPr>
            <w:r>
              <w:t xml:space="preserve">r round(beh.vig</w:t>
            </w:r>
            <m:oMath>
              <m:r>
                <m:t>t</m:t>
              </m:r>
              <m:r>
                <m:t>o</m:t>
              </m:r>
              <m:r>
                <m:t>t</m:t>
              </m:r>
              <m:r>
                <m:t>a</m:t>
              </m:r>
              <m:r>
                <m:t>l</m:t>
              </m:r>
            </m:oMath>
            <w:r>
              <w:t xml:space="preserve">raw_alpha, 2)</w:t>
            </w:r>
          </w:p>
        </w:tc>
      </w:tr>
      <w:tr>
        <w:tc>
          <w:p>
            <w:pPr>
              <w:pStyle w:val="Compact"/>
              <w:jc w:val="left"/>
            </w:pPr>
            <w:r>
              <w:t xml:space="preserve">Behavioral - Dedication</w:t>
            </w:r>
          </w:p>
        </w:tc>
        <w:tc>
          <w:p>
            <w:pPr>
              <w:pStyle w:val="Compact"/>
              <w:jc w:val="left"/>
            </w:pPr>
            <w:r>
              <w:t xml:space="preserve">r round(beh.ded</w:t>
            </w:r>
            <m:oMath>
              <m:r>
                <m:t>t</m:t>
              </m:r>
              <m:r>
                <m:t>o</m:t>
              </m:r>
              <m:r>
                <m:t>t</m:t>
              </m:r>
              <m:r>
                <m:t>a</m:t>
              </m:r>
              <m:r>
                <m:t>l</m:t>
              </m:r>
            </m:oMath>
            <w:r>
              <w:t xml:space="preserve">raw_alpha, 2)</w:t>
            </w:r>
          </w:p>
        </w:tc>
      </w:tr>
      <w:tr>
        <w:tc>
          <w:p/>
        </w:tc>
        <w:tc>
          <w:p/>
        </w:tc>
      </w:tr>
      <w:tr>
        <w:tc>
          <w:p>
            <w:pPr>
              <w:pStyle w:val="Compact"/>
              <w:jc w:val="left"/>
            </w:pPr>
            <w:r>
              <w:t xml:space="preserve">Cognitive - Absorption</w:t>
            </w:r>
          </w:p>
        </w:tc>
        <w:tc>
          <w:p>
            <w:pPr>
              <w:pStyle w:val="Compact"/>
              <w:jc w:val="left"/>
            </w:pPr>
            <w:r>
              <w:t xml:space="preserve">r round(cog.abs</w:t>
            </w:r>
            <m:oMath>
              <m:r>
                <m:t>t</m:t>
              </m:r>
              <m:r>
                <m:t>o</m:t>
              </m:r>
              <m:r>
                <m:t>t</m:t>
              </m:r>
              <m:r>
                <m:t>a</m:t>
              </m:r>
              <m:r>
                <m:t>l</m:t>
              </m:r>
            </m:oMath>
            <w:r>
              <w:t xml:space="preserve">raw_alpha, 2)</w:t>
            </w:r>
          </w:p>
        </w:tc>
      </w:tr>
      <w:tr>
        <w:tc>
          <w:p>
            <w:pPr>
              <w:pStyle w:val="Compact"/>
              <w:jc w:val="left"/>
            </w:pPr>
            <w:r>
              <w:t xml:space="preserve">Cognitive - Vigor</w:t>
            </w:r>
          </w:p>
        </w:tc>
        <w:tc>
          <w:p>
            <w:pPr>
              <w:pStyle w:val="Compact"/>
              <w:jc w:val="left"/>
            </w:pPr>
            <w:r>
              <w:t xml:space="preserve">r round(cog.vig</w:t>
            </w:r>
            <m:oMath>
              <m:r>
                <m:t>t</m:t>
              </m:r>
              <m:r>
                <m:t>o</m:t>
              </m:r>
              <m:r>
                <m:t>t</m:t>
              </m:r>
              <m:r>
                <m:t>a</m:t>
              </m:r>
              <m:r>
                <m:t>l</m:t>
              </m:r>
            </m:oMath>
            <w:r>
              <w:t xml:space="preserve">raw_alpha, 2)</w:t>
            </w:r>
          </w:p>
        </w:tc>
      </w:tr>
      <w:tr>
        <w:tc>
          <w:p>
            <w:pPr>
              <w:pStyle w:val="Compact"/>
              <w:jc w:val="left"/>
            </w:pPr>
            <w:r>
              <w:t xml:space="preserve">Cognitive - Dedication</w:t>
            </w:r>
          </w:p>
        </w:tc>
        <w:tc>
          <w:p>
            <w:pPr>
              <w:pStyle w:val="Compact"/>
              <w:jc w:val="left"/>
            </w:pPr>
            <w:r>
              <w:t xml:space="preserve">r round(cog.ded</w:t>
            </w:r>
            <m:oMath>
              <m:r>
                <m:t>t</m:t>
              </m:r>
              <m:r>
                <m:t>o</m:t>
              </m:r>
              <m:r>
                <m:t>t</m:t>
              </m:r>
              <m:r>
                <m:t>a</m:t>
              </m:r>
              <m:r>
                <m:t>l</m:t>
              </m:r>
            </m:oMath>
            <w:r>
              <w:t xml:space="preserve">raw_alpha, 2)</w:t>
            </w:r>
          </w:p>
        </w:tc>
      </w:tr>
    </w:tbl>
    <w:bookmarkStart w:id="21" w:name="participants"/>
    <w:p>
      <w:pPr>
        <w:pStyle w:val="berschrift2"/>
      </w:pPr>
      <w:r>
        <w:rPr>
          <w:rStyle w:val="SectionNumber"/>
        </w:rPr>
        <w:t xml:space="preserve">1.1</w:t>
      </w:r>
      <w:r>
        <w:tab/>
      </w:r>
      <w:r>
        <w:t xml:space="preserve">Participants</w:t>
      </w:r>
    </w:p>
    <w:p>
      <w:pPr>
        <w:pStyle w:val="FirstParagraph"/>
      </w:pPr>
      <w:r>
        <w:t xml:space="preserve">330 individuals provided ratings across 36 candidate items. These participants were gathered via snowball sampling.</w:t>
      </w:r>
    </w:p>
    <w:p>
      <w:pPr>
        <w:pStyle w:val="Textkrper"/>
      </w:pPr>
      <w:r>
        <w:t xml:space="preserve">Participant job title, hours worked per week, and organizational tenure were recorded.</w:t>
      </w:r>
    </w:p>
    <w:bookmarkEnd w:id="21"/>
    <w:bookmarkStart w:id="22" w:name="material"/>
    <w:p>
      <w:pPr>
        <w:pStyle w:val="berschrift2"/>
      </w:pPr>
      <w:r>
        <w:rPr>
          <w:rStyle w:val="SectionNumber"/>
        </w:rPr>
        <w:t xml:space="preserve">1.2</w:t>
      </w:r>
      <w:r>
        <w:tab/>
      </w:r>
      <w:r>
        <w:t xml:space="preserve">Material</w:t>
      </w:r>
    </w:p>
    <w:bookmarkEnd w:id="22"/>
    <w:bookmarkStart w:id="25" w:name="procedure"/>
    <w:p>
      <w:pPr>
        <w:pStyle w:val="berschrift2"/>
      </w:pPr>
      <w:r>
        <w:rPr>
          <w:rStyle w:val="SectionNumber"/>
        </w:rPr>
        <w:t xml:space="preserve">1.3</w:t>
      </w:r>
      <w:r>
        <w:tab/>
      </w:r>
      <w:r>
        <w:t xml:space="preserve">Procedure</w:t>
      </w:r>
    </w:p>
    <w:p>
      <w:pPr>
        <w:pStyle w:val="FirstParagraph"/>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 We report how we determined our sample size, all data exclusions (if any), all manipulations, and all measures in the study. We took two different approaches to determining final scale definitions: 1) focus on corrected item-total correlations, and 2) focus on CFA modificiation indices.</w:t>
      </w:r>
    </w:p>
    <w:bookmarkStart w:id="24" w:name="cfa-modification-indices"/>
    <w:p>
      <w:pPr>
        <w:pStyle w:val="berschrift3"/>
      </w:pPr>
      <w:r>
        <w:rPr>
          <w:rStyle w:val="SectionNumber"/>
        </w:rPr>
        <w:t xml:space="preserve">1.3.1</w:t>
      </w:r>
      <w:r>
        <w:tab/>
      </w:r>
      <w:r>
        <w:t xml:space="preserve">CFA Modification Indices.</w:t>
      </w:r>
    </w:p>
    <w:p>
      <w:pPr>
        <w:pStyle w:val="FirstParagraph"/>
      </w:pPr>
      <w:r>
        <w:t xml:space="preserve">Looking at the substantive and attitudinal models independently, we requested modification indices from each, with the intent of retaining indicators whose shared residual covariances were implicated as being</w:t>
      </w:r>
      <w:r>
        <w:t xml:space="preserve"> </w:t>
      </w:r>
      <w:r>
        <w:t xml:space="preserve">“</w:t>
      </w:r>
      <w:r>
        <w:t xml:space="preserve">freed.</w:t>
      </w:r>
      <w:r>
        <w:t xml:space="preserve">”</w:t>
      </w:r>
      <w:r>
        <w:t xml:space="preserve"> </w:t>
      </w:r>
      <w:r>
        <w:t xml:space="preserve">The path with the highest modification index across both CFA’s was between item2 and item4,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item4,</w:t>
      </w:r>
      <w:r>
        <w:t xml:space="preserve"> </w:t>
      </w:r>
      <w:r>
        <w:t xml:space="preserve">“</w:t>
      </w:r>
      <w:r>
        <w:t xml:space="preserve">I find it difficult to mentally disconnect from work</w:t>
      </w:r>
      <w:r>
        <w:t xml:space="preserve">”</w:t>
      </w:r>
      <w:r>
        <w:t xml:space="preserve"> </w:t>
      </w:r>
      <w:r>
        <w:t xml:space="preserve">over item2,</w:t>
      </w:r>
      <w:r>
        <w:t xml:space="preserve"> </w:t>
      </w:r>
      <w:r>
        <w:t xml:space="preserve">“</w:t>
      </w:r>
      <w:r>
        <w:t xml:space="preserve">I have a hard time detaching mentally from my work.</w:t>
      </w:r>
      <w:r>
        <w:t xml:space="preserve">”</w:t>
      </w:r>
      <w:r>
        <w:t xml:space="preserve"> </w:t>
      </w:r>
      <w:r>
        <w:t xml:space="preserve">After item2 was excluded from both scale definitions (substantive and attitudinal), the CFAs were re-run and modification indices re-checked for bi-factor structure optimizing modifications.</w:t>
      </w:r>
      <w:r>
        <w:rPr>
          <w:rStyle w:val="Funotenzeichen"/>
        </w:rPr>
        <w:footnoteReference w:id="23"/>
      </w:r>
    </w:p>
    <w:p>
      <w:pPr>
        <w:pStyle w:val="Textkrper"/>
      </w:pPr>
      <w:r>
        <w:t xml:space="preserve">We prioritized item deletions such that an item was implicated for deletion if: 1) modification index was high (relative to others) and 2) error residual was within same</w:t>
      </w:r>
      <w:r>
        <w:t xml:space="preserve"> </w:t>
      </w:r>
      <w:r>
        <w:t xml:space="preserve">“</w:t>
      </w:r>
      <w:r>
        <w:t xml:space="preserve">cell.</w:t>
      </w:r>
      <w:r>
        <w:t xml:space="preserve">”</w:t>
      </w:r>
      <w:r>
        <w:t xml:space="preserve"> </w:t>
      </w:r>
      <w:r>
        <w:t xml:space="preserve">The choice of itme to delete was based on author preference for wording/semantics as well as construct element coverage (considering the possible consequences for construct deficiency). Item variance was also consulted (retention more likely with greater item variance).</w:t>
      </w:r>
    </w:p>
    <w:p>
      <w:pPr>
        <w:pStyle w:val="Blocktext"/>
      </w:pPr>
      <w:r>
        <w:t xml:space="preserve">Actually it doesn’t matter that much with only 1 item deletion - probably go ahead and do a few before recheck modification indices</w:t>
      </w:r>
    </w:p>
    <w:bookmarkEnd w:id="24"/>
    <w:bookmarkEnd w:id="25"/>
    <w:bookmarkStart w:id="26" w:name="data-analysis"/>
    <w:p>
      <w:pPr>
        <w:pStyle w:val="berschrift2"/>
      </w:pPr>
      <w:r>
        <w:rPr>
          <w:rStyle w:val="SectionNumber"/>
        </w:rPr>
        <w:t xml:space="preserve">1.4</w:t>
      </w:r>
      <w:r>
        <w:tab/>
      </w:r>
      <w:r>
        <w:t xml:space="preserve">Data analysis</w:t>
      </w:r>
    </w:p>
    <w:p>
      <w:pPr>
        <w:pStyle w:val="FirstParagraph"/>
      </w:pPr>
      <w:r>
        <w:t xml:space="preserve">We used R [Version 4.0.5;</w:t>
      </w:r>
      <w:r>
        <w:t xml:space="preserve"> </w:t>
      </w:r>
      <w:r>
        <w:t xml:space="preserve">R Core Team (2021)</w:t>
      </w:r>
      <w:r>
        <w:t xml:space="preserve">] and the R-packages</w:t>
      </w:r>
      <w:r>
        <w:t xml:space="preserve"> </w:t>
      </w:r>
      <w:r>
        <w:rPr>
          <w:iCs/>
          <w:i/>
        </w:rPr>
        <w:t xml:space="preserve">dplyr</w:t>
      </w:r>
      <w:r>
        <w:t xml:space="preserve"> </w:t>
      </w:r>
      <w:r>
        <w:t xml:space="preserve">[Version 1.0.6;</w:t>
      </w:r>
      <w:r>
        <w:t xml:space="preserve"> </w:t>
      </w:r>
      <w:r>
        <w:t xml:space="preserve">Wickham, François, Henry, and Müller (2021)</w:t>
      </w:r>
      <w:r>
        <w:t xml:space="preserve">],</w:t>
      </w:r>
      <w:r>
        <w:t xml:space="preserve"> </w:t>
      </w:r>
      <w:r>
        <w:rPr>
          <w:iCs/>
          <w:i/>
        </w:rPr>
        <w:t xml:space="preserve">DT</w:t>
      </w:r>
      <w:r>
        <w:t xml:space="preserve"> </w:t>
      </w:r>
      <w:r>
        <w:t xml:space="preserve">[Version 0.18;</w:t>
      </w:r>
      <w:r>
        <w:t xml:space="preserve"> </w:t>
      </w:r>
      <w:r>
        <w:t xml:space="preserve">Xie, Cheng, and Tan (2021)</w:t>
      </w:r>
      <w:r>
        <w:t xml:space="preserve">],</w:t>
      </w:r>
      <w:r>
        <w:t xml:space="preserve"> </w:t>
      </w:r>
      <w:r>
        <w:rPr>
          <w:iCs/>
          <w:i/>
        </w:rPr>
        <w:t xml:space="preserve">forcats</w:t>
      </w:r>
      <w:r>
        <w:t xml:space="preserve"> </w:t>
      </w:r>
      <w:r>
        <w:t xml:space="preserve">[Version 0.5.1;</w:t>
      </w:r>
      <w:r>
        <w:t xml:space="preserve"> </w:t>
      </w:r>
      <w:r>
        <w:t xml:space="preserve">Wickham (2021a)</w:t>
      </w:r>
      <w:r>
        <w:t xml:space="preserve">],</w:t>
      </w:r>
      <w:r>
        <w:t xml:space="preserve"> </w:t>
      </w:r>
      <w:r>
        <w:rPr>
          <w:iCs/>
          <w:i/>
        </w:rPr>
        <w:t xml:space="preserve">ggplot2</w:t>
      </w:r>
      <w:r>
        <w:t xml:space="preserve"> </w:t>
      </w:r>
      <w:r>
        <w:t xml:space="preserve">[Version 3.3.3;</w:t>
      </w:r>
      <w:r>
        <w:t xml:space="preserve"> </w:t>
      </w:r>
      <w:r>
        <w:t xml:space="preserve">Wickham (2016)</w:t>
      </w:r>
      <w:r>
        <w:t xml:space="preserve">],</w:t>
      </w:r>
      <w:r>
        <w:t xml:space="preserve"> </w:t>
      </w:r>
      <w:r>
        <w:rPr>
          <w:iCs/>
          <w:i/>
        </w:rPr>
        <w:t xml:space="preserve">kableExtra</w:t>
      </w:r>
      <w:r>
        <w:t xml:space="preserve"> </w:t>
      </w:r>
      <w:r>
        <w:t xml:space="preserve">[Version 1.3.4;</w:t>
      </w:r>
      <w:r>
        <w:t xml:space="preserve"> </w:t>
      </w:r>
      <w:r>
        <w:t xml:space="preserve">Zhu (2021)</w:t>
      </w:r>
      <w:r>
        <w:t xml:space="preserve">],</w:t>
      </w:r>
      <w:r>
        <w:t xml:space="preserve"> </w:t>
      </w:r>
      <w:r>
        <w:rPr>
          <w:iCs/>
          <w:i/>
        </w:rPr>
        <w:t xml:space="preserve">lavaan</w:t>
      </w:r>
      <w:r>
        <w:t xml:space="preserve"> </w:t>
      </w:r>
      <w:r>
        <w:t xml:space="preserve">[Version 0.6.8;</w:t>
      </w:r>
      <w:r>
        <w:t xml:space="preserve"> </w:t>
      </w:r>
      <w:r>
        <w:t xml:space="preserve">Rosseel (2012)</w:t>
      </w:r>
      <w:r>
        <w:t xml:space="preserve">],</w:t>
      </w:r>
      <w:r>
        <w:t xml:space="preserve"> </w:t>
      </w:r>
      <w:r>
        <w:rPr>
          <w:iCs/>
          <w:i/>
        </w:rPr>
        <w:t xml:space="preserve">magrittr</w:t>
      </w:r>
      <w:r>
        <w:t xml:space="preserve"> </w:t>
      </w:r>
      <w:r>
        <w:t xml:space="preserve">[Version 2.0.1;</w:t>
      </w:r>
      <w:r>
        <w:t xml:space="preserve"> </w:t>
      </w:r>
      <w:r>
        <w:t xml:space="preserve">Bache and Wickham (2020)</w:t>
      </w:r>
      <w:r>
        <w:t xml:space="preserve">],</w:t>
      </w:r>
      <w:r>
        <w:t xml:space="preserve"> </w:t>
      </w:r>
      <w:r>
        <w:rPr>
          <w:iCs/>
          <w:i/>
        </w:rPr>
        <w:t xml:space="preserve">papaja</w:t>
      </w:r>
      <w:r>
        <w:t xml:space="preserve"> </w:t>
      </w:r>
      <w:r>
        <w:t xml:space="preserve">[Version 0.1.0.9997;</w:t>
      </w:r>
      <w:r>
        <w:t xml:space="preserve"> </w:t>
      </w:r>
      <w:r>
        <w:t xml:space="preserve">Aust and Barth (2020)</w:t>
      </w:r>
      <w:r>
        <w:t xml:space="preserve">],</w:t>
      </w:r>
      <w:r>
        <w:t xml:space="preserve"> </w:t>
      </w:r>
      <w:r>
        <w:rPr>
          <w:iCs/>
          <w:i/>
        </w:rPr>
        <w:t xml:space="preserve">purrr</w:t>
      </w:r>
      <w:r>
        <w:t xml:space="preserve"> </w:t>
      </w:r>
      <w:r>
        <w:t xml:space="preserve">[Version 0.3.4;</w:t>
      </w:r>
      <w:r>
        <w:t xml:space="preserve"> </w:t>
      </w:r>
      <w:r>
        <w:t xml:space="preserve">Henry and Wickham (2020)</w:t>
      </w:r>
      <w:r>
        <w:t xml:space="preserve">],</w:t>
      </w:r>
      <w:r>
        <w:t xml:space="preserve"> </w:t>
      </w:r>
      <w:r>
        <w:rPr>
          <w:iCs/>
          <w:i/>
        </w:rPr>
        <w:t xml:space="preserve">readr</w:t>
      </w:r>
      <w:r>
        <w:t xml:space="preserve"> </w:t>
      </w:r>
      <w:r>
        <w:t xml:space="preserve">[Version 1.4.0;</w:t>
      </w:r>
      <w:r>
        <w:t xml:space="preserve"> </w:t>
      </w:r>
      <w:r>
        <w:t xml:space="preserve">Wickham and Hester (2020)</w:t>
      </w:r>
      <w:r>
        <w:t xml:space="preserve">],</w:t>
      </w:r>
      <w:r>
        <w:t xml:space="preserve"> </w:t>
      </w:r>
      <w:r>
        <w:rPr>
          <w:iCs/>
          <w:i/>
        </w:rPr>
        <w:t xml:space="preserve">sem</w:t>
      </w:r>
      <w:r>
        <w:t xml:space="preserve"> </w:t>
      </w:r>
      <w:r>
        <w:t xml:space="preserve">[Version 3.1.11;</w:t>
      </w:r>
      <w:r>
        <w:t xml:space="preserve"> </w:t>
      </w:r>
      <w:r>
        <w:t xml:space="preserve">Fox, Nie, and Byrnes (2020)</w:t>
      </w:r>
      <w:r>
        <w:t xml:space="preserve">;</w:t>
      </w:r>
      <w:r>
        <w:t xml:space="preserve"> </w:t>
      </w:r>
      <w:r>
        <w:t xml:space="preserve">Epskamp (2019)</w:t>
      </w:r>
      <w:r>
        <w:t xml:space="preserve">],</w:t>
      </w:r>
      <w:r>
        <w:t xml:space="preserve"> </w:t>
      </w:r>
      <w:r>
        <w:rPr>
          <w:iCs/>
          <w:i/>
        </w:rPr>
        <w:t xml:space="preserve">semPlot</w:t>
      </w:r>
      <w:r>
        <w:t xml:space="preserve"> </w:t>
      </w:r>
      <w:r>
        <w:t xml:space="preserve">[Version 1.1.2;</w:t>
      </w:r>
      <w:r>
        <w:t xml:space="preserve"> </w:t>
      </w:r>
      <w:r>
        <w:t xml:space="preserve">Epskamp (2019)</w:t>
      </w:r>
      <w:r>
        <w:t xml:space="preserve">],</w:t>
      </w:r>
      <w:r>
        <w:t xml:space="preserve"> </w:t>
      </w:r>
      <w:r>
        <w:rPr>
          <w:iCs/>
          <w:i/>
        </w:rPr>
        <w:t xml:space="preserve">stringr</w:t>
      </w:r>
      <w:r>
        <w:t xml:space="preserve"> </w:t>
      </w:r>
      <w:r>
        <w:t xml:space="preserve">[Version 1.4.0;</w:t>
      </w:r>
      <w:r>
        <w:t xml:space="preserve"> </w:t>
      </w:r>
      <w:r>
        <w:t xml:space="preserve">Wickham (2019)</w:t>
      </w:r>
      <w:r>
        <w:t xml:space="preserve">],</w:t>
      </w:r>
      <w:r>
        <w:t xml:space="preserve"> </w:t>
      </w:r>
      <w:r>
        <w:rPr>
          <w:iCs/>
          <w:i/>
        </w:rPr>
        <w:t xml:space="preserve">tibble</w:t>
      </w:r>
      <w:r>
        <w:t xml:space="preserve"> </w:t>
      </w:r>
      <w:r>
        <w:t xml:space="preserve">[Version 3.1.2;</w:t>
      </w:r>
      <w:r>
        <w:t xml:space="preserve"> </w:t>
      </w:r>
      <w:r>
        <w:t xml:space="preserve">Müller and Wickham (2021)</w:t>
      </w:r>
      <w:r>
        <w:t xml:space="preserve">],</w:t>
      </w:r>
      <w:r>
        <w:t xml:space="preserve"> </w:t>
      </w:r>
      <w:r>
        <w:rPr>
          <w:iCs/>
          <w:i/>
        </w:rPr>
        <w:t xml:space="preserve">tidyr</w:t>
      </w:r>
      <w:r>
        <w:t xml:space="preserve"> </w:t>
      </w:r>
      <w:r>
        <w:t xml:space="preserve">[Version 1.1.3;</w:t>
      </w:r>
      <w:r>
        <w:t xml:space="preserve"> </w:t>
      </w:r>
      <w:r>
        <w:t xml:space="preserve">Wickham (2021b)</w:t>
      </w:r>
      <w:r>
        <w:t xml:space="preserve">], and</w:t>
      </w:r>
      <w:r>
        <w:t xml:space="preserve"> </w:t>
      </w:r>
      <w:r>
        <w:rPr>
          <w:iCs/>
          <w:i/>
        </w:rPr>
        <w:t xml:space="preserve">tidyverse</w:t>
      </w:r>
      <w:r>
        <w:t xml:space="preserve"> </w:t>
      </w:r>
      <w:r>
        <w:t xml:space="preserve">[Version 1.3.1;</w:t>
      </w:r>
      <w:r>
        <w:t xml:space="preserve"> </w:t>
      </w:r>
      <w:r>
        <w:t xml:space="preserve">Wickham et al. (2019)</w:t>
      </w:r>
      <w:r>
        <w:t xml:space="preserve">] for all our analyses.</w:t>
      </w:r>
    </w:p>
    <w:bookmarkEnd w:id="26"/>
    <w:bookmarkEnd w:id="27"/>
    <w:bookmarkStart w:id="30" w:name="results"/>
    <w:p>
      <w:pPr>
        <w:pStyle w:val="berschrift1"/>
      </w:pPr>
      <w:r>
        <w:rPr>
          <w:rStyle w:val="SectionNumber"/>
        </w:rPr>
        <w:t xml:space="preserve">2</w:t>
      </w:r>
      <w:r>
        <w:tab/>
      </w:r>
      <w:r>
        <w:t xml:space="preserve">Results</w:t>
      </w:r>
    </w:p>
    <w:p>
      <w:pPr>
        <w:pStyle w:val="FirstParagraph"/>
      </w:pPr>
      <w:r>
        <w:t xml:space="preserve">CFA drafts below</w:t>
      </w:r>
    </w:p>
    <w:p>
      <w:pPr>
        <w:pStyle w:val="CaptionedFigure"/>
      </w:pPr>
      <w:r>
        <w:drawing>
          <wp:inline>
            <wp:extent cx="4587290" cy="3669832"/>
            <wp:effectExtent b="0" l="0" r="0" t="0"/>
            <wp:docPr descr="(#fig:CFA.sub)Substantive factor structure CFA" title="" id="1" name="Picture"/>
            <a:graphic>
              <a:graphicData uri="http://schemas.openxmlformats.org/drawingml/2006/picture">
                <pic:pic>
                  <pic:nvPicPr>
                    <pic:cNvPr descr="SIOPpapaja_files/figure-docx/CFA.sub-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(#fig:CFA.sub)Substantive</w:t>
      </w:r>
      <w:r>
        <w:t xml:space="preserve"> </w:t>
      </w:r>
      <w:r>
        <w:rPr>
          <w:iCs/>
          <w:i/>
        </w:rPr>
        <w:t xml:space="preserve">factor</w:t>
      </w:r>
      <w:r>
        <w:t xml:space="preserve"> </w:t>
      </w:r>
      <w:r>
        <w:t xml:space="preserve">structure CFA</w:t>
      </w:r>
    </w:p>
    <w:p>
      <w:pPr>
        <w:pStyle w:val="CaptionedFigure"/>
      </w:pPr>
      <w:r>
        <w:drawing>
          <wp:inline>
            <wp:extent cx="4587290" cy="3669832"/>
            <wp:effectExtent b="0" l="0" r="0" t="0"/>
            <wp:docPr descr="(#fig:CFA.att)Attitudinal factor structure CFA" title="" id="1" name="Picture"/>
            <a:graphic>
              <a:graphicData uri="http://schemas.openxmlformats.org/drawingml/2006/picture">
                <pic:pic>
                  <pic:nvPicPr>
                    <pic:cNvPr descr="SIOPpapaja_files/figure-docx/CFA.att-1.png" id="0" name="Picture"/>
                    <pic:cNvPicPr>
                      <a:picLocks noChangeArrowheads="1" noChangeAspect="1"/>
                    </pic:cNvPicPr>
                  </pic:nvPicPr>
                  <pic:blipFill>
                    <a:blip r:embed="rId2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(#fig:CFA.att)Attitudinal</w:t>
      </w:r>
      <w:r>
        <w:t xml:space="preserve"> </w:t>
      </w:r>
      <w:r>
        <w:rPr>
          <w:iCs/>
          <w:i/>
        </w:rPr>
        <w:t xml:space="preserve">factor</w:t>
      </w:r>
      <w:r>
        <w:t xml:space="preserve"> </w:t>
      </w:r>
      <w:r>
        <w:t xml:space="preserve">structure CFA</w:t>
      </w:r>
    </w:p>
    <w:bookmarkEnd w:id="30"/>
    <w:bookmarkStart w:id="31" w:name="discussion"/>
    <w:p>
      <w:pPr>
        <w:pStyle w:val="berschrift1"/>
      </w:pPr>
      <w:r>
        <w:rPr>
          <w:rStyle w:val="SectionNumber"/>
        </w:rPr>
        <w:t xml:space="preserve">3</w:t>
      </w:r>
      <w:r>
        <w:tab/>
      </w:r>
      <w:r>
        <w:t xml:space="preserve">Discussion</w:t>
      </w:r>
    </w:p>
    <w:p>
      <w:r>
        <w:br w:type="page"/>
      </w:r>
    </w:p>
    <w:bookmarkEnd w:id="31"/>
    <w:bookmarkStart w:id="93" w:name="references"/>
    <w:p>
      <w:pPr>
        <w:pStyle w:val="berschrift1"/>
      </w:pPr>
      <w:r>
        <w:rPr>
          <w:rStyle w:val="SectionNumber"/>
        </w:rPr>
        <w:t xml:space="preserve">4</w:t>
      </w:r>
      <w:r>
        <w:tab/>
      </w:r>
      <w:r>
        <w:t xml:space="preserve">References</w:t>
      </w:r>
    </w:p>
    <w:bookmarkStart w:id="92" w:name="refs"/>
    <w:bookmarkStart w:id="33"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2">
        <w:r>
          <w:rPr>
            <w:rStyle w:val="Hyperlink"/>
          </w:rPr>
          <w:t xml:space="preserve">https://github.com/crsh/papaja</w:t>
        </w:r>
      </w:hyperlink>
    </w:p>
    <w:bookmarkEnd w:id="33"/>
    <w:bookmarkStart w:id="35" w:name="ref-R-magrittr"/>
    <w:p>
      <w:pPr>
        <w:pStyle w:val="Literaturverzeichnis"/>
      </w:pPr>
      <w:r>
        <w:t xml:space="preserve">Bache, S. M., &amp; Wickham, H. (2020).</w:t>
      </w:r>
      <w:r>
        <w:t xml:space="preserve"> </w:t>
      </w:r>
      <w:r>
        <w:rPr>
          <w:iCs/>
          <w:i/>
        </w:rPr>
        <w:t xml:space="preserve">Magrittr: A forward-pipe operator for r</w:t>
      </w:r>
      <w:r>
        <w:t xml:space="preserve">. Retrieved from</w:t>
      </w:r>
      <w:r>
        <w:t xml:space="preserve"> </w:t>
      </w:r>
      <w:hyperlink r:id="rId34">
        <w:r>
          <w:rPr>
            <w:rStyle w:val="Hyperlink"/>
          </w:rPr>
          <w:t xml:space="preserve">https://CRAN.R-project.org/package=magrittr</w:t>
        </w:r>
      </w:hyperlink>
    </w:p>
    <w:bookmarkEnd w:id="35"/>
    <w:bookmarkStart w:id="36" w:name="ref-coffman_hard_1999"/>
    <w:p>
      <w:pPr>
        <w:pStyle w:val="Literaturverzeichnis"/>
      </w:pPr>
      <w:r>
        <w:t xml:space="preserve">Coffman, C., &amp; Harter, J. (1999). A hard look at soft numbers.</w:t>
      </w:r>
      <w:r>
        <w:t xml:space="preserve"> </w:t>
      </w:r>
      <w:r>
        <w:rPr>
          <w:iCs/>
          <w:i/>
        </w:rPr>
        <w:t xml:space="preserve">Position Paper, Gallup Organization</w:t>
      </w:r>
      <w:r>
        <w:t xml:space="preserve">.</w:t>
      </w:r>
    </w:p>
    <w:bookmarkEnd w:id="36"/>
    <w:bookmarkStart w:id="37" w:name="ref-cole2012job"/>
    <w:p>
      <w:pPr>
        <w:pStyle w:val="Literaturverzeichnis"/>
      </w:pPr>
      <w:r>
        <w:t xml:space="preserve">Cole, M. S., Walter, F., Bedeian, A. G., &amp; O’Boyle, E. H. (2012). Job burnout and employee engagement: A meta-analytic examination of construct proliferation.</w:t>
      </w:r>
      <w:r>
        <w:t xml:space="preserve"> </w:t>
      </w:r>
      <w:r>
        <w:rPr>
          <w:iCs/>
          <w:i/>
        </w:rPr>
        <w:t xml:space="preserve">Journal of Management</w:t>
      </w:r>
      <w:r>
        <w:t xml:space="preserve">,</w:t>
      </w:r>
      <w:r>
        <w:t xml:space="preserve"> </w:t>
      </w:r>
      <w:r>
        <w:rPr>
          <w:iCs/>
          <w:i/>
        </w:rPr>
        <w:t xml:space="preserve">38</w:t>
      </w:r>
      <w:r>
        <w:t xml:space="preserve">(5), 1550–1581.</w:t>
      </w:r>
    </w:p>
    <w:bookmarkEnd w:id="37"/>
    <w:bookmarkStart w:id="38" w:name="ref-csikszentmihalyi1990flow"/>
    <w:p>
      <w:pPr>
        <w:pStyle w:val="Literaturverzeichnis"/>
      </w:pPr>
      <w:r>
        <w:t xml:space="preserve">Csikszentmihalyi, M. (1990).</w:t>
      </w:r>
      <w:r>
        <w:t xml:space="preserve"> </w:t>
      </w:r>
      <w:r>
        <w:rPr>
          <w:iCs/>
          <w:i/>
        </w:rPr>
        <w:t xml:space="preserve">Flow: The psychology of optimal experience</w:t>
      </w:r>
      <w:r>
        <w:t xml:space="preserve"> </w:t>
      </w:r>
      <w:r>
        <w:t xml:space="preserve">(Vol. 1990). Harper &amp; Row New York.</w:t>
      </w:r>
    </w:p>
    <w:bookmarkEnd w:id="38"/>
    <w:bookmarkStart w:id="40" w:name="ref-elloy_examination_1991"/>
    <w:p>
      <w:pPr>
        <w:pStyle w:val="Literaturverzeichnis"/>
      </w:pPr>
      <w:r>
        <w:t xml:space="preserve">Elloy, D. F., Everett, J. E., &amp; Flynn, W. R. (1991). An examination of the correlates of job involvement.</w:t>
      </w:r>
      <w:r>
        <w:t xml:space="preserve"> </w:t>
      </w:r>
      <w:r>
        <w:rPr>
          <w:iCs/>
          <w:i/>
        </w:rPr>
        <w:t xml:space="preserve">Group &amp; Organization Studies</w:t>
      </w:r>
      <w:r>
        <w:t xml:space="preserve">,</w:t>
      </w:r>
      <w:r>
        <w:t xml:space="preserve"> </w:t>
      </w:r>
      <w:r>
        <w:rPr>
          <w:iCs/>
          <w:i/>
        </w:rPr>
        <w:t xml:space="preserve">16</w:t>
      </w:r>
      <w:r>
        <w:t xml:space="preserve">(2), 160–177.</w:t>
      </w:r>
      <w:r>
        <w:t xml:space="preserve"> </w:t>
      </w:r>
      <w:hyperlink r:id="rId39">
        <w:r>
          <w:rPr>
            <w:rStyle w:val="Hyperlink"/>
          </w:rPr>
          <w:t xml:space="preserve">https://doi.org/10.1177/105960119101600204</w:t>
        </w:r>
      </w:hyperlink>
    </w:p>
    <w:bookmarkEnd w:id="40"/>
    <w:bookmarkStart w:id="42" w:name="ref-R-semPlot"/>
    <w:p>
      <w:pPr>
        <w:pStyle w:val="Literaturverzeichnis"/>
      </w:pPr>
      <w:r>
        <w:t xml:space="preserve">Epskamp, S. (2019).</w:t>
      </w:r>
      <w:r>
        <w:t xml:space="preserve"> </w:t>
      </w:r>
      <w:r>
        <w:rPr>
          <w:iCs/>
          <w:i/>
        </w:rPr>
        <w:t xml:space="preserve">semPlot: Path diagrams and visual analysis of various SEM packages’ output</w:t>
      </w:r>
      <w:r>
        <w:t xml:space="preserve">. Retrieved from</w:t>
      </w:r>
      <w:r>
        <w:t xml:space="preserve"> </w:t>
      </w:r>
      <w:hyperlink r:id="rId41">
        <w:r>
          <w:rPr>
            <w:rStyle w:val="Hyperlink"/>
          </w:rPr>
          <w:t xml:space="preserve">https://CRAN.R-project.org/package=semPlot</w:t>
        </w:r>
      </w:hyperlink>
    </w:p>
    <w:bookmarkEnd w:id="42"/>
    <w:bookmarkStart w:id="44" w:name="ref-ferris_added_1984"/>
    <w:p>
      <w:pPr>
        <w:pStyle w:val="Literaturverzeichnis"/>
      </w:pPr>
      <w:r>
        <w:t xml:space="preserve">Ferris, R., &amp; Hellier, P. (1984). Added value productivity schemes and employee participation.</w:t>
      </w:r>
      <w:r>
        <w:t xml:space="preserve"> </w:t>
      </w:r>
      <w:r>
        <w:rPr>
          <w:iCs/>
          <w:i/>
        </w:rPr>
        <w:t xml:space="preserve">Asia Pacific Journal of Human Resources</w:t>
      </w:r>
      <w:r>
        <w:t xml:space="preserve">,</w:t>
      </w:r>
      <w:r>
        <w:t xml:space="preserve"> </w:t>
      </w:r>
      <w:r>
        <w:rPr>
          <w:iCs/>
          <w:i/>
        </w:rPr>
        <w:t xml:space="preserve">22</w:t>
      </w:r>
      <w:r>
        <w:t xml:space="preserve">(4), 35–44.</w:t>
      </w:r>
      <w:r>
        <w:t xml:space="preserve"> </w:t>
      </w:r>
      <w:hyperlink r:id="rId43">
        <w:r>
          <w:rPr>
            <w:rStyle w:val="Hyperlink"/>
          </w:rPr>
          <w:t xml:space="preserve">https://doi.org/10.1177/103841118402200406</w:t>
        </w:r>
      </w:hyperlink>
    </w:p>
    <w:bookmarkEnd w:id="44"/>
    <w:bookmarkStart w:id="46" w:name="ref-R-sem"/>
    <w:p>
      <w:pPr>
        <w:pStyle w:val="Literaturverzeichnis"/>
      </w:pPr>
      <w:r>
        <w:t xml:space="preserve">Fox, J., Nie, Z., &amp; Byrnes, J. (2020).</w:t>
      </w:r>
      <w:r>
        <w:t xml:space="preserve"> </w:t>
      </w:r>
      <w:r>
        <w:rPr>
          <w:iCs/>
          <w:i/>
        </w:rPr>
        <w:t xml:space="preserve">Sem: Structural equation models</w:t>
      </w:r>
      <w:r>
        <w:t xml:space="preserve">. Retrieved from</w:t>
      </w:r>
      <w:r>
        <w:t xml:space="preserve"> </w:t>
      </w:r>
      <w:hyperlink r:id="rId45">
        <w:r>
          <w:rPr>
            <w:rStyle w:val="Hyperlink"/>
          </w:rPr>
          <w:t xml:space="preserve">https://CRAN.R-project.org/package=sem</w:t>
        </w:r>
      </w:hyperlink>
    </w:p>
    <w:bookmarkEnd w:id="46"/>
    <w:bookmarkStart w:id="47" w:name="ref-goering2017not"/>
    <w:p>
      <w:pPr>
        <w:pStyle w:val="Literaturverzeichnis"/>
      </w:pPr>
      <w:r>
        <w:t xml:space="preserve">Goering, D. D., Shimazu, A., Zhou, F., Wada, T., &amp; Sakai, R. (2017). Not if, but how they differ: A meta-analytic test of the nomological networks of burnout and engagement.</w:t>
      </w:r>
      <w:r>
        <w:t xml:space="preserve"> </w:t>
      </w:r>
      <w:r>
        <w:rPr>
          <w:iCs/>
          <w:i/>
        </w:rPr>
        <w:t xml:space="preserve">Burnout Research</w:t>
      </w:r>
      <w:r>
        <w:t xml:space="preserve">,</w:t>
      </w:r>
      <w:r>
        <w:t xml:space="preserve"> </w:t>
      </w:r>
      <w:r>
        <w:rPr>
          <w:iCs/>
          <w:i/>
        </w:rPr>
        <w:t xml:space="preserve">5</w:t>
      </w:r>
      <w:r>
        <w:t xml:space="preserve">, 21–34.</w:t>
      </w:r>
    </w:p>
    <w:bookmarkEnd w:id="47"/>
    <w:bookmarkStart w:id="48" w:name="ref-harter_business-unit-level_2002"/>
    <w:p>
      <w:pPr>
        <w:pStyle w:val="Literaturverzeichnis"/>
      </w:pPr>
      <w:r>
        <w:t xml:space="preserve">Harter, J. K., Schmidt, F. L., &amp; Hayes, T. L. (2002). Business-unit-level relationship between employee satisfaction, employee engagement, and business outcomes: A meta-analysis.</w:t>
      </w:r>
      <w:r>
        <w:t xml:space="preserve"> </w:t>
      </w:r>
      <w:r>
        <w:rPr>
          <w:iCs/>
          <w:i/>
        </w:rPr>
        <w:t xml:space="preserve">Journal of Applied Psychology</w:t>
      </w:r>
      <w:r>
        <w:t xml:space="preserve">,</w:t>
      </w:r>
      <w:r>
        <w:t xml:space="preserve"> </w:t>
      </w:r>
      <w:r>
        <w:rPr>
          <w:iCs/>
          <w:i/>
        </w:rPr>
        <w:t xml:space="preserve">87</w:t>
      </w:r>
      <w:r>
        <w:t xml:space="preserve">(2), 268.</w:t>
      </w:r>
    </w:p>
    <w:bookmarkEnd w:id="48"/>
    <w:bookmarkStart w:id="50" w:name="ref-R-purrr"/>
    <w:p>
      <w:pPr>
        <w:pStyle w:val="Literaturverzeichnis"/>
      </w:pPr>
      <w:r>
        <w:t xml:space="preserve">Henry, L., &amp; Wickham, H. (2020).</w:t>
      </w:r>
      <w:r>
        <w:t xml:space="preserve"> </w:t>
      </w:r>
      <w:r>
        <w:rPr>
          <w:iCs/>
          <w:i/>
        </w:rPr>
        <w:t xml:space="preserve">Purrr: Functional programming tools</w:t>
      </w:r>
      <w:r>
        <w:t xml:space="preserve">. Retrieved from</w:t>
      </w:r>
      <w:r>
        <w:t xml:space="preserve"> </w:t>
      </w:r>
      <w:hyperlink r:id="rId49">
        <w:r>
          <w:rPr>
            <w:rStyle w:val="Hyperlink"/>
          </w:rPr>
          <w:t xml:space="preserve">https://CRAN.R-project.org/package=purrr</w:t>
        </w:r>
      </w:hyperlink>
    </w:p>
    <w:bookmarkEnd w:id="50"/>
    <w:bookmarkStart w:id="51" w:name="ref-joreskog1994estimation"/>
    <w:p>
      <w:pPr>
        <w:pStyle w:val="Literaturverzeichnis"/>
      </w:pPr>
      <w:r>
        <w:t xml:space="preserve">Jöreskog, K. G. (1994). On the estimation of polychoric correlations and their asymptotic covariance matrix.</w:t>
      </w:r>
      <w:r>
        <w:t xml:space="preserve"> </w:t>
      </w:r>
      <w:r>
        <w:rPr>
          <w:iCs/>
          <w:i/>
        </w:rPr>
        <w:t xml:space="preserve">Psychometrika</w:t>
      </w:r>
      <w:r>
        <w:t xml:space="preserve">,</w:t>
      </w:r>
      <w:r>
        <w:t xml:space="preserve"> </w:t>
      </w:r>
      <w:r>
        <w:rPr>
          <w:iCs/>
          <w:i/>
        </w:rPr>
        <w:t xml:space="preserve">59</w:t>
      </w:r>
      <w:r>
        <w:t xml:space="preserve">(3), 381–389.</w:t>
      </w:r>
    </w:p>
    <w:bookmarkEnd w:id="51"/>
    <w:bookmarkStart w:id="52" w:name="ref-kahn_psychological_1990"/>
    <w:p>
      <w:pPr>
        <w:pStyle w:val="Literaturverzeichnis"/>
      </w:pPr>
      <w:r>
        <w:t xml:space="preserve">Kahn, W. A. (1990). Psychological conditions of personal engagement and disengagement at work.</w:t>
      </w:r>
      <w:r>
        <w:t xml:space="preserve"> </w:t>
      </w:r>
      <w:r>
        <w:rPr>
          <w:iCs/>
          <w:i/>
        </w:rPr>
        <w:t xml:space="preserve">Academy of Management Journal</w:t>
      </w:r>
      <w:r>
        <w:t xml:space="preserve">,</w:t>
      </w:r>
      <w:r>
        <w:t xml:space="preserve"> </w:t>
      </w:r>
      <w:r>
        <w:rPr>
          <w:iCs/>
          <w:i/>
        </w:rPr>
        <w:t xml:space="preserve">33</w:t>
      </w:r>
      <w:r>
        <w:t xml:space="preserve">(4), 692–724.</w:t>
      </w:r>
    </w:p>
    <w:bookmarkEnd w:id="52"/>
    <w:bookmarkStart w:id="54" w:name="ref-kim_burnout_2009"/>
    <w:p>
      <w:pPr>
        <w:pStyle w:val="Literaturverzeichnis"/>
      </w:pPr>
      <w:r>
        <w:t xml:space="preserve">Kim, H. J., Shin, K. H., &amp; Swanger, N. (2009). Burnout and engagement:</w:t>
      </w:r>
      <w:r>
        <w:t xml:space="preserve"> </w:t>
      </w:r>
      <w:r>
        <w:t xml:space="preserve">A</w:t>
      </w:r>
      <w:r>
        <w:t xml:space="preserve"> </w:t>
      </w:r>
      <w:r>
        <w:t xml:space="preserve">comparative analysis using the</w:t>
      </w:r>
      <w:r>
        <w:t xml:space="preserve"> </w:t>
      </w:r>
      <w:r>
        <w:t xml:space="preserve">Big</w:t>
      </w:r>
      <w:r>
        <w:t xml:space="preserve"> </w:t>
      </w:r>
      <w:r>
        <w:t xml:space="preserve">Five</w:t>
      </w:r>
      <w:r>
        <w:t xml:space="preserve"> </w:t>
      </w:r>
      <w:r>
        <w:t xml:space="preserve">personality dimensions.</w:t>
      </w:r>
      <w:r>
        <w:t xml:space="preserve"> </w:t>
      </w:r>
      <w:r>
        <w:rPr>
          <w:iCs/>
          <w:i/>
        </w:rPr>
        <w:t xml:space="preserve">International Journal of Hospitality Management</w:t>
      </w:r>
      <w:r>
        <w:t xml:space="preserve">,</w:t>
      </w:r>
      <w:r>
        <w:t xml:space="preserve"> </w:t>
      </w:r>
      <w:r>
        <w:rPr>
          <w:iCs/>
          <w:i/>
        </w:rPr>
        <w:t xml:space="preserve">28</w:t>
      </w:r>
      <w:r>
        <w:t xml:space="preserve">(1), 96–104.</w:t>
      </w:r>
      <w:r>
        <w:t xml:space="preserve"> </w:t>
      </w:r>
      <w:hyperlink r:id="rId53">
        <w:r>
          <w:rPr>
            <w:rStyle w:val="Hyperlink"/>
          </w:rPr>
          <w:t xml:space="preserve">https://doi.org/10.1016/j.ijhm.2008.06.001</w:t>
        </w:r>
      </w:hyperlink>
    </w:p>
    <w:bookmarkEnd w:id="54"/>
    <w:bookmarkStart w:id="56" w:name="ref-leiter_areas_2004"/>
    <w:p>
      <w:pPr>
        <w:pStyle w:val="Literaturverzeichnis"/>
      </w:pPr>
      <w:r>
        <w:t xml:space="preserve">Leiter, M., &amp; Maslach, C. (2004). Areas of worklife: A structured approach to organizational predictors of job burnout. In</w:t>
      </w:r>
      <w:r>
        <w:t xml:space="preserve"> </w:t>
      </w:r>
      <w:r>
        <w:rPr>
          <w:iCs/>
          <w:i/>
        </w:rPr>
        <w:t xml:space="preserve">Research in occupational stress and well-being</w:t>
      </w:r>
      <w:r>
        <w:t xml:space="preserve"> </w:t>
      </w:r>
      <w:r>
        <w:t xml:space="preserve">(Vol. 3, pp. 91–134).</w:t>
      </w:r>
      <w:r>
        <w:t xml:space="preserve"> </w:t>
      </w:r>
      <w:hyperlink r:id="rId55">
        <w:r>
          <w:rPr>
            <w:rStyle w:val="Hyperlink"/>
          </w:rPr>
          <w:t xml:space="preserve">https://doi.org/10.1016/S1479-3555(03)03003-8</w:t>
        </w:r>
      </w:hyperlink>
    </w:p>
    <w:bookmarkEnd w:id="56"/>
    <w:bookmarkStart w:id="57" w:name="ref-leone_relation_1995"/>
    <w:p>
      <w:pPr>
        <w:pStyle w:val="Literaturverzeichnis"/>
      </w:pPr>
      <w:r>
        <w:t xml:space="preserve">Leone, D. R. (1995).</w:t>
      </w:r>
      <w:r>
        <w:t xml:space="preserve"> </w:t>
      </w:r>
      <w:r>
        <w:rPr>
          <w:iCs/>
          <w:i/>
        </w:rPr>
        <w:t xml:space="preserve">The relation of work climate, higher order need satisfaction, need salience, and causality orientations to work engagement, psychological adjustment, and job satisfaction</w:t>
      </w:r>
      <w:r>
        <w:t xml:space="preserve"> </w:t>
      </w:r>
      <w:r>
        <w:t xml:space="preserve">(PhD thesis). ProQuest Information &amp; Learning.</w:t>
      </w:r>
    </w:p>
    <w:bookmarkEnd w:id="57"/>
    <w:bookmarkStart w:id="58" w:name="ref-maslach1997causes"/>
    <w:p>
      <w:pPr>
        <w:pStyle w:val="Literaturverzeichnis"/>
      </w:pPr>
      <w:r>
        <w:t xml:space="preserve">Maslach, C., &amp; Leiter, M. (1997). What causes burnout.</w:t>
      </w:r>
      <w:r>
        <w:t xml:space="preserve"> </w:t>
      </w:r>
      <w:r>
        <w:rPr>
          <w:iCs/>
          <w:i/>
        </w:rPr>
        <w:t xml:space="preserve">Maslach C, Leiter MP. The Truth About Burnout: How Organizations Cause Personal Stress and What to Do about It. San Francisco, CA: Josey-Bass Publishers</w:t>
      </w:r>
      <w:r>
        <w:t xml:space="preserve">, 38–60.</w:t>
      </w:r>
    </w:p>
    <w:bookmarkEnd w:id="58"/>
    <w:bookmarkStart w:id="59" w:name="ref-maslach_early_2008"/>
    <w:p>
      <w:pPr>
        <w:pStyle w:val="Literaturverzeichnis"/>
      </w:pPr>
      <w:r>
        <w:t xml:space="preserve">Maslach, Christina, &amp; Leiter, M. P. (2008). Early predictors of job burnout and engagement.</w:t>
      </w:r>
      <w:r>
        <w:t xml:space="preserve"> </w:t>
      </w:r>
      <w:r>
        <w:rPr>
          <w:iCs/>
          <w:i/>
        </w:rPr>
        <w:t xml:space="preserve">Journal of Applied Psychology</w:t>
      </w:r>
      <w:r>
        <w:t xml:space="preserve">,</w:t>
      </w:r>
      <w:r>
        <w:t xml:space="preserve"> </w:t>
      </w:r>
      <w:r>
        <w:rPr>
          <w:iCs/>
          <w:i/>
        </w:rPr>
        <w:t xml:space="preserve">93</w:t>
      </w:r>
      <w:r>
        <w:t xml:space="preserve">(3), 498–512.</w:t>
      </w:r>
    </w:p>
    <w:bookmarkEnd w:id="59"/>
    <w:bookmarkStart w:id="60" w:name="ref-meyer_three-component_1991"/>
    <w:p>
      <w:pPr>
        <w:pStyle w:val="Literaturverzeichnis"/>
      </w:pPr>
      <w:r>
        <w:t xml:space="preserve">Meyer, J. P., &amp; Allen, N. J. (1991). A three-component conceptualization of organizational commitment.</w:t>
      </w:r>
      <w:r>
        <w:t xml:space="preserve"> </w:t>
      </w:r>
      <w:r>
        <w:rPr>
          <w:iCs/>
          <w:i/>
        </w:rPr>
        <w:t xml:space="preserve">Human Resource Management Review</w:t>
      </w:r>
      <w:r>
        <w:t xml:space="preserve">,</w:t>
      </w:r>
      <w:r>
        <w:t xml:space="preserve"> </w:t>
      </w:r>
      <w:r>
        <w:rPr>
          <w:iCs/>
          <w:i/>
        </w:rPr>
        <w:t xml:space="preserve">1</w:t>
      </w:r>
      <w:r>
        <w:t xml:space="preserve">(1), 61–89.</w:t>
      </w:r>
    </w:p>
    <w:bookmarkEnd w:id="60"/>
    <w:bookmarkStart w:id="62" w:name="ref-R-tibble"/>
    <w:p>
      <w:pPr>
        <w:pStyle w:val="Literaturverzeichnis"/>
      </w:pPr>
      <w:r>
        <w:t xml:space="preserve">Müller, K., &amp; Wickham, H. (2021).</w:t>
      </w:r>
      <w:r>
        <w:t xml:space="preserve"> </w:t>
      </w:r>
      <w:r>
        <w:rPr>
          <w:iCs/>
          <w:i/>
        </w:rPr>
        <w:t xml:space="preserve">Tibble: Simple data frames</w:t>
      </w:r>
      <w:r>
        <w:t xml:space="preserve">. Retrieved from</w:t>
      </w:r>
      <w:r>
        <w:t xml:space="preserve"> </w:t>
      </w:r>
      <w:hyperlink r:id="rId61">
        <w:r>
          <w:rPr>
            <w:rStyle w:val="Hyperlink"/>
          </w:rPr>
          <w:t xml:space="preserve">https://CRAN.R-project.org/package=tibble</w:t>
        </w:r>
      </w:hyperlink>
    </w:p>
    <w:bookmarkEnd w:id="62"/>
    <w:bookmarkStart w:id="64"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3">
        <w:r>
          <w:rPr>
            <w:rStyle w:val="Hyperlink"/>
          </w:rPr>
          <w:t xml:space="preserve">https://www.R-project.org/</w:t>
        </w:r>
      </w:hyperlink>
    </w:p>
    <w:bookmarkEnd w:id="64"/>
    <w:bookmarkStart w:id="66"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Cs/>
          <w:i/>
        </w:rPr>
        <w:t xml:space="preserve">Journal of Statistical Software</w:t>
      </w:r>
      <w:r>
        <w:t xml:space="preserve">,</w:t>
      </w:r>
      <w:r>
        <w:t xml:space="preserve"> </w:t>
      </w:r>
      <w:r>
        <w:rPr>
          <w:iCs/>
          <w:i/>
        </w:rPr>
        <w:t xml:space="preserve">48</w:t>
      </w:r>
      <w:r>
        <w:t xml:space="preserve">(2), 1–36. Retrieved from</w:t>
      </w:r>
      <w:r>
        <w:t xml:space="preserve"> </w:t>
      </w:r>
      <w:hyperlink r:id="rId65">
        <w:r>
          <w:rPr>
            <w:rStyle w:val="Hyperlink"/>
          </w:rPr>
          <w:t xml:space="preserve">https://www.jstatsoft.org/v48/i02/</w:t>
        </w:r>
      </w:hyperlink>
    </w:p>
    <w:bookmarkEnd w:id="66"/>
    <w:bookmarkStart w:id="67" w:name="ref-schaufeli_uwesutrecht_2003"/>
    <w:p>
      <w:pPr>
        <w:pStyle w:val="Literaturverzeichnis"/>
      </w:pPr>
      <w:r>
        <w:t xml:space="preserve">Schaufeli, W. B., &amp; Bakker, A. B. (2003).</w:t>
      </w:r>
      <w:r>
        <w:t xml:space="preserve"> </w:t>
      </w:r>
      <w:r>
        <w:t xml:space="preserve">UWES</w:t>
      </w:r>
      <w:r>
        <w:t xml:space="preserve">–utrecht work engagement scale: Test manual.</w:t>
      </w:r>
      <w:r>
        <w:t xml:space="preserve"> </w:t>
      </w:r>
      <w:r>
        <w:rPr>
          <w:iCs/>
          <w:i/>
        </w:rPr>
        <w:t xml:space="preserve">Unpublished Manuscript: Department of Psychology, Utrecht University</w:t>
      </w:r>
      <w:r>
        <w:t xml:space="preserve">,</w:t>
      </w:r>
      <w:r>
        <w:t xml:space="preserve"> </w:t>
      </w:r>
      <w:r>
        <w:rPr>
          <w:iCs/>
          <w:i/>
        </w:rPr>
        <w:t xml:space="preserve">8</w:t>
      </w:r>
      <w:r>
        <w:t xml:space="preserve">.</w:t>
      </w:r>
    </w:p>
    <w:bookmarkEnd w:id="67"/>
    <w:bookmarkStart w:id="68" w:name="ref-schaufeli_measurement_2002"/>
    <w:p>
      <w:pPr>
        <w:pStyle w:val="Literaturverzeichnis"/>
      </w:pPr>
      <w:r>
        <w:t xml:space="preserve">Schaufeli, Wilmar B., Salanova, M., González-Romá, V., &amp; Bakker, A. B. (2002). The measurement of engagement and burnout: A two sample confirmatory factor analytic approach.</w:t>
      </w:r>
      <w:r>
        <w:t xml:space="preserve"> </w:t>
      </w:r>
      <w:r>
        <w:rPr>
          <w:iCs/>
          <w:i/>
        </w:rPr>
        <w:t xml:space="preserve">Journal of Happiness Studies</w:t>
      </w:r>
      <w:r>
        <w:t xml:space="preserve">,</w:t>
      </w:r>
      <w:r>
        <w:t xml:space="preserve"> </w:t>
      </w:r>
      <w:r>
        <w:rPr>
          <w:iCs/>
          <w:i/>
        </w:rPr>
        <w:t xml:space="preserve">3</w:t>
      </w:r>
      <w:r>
        <w:t xml:space="preserve">(1), 71–92.</w:t>
      </w:r>
    </w:p>
    <w:bookmarkEnd w:id="68"/>
    <w:bookmarkStart w:id="69" w:name="ref-schaufeli2008workaholism"/>
    <w:p>
      <w:pPr>
        <w:pStyle w:val="Literaturverzeichnis"/>
      </w:pPr>
      <w:r>
        <w:t xml:space="preserve">Schaufeli, Wilmar B., Taris, T. W., &amp; Van Rhenen, W. (2008). Workaholism, burnout, and work engagement: Three of a kind or three different kinds of employee well-being?</w:t>
      </w:r>
      <w:r>
        <w:t xml:space="preserve"> </w:t>
      </w:r>
      <w:r>
        <w:rPr>
          <w:iCs/>
          <w:i/>
        </w:rPr>
        <w:t xml:space="preserve">Applied Psychology</w:t>
      </w:r>
      <w:r>
        <w:t xml:space="preserve">,</w:t>
      </w:r>
      <w:r>
        <w:t xml:space="preserve"> </w:t>
      </w:r>
      <w:r>
        <w:rPr>
          <w:iCs/>
          <w:i/>
        </w:rPr>
        <w:t xml:space="preserve">57</w:t>
      </w:r>
      <w:r>
        <w:t xml:space="preserve">(2), 173–203.</w:t>
      </w:r>
    </w:p>
    <w:bookmarkEnd w:id="69"/>
    <w:bookmarkStart w:id="70" w:name="ref-schaufeli_conceptualization_2010"/>
    <w:p>
      <w:pPr>
        <w:pStyle w:val="Literaturverzeichnis"/>
      </w:pPr>
      <w:r>
        <w:t xml:space="preserve">Schaufeli, W., &amp; Bakker, A. (2010). The conceptualization and measurement of work engagement. In W. Schaufeli, A. Bakker, &amp; M. Leiter (Eds.),</w:t>
      </w:r>
      <w:r>
        <w:t xml:space="preserve"> </w:t>
      </w:r>
      <w:r>
        <w:rPr>
          <w:iCs/>
          <w:i/>
        </w:rPr>
        <w:t xml:space="preserve">Work engagement: A handbook of essential theory and research</w:t>
      </w:r>
      <w:r>
        <w:t xml:space="preserve"> </w:t>
      </w:r>
      <w:r>
        <w:t xml:space="preserve">(pp. 10–24). New York: Psychology Press.</w:t>
      </w:r>
    </w:p>
    <w:bookmarkEnd w:id="70"/>
    <w:bookmarkStart w:id="71" w:name="ref-staw_employee_1994"/>
    <w:p>
      <w:pPr>
        <w:pStyle w:val="Literaturverzeichnis"/>
      </w:pPr>
      <w:r>
        <w:t xml:space="preserve">Staw, B. M., Sutton, R. I., &amp; Pelled, L. H. (1994). Employee positive emotion and favorable outcomes at the workplace.</w:t>
      </w:r>
      <w:r>
        <w:t xml:space="preserve"> </w:t>
      </w:r>
      <w:r>
        <w:rPr>
          <w:iCs/>
          <w:i/>
        </w:rPr>
        <w:t xml:space="preserve">Organization Science</w:t>
      </w:r>
      <w:r>
        <w:t xml:space="preserve">,</w:t>
      </w:r>
      <w:r>
        <w:t xml:space="preserve"> </w:t>
      </w:r>
      <w:r>
        <w:rPr>
          <w:iCs/>
          <w:i/>
        </w:rPr>
        <w:t xml:space="preserve">5</w:t>
      </w:r>
      <w:r>
        <w:t xml:space="preserve">(1), 51–71.</w:t>
      </w:r>
    </w:p>
    <w:bookmarkEnd w:id="71"/>
    <w:bookmarkStart w:id="72" w:name="ref-taris2017burnout"/>
    <w:p>
      <w:pPr>
        <w:pStyle w:val="Literaturverzeichnis"/>
      </w:pPr>
      <w:r>
        <w:t xml:space="preserve">Taris, T. W., Ybema, J. F., &amp; Beek, I. van. (2017). Burnout and engagement: Identical twins or just close relatives?</w:t>
      </w:r>
      <w:r>
        <w:t xml:space="preserve"> </w:t>
      </w:r>
      <w:r>
        <w:rPr>
          <w:iCs/>
          <w:i/>
        </w:rPr>
        <w:t xml:space="preserve">Burnout Research</w:t>
      </w:r>
      <w:r>
        <w:t xml:space="preserve">,</w:t>
      </w:r>
      <w:r>
        <w:t xml:space="preserve"> </w:t>
      </w:r>
      <w:r>
        <w:rPr>
          <w:iCs/>
          <w:i/>
        </w:rPr>
        <w:t xml:space="preserve">5</w:t>
      </w:r>
      <w:r>
        <w:t xml:space="preserve">, 3–11.</w:t>
      </w:r>
    </w:p>
    <w:bookmarkEnd w:id="72"/>
    <w:bookmarkStart w:id="73" w:name="ref-timms2012burnt"/>
    <w:p>
      <w:pPr>
        <w:pStyle w:val="Literaturverzeichnis"/>
      </w:pPr>
      <w:r>
        <w:t xml:space="preserve">Timms, C., Brough, P., &amp; Graham, D. (2012). Burnt-out but engaged: The co-existence of psychological burnout and engagement.</w:t>
      </w:r>
      <w:r>
        <w:t xml:space="preserve"> </w:t>
      </w:r>
      <w:r>
        <w:rPr>
          <w:iCs/>
          <w:i/>
        </w:rPr>
        <w:t xml:space="preserve">Journal of Educational Administration</w:t>
      </w:r>
      <w:r>
        <w:t xml:space="preserve">,</w:t>
      </w:r>
      <w:r>
        <w:t xml:space="preserve"> </w:t>
      </w:r>
      <w:r>
        <w:rPr>
          <w:iCs/>
          <w:i/>
        </w:rPr>
        <w:t xml:space="preserve">50</w:t>
      </w:r>
      <w:r>
        <w:t xml:space="preserve">(3), 327–345.</w:t>
      </w:r>
    </w:p>
    <w:bookmarkEnd w:id="73"/>
    <w:bookmarkStart w:id="7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4">
        <w:r>
          <w:rPr>
            <w:rStyle w:val="Hyperlink"/>
          </w:rPr>
          <w:t xml:space="preserve">https://ggplot2.tidyverse.org</w:t>
        </w:r>
      </w:hyperlink>
    </w:p>
    <w:bookmarkEnd w:id="75"/>
    <w:bookmarkStart w:id="77" w:name="ref-R-stringr"/>
    <w:p>
      <w:pPr>
        <w:pStyle w:val="Literaturverzeichnis"/>
      </w:pPr>
      <w:r>
        <w:t xml:space="preserve">Wickham, H. (2019).</w:t>
      </w:r>
      <w:r>
        <w:t xml:space="preserve"> </w:t>
      </w:r>
      <w:r>
        <w:rPr>
          <w:iCs/>
          <w:i/>
        </w:rPr>
        <w:t xml:space="preserve">Stringr: Simple, consistent wrappers for common string operations</w:t>
      </w:r>
      <w:r>
        <w:t xml:space="preserve">. Retrieved from</w:t>
      </w:r>
      <w:r>
        <w:t xml:space="preserve"> </w:t>
      </w:r>
      <w:hyperlink r:id="rId76">
        <w:r>
          <w:rPr>
            <w:rStyle w:val="Hyperlink"/>
          </w:rPr>
          <w:t xml:space="preserve">https://CRAN.R-project.org/package=stringr</w:t>
        </w:r>
      </w:hyperlink>
    </w:p>
    <w:bookmarkEnd w:id="77"/>
    <w:bookmarkStart w:id="79" w:name="ref-R-forcats"/>
    <w:p>
      <w:pPr>
        <w:pStyle w:val="Literaturverzeichnis"/>
      </w:pPr>
      <w:r>
        <w:t xml:space="preserve">Wickham, H. (2021a).</w:t>
      </w:r>
      <w:r>
        <w:t xml:space="preserve"> </w:t>
      </w:r>
      <w:r>
        <w:rPr>
          <w:iCs/>
          <w:i/>
        </w:rPr>
        <w:t xml:space="preserve">Forcats: Tools for working with categorical variables (factors)</w:t>
      </w:r>
      <w:r>
        <w:t xml:space="preserve">. Retrieved from</w:t>
      </w:r>
      <w:r>
        <w:t xml:space="preserve"> </w:t>
      </w:r>
      <w:hyperlink r:id="rId78">
        <w:r>
          <w:rPr>
            <w:rStyle w:val="Hyperlink"/>
          </w:rPr>
          <w:t xml:space="preserve">https://CRAN.R-project.org/package=forcats</w:t>
        </w:r>
      </w:hyperlink>
    </w:p>
    <w:bookmarkEnd w:id="79"/>
    <w:bookmarkStart w:id="81" w:name="ref-R-tidyr"/>
    <w:p>
      <w:pPr>
        <w:pStyle w:val="Literaturverzeichnis"/>
      </w:pPr>
      <w:r>
        <w:t xml:space="preserve">Wickham, H. (2021b).</w:t>
      </w:r>
      <w:r>
        <w:t xml:space="preserve"> </w:t>
      </w:r>
      <w:r>
        <w:rPr>
          <w:iCs/>
          <w:i/>
        </w:rPr>
        <w:t xml:space="preserve">Tidyr: Tidy messy data</w:t>
      </w:r>
      <w:r>
        <w:t xml:space="preserve">. Retrieved from</w:t>
      </w:r>
      <w:r>
        <w:t xml:space="preserve"> </w:t>
      </w:r>
      <w:hyperlink r:id="rId80">
        <w:r>
          <w:rPr>
            <w:rStyle w:val="Hyperlink"/>
          </w:rPr>
          <w:t xml:space="preserve">https://CRAN.R-project.org/package=tidyr</w:t>
        </w:r>
      </w:hyperlink>
    </w:p>
    <w:bookmarkEnd w:id="81"/>
    <w:bookmarkStart w:id="83"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82">
        <w:r>
          <w:rPr>
            <w:rStyle w:val="Hyperlink"/>
          </w:rPr>
          <w:t xml:space="preserve">https://doi.org/10.21105/joss.01686</w:t>
        </w:r>
      </w:hyperlink>
    </w:p>
    <w:bookmarkEnd w:id="83"/>
    <w:bookmarkStart w:id="85"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84">
        <w:r>
          <w:rPr>
            <w:rStyle w:val="Hyperlink"/>
          </w:rPr>
          <w:t xml:space="preserve">https://CRAN.R-project.org/package=dplyr</w:t>
        </w:r>
      </w:hyperlink>
    </w:p>
    <w:bookmarkEnd w:id="85"/>
    <w:bookmarkStart w:id="87" w:name="ref-R-readr"/>
    <w:p>
      <w:pPr>
        <w:pStyle w:val="Literaturverzeichnis"/>
      </w:pPr>
      <w:r>
        <w:t xml:space="preserve">Wickham, H., &amp; Hester, J. (2020).</w:t>
      </w:r>
      <w:r>
        <w:t xml:space="preserve"> </w:t>
      </w:r>
      <w:r>
        <w:rPr>
          <w:iCs/>
          <w:i/>
        </w:rPr>
        <w:t xml:space="preserve">Readr: Read rectangular text data</w:t>
      </w:r>
      <w:r>
        <w:t xml:space="preserve">. Retrieved from</w:t>
      </w:r>
      <w:r>
        <w:t xml:space="preserve"> </w:t>
      </w:r>
      <w:hyperlink r:id="rId86">
        <w:r>
          <w:rPr>
            <w:rStyle w:val="Hyperlink"/>
          </w:rPr>
          <w:t xml:space="preserve">https://CRAN.R-project.org/package=readr</w:t>
        </w:r>
      </w:hyperlink>
    </w:p>
    <w:bookmarkEnd w:id="87"/>
    <w:bookmarkStart w:id="89" w:name="ref-R-DT"/>
    <w:p>
      <w:pPr>
        <w:pStyle w:val="Literaturverzeichnis"/>
      </w:pPr>
      <w:r>
        <w:t xml:space="preserve">Xie, Y., Cheng, J., &amp; Tan, X. (2021).</w:t>
      </w:r>
      <w:r>
        <w:t xml:space="preserve"> </w:t>
      </w:r>
      <w:r>
        <w:rPr>
          <w:iCs/>
          <w:i/>
        </w:rPr>
        <w:t xml:space="preserve">DT: A wrapper of the JavaScript library ’DataTables’</w:t>
      </w:r>
      <w:r>
        <w:t xml:space="preserve">. Retrieved from</w:t>
      </w:r>
      <w:r>
        <w:t xml:space="preserve"> </w:t>
      </w:r>
      <w:hyperlink r:id="rId88">
        <w:r>
          <w:rPr>
            <w:rStyle w:val="Hyperlink"/>
          </w:rPr>
          <w:t xml:space="preserve">https://CRAN.R-project.org/package=DT</w:t>
        </w:r>
      </w:hyperlink>
    </w:p>
    <w:bookmarkEnd w:id="89"/>
    <w:bookmarkStart w:id="91" w:name="ref-R-kableExtra"/>
    <w:p>
      <w:pPr>
        <w:pStyle w:val="Literaturverzeichnis"/>
      </w:pPr>
      <w:r>
        <w:t xml:space="preserve">Zhu, H. (2021).</w:t>
      </w:r>
      <w:r>
        <w:t xml:space="preserve"> </w:t>
      </w:r>
      <w:r>
        <w:rPr>
          <w:iCs/>
          <w:i/>
        </w:rPr>
        <w:t xml:space="preserve">kableExtra: Construct complex table with ’kable’ and pipe syntax</w:t>
      </w:r>
      <w:r>
        <w:t xml:space="preserve">. Retrieved from</w:t>
      </w:r>
      <w:r>
        <w:t xml:space="preserve"> </w:t>
      </w:r>
      <w:hyperlink r:id="rId90">
        <w:r>
          <w:rPr>
            <w:rStyle w:val="Hyperlink"/>
          </w:rPr>
          <w:t xml:space="preserve">https://CRAN.R-project.org/package=kableExtra</w:t>
        </w:r>
      </w:hyperlink>
    </w:p>
    <w:bookmarkEnd w:id="91"/>
    <w:bookmarkEnd w:id="92"/>
    <w:bookmarkEnd w:id="93"/>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Probably put a table in here highlighting certain modification indices (with a key to intended factor-item association).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88" Target="https://CRAN.R-project.org/package=DT" TargetMode="External" /><Relationship Type="http://schemas.openxmlformats.org/officeDocument/2006/relationships/hyperlink" Id="rId84"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90" Target="https://CRAN.R-project.org/package=kableExtra" TargetMode="External" /><Relationship Type="http://schemas.openxmlformats.org/officeDocument/2006/relationships/hyperlink" Id="rId34"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6"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1" Target="https://CRAN.R-project.org/package=semPlot" TargetMode="External" /><Relationship Type="http://schemas.openxmlformats.org/officeDocument/2006/relationships/hyperlink" Id="rId76" Target="https://CRAN.R-project.org/package=stringr" TargetMode="External" /><Relationship Type="http://schemas.openxmlformats.org/officeDocument/2006/relationships/hyperlink" Id="rId61"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55" Target="https://doi.org/10.1016/S1479-3555(03)03003-8" TargetMode="External" /><Relationship Type="http://schemas.openxmlformats.org/officeDocument/2006/relationships/hyperlink" Id="rId53" Target="https://doi.org/10.1016/j.ijhm.2008.06.001" TargetMode="External" /><Relationship Type="http://schemas.openxmlformats.org/officeDocument/2006/relationships/hyperlink" Id="rId43" Target="https://doi.org/10.1177/103841118402200406" TargetMode="External" /><Relationship Type="http://schemas.openxmlformats.org/officeDocument/2006/relationships/hyperlink" Id="rId39" Target="https://doi.org/10.1177/105960119101600204"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32" Target="https://github.com/crsh/papaja" TargetMode="External" /><Relationship Type="http://schemas.openxmlformats.org/officeDocument/2006/relationships/hyperlink" Id="rId63"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88" Target="https://CRAN.R-project.org/package=DT" TargetMode="External" /><Relationship Type="http://schemas.openxmlformats.org/officeDocument/2006/relationships/hyperlink" Id="rId84" Target="https://CRAN.R-project.org/package=dplyr" TargetMode="External" /><Relationship Type="http://schemas.openxmlformats.org/officeDocument/2006/relationships/hyperlink" Id="rId78" Target="https://CRAN.R-project.org/package=forcats" TargetMode="External" /><Relationship Type="http://schemas.openxmlformats.org/officeDocument/2006/relationships/hyperlink" Id="rId90" Target="https://CRAN.R-project.org/package=kableExtra" TargetMode="External" /><Relationship Type="http://schemas.openxmlformats.org/officeDocument/2006/relationships/hyperlink" Id="rId34" Target="https://CRAN.R-project.org/package=magrittr" TargetMode="External" /><Relationship Type="http://schemas.openxmlformats.org/officeDocument/2006/relationships/hyperlink" Id="rId49" Target="https://CRAN.R-project.org/package=purrr" TargetMode="External" /><Relationship Type="http://schemas.openxmlformats.org/officeDocument/2006/relationships/hyperlink" Id="rId86" Target="https://CRAN.R-project.org/package=readr" TargetMode="External" /><Relationship Type="http://schemas.openxmlformats.org/officeDocument/2006/relationships/hyperlink" Id="rId45" Target="https://CRAN.R-project.org/package=sem" TargetMode="External" /><Relationship Type="http://schemas.openxmlformats.org/officeDocument/2006/relationships/hyperlink" Id="rId41" Target="https://CRAN.R-project.org/package=semPlot" TargetMode="External" /><Relationship Type="http://schemas.openxmlformats.org/officeDocument/2006/relationships/hyperlink" Id="rId76" Target="https://CRAN.R-project.org/package=stringr" TargetMode="External" /><Relationship Type="http://schemas.openxmlformats.org/officeDocument/2006/relationships/hyperlink" Id="rId61" Target="https://CRAN.R-project.org/package=tibble" TargetMode="External" /><Relationship Type="http://schemas.openxmlformats.org/officeDocument/2006/relationships/hyperlink" Id="rId80" Target="https://CRAN.R-project.org/package=tidyr" TargetMode="External" /><Relationship Type="http://schemas.openxmlformats.org/officeDocument/2006/relationships/hyperlink" Id="rId55" Target="https://doi.org/10.1016/S1479-3555(03)03003-8" TargetMode="External" /><Relationship Type="http://schemas.openxmlformats.org/officeDocument/2006/relationships/hyperlink" Id="rId53" Target="https://doi.org/10.1016/j.ijhm.2008.06.001" TargetMode="External" /><Relationship Type="http://schemas.openxmlformats.org/officeDocument/2006/relationships/hyperlink" Id="rId43" Target="https://doi.org/10.1177/103841118402200406" TargetMode="External" /><Relationship Type="http://schemas.openxmlformats.org/officeDocument/2006/relationships/hyperlink" Id="rId39" Target="https://doi.org/10.1177/105960119101600204" TargetMode="External" /><Relationship Type="http://schemas.openxmlformats.org/officeDocument/2006/relationships/hyperlink" Id="rId82" Target="https://doi.org/10.21105/joss.01686" TargetMode="External" /><Relationship Type="http://schemas.openxmlformats.org/officeDocument/2006/relationships/hyperlink" Id="rId74" Target="https://ggplot2.tidyverse.org" TargetMode="External" /><Relationship Type="http://schemas.openxmlformats.org/officeDocument/2006/relationships/hyperlink" Id="rId32" Target="https://github.com/crsh/papaja" TargetMode="External" /><Relationship Type="http://schemas.openxmlformats.org/officeDocument/2006/relationships/hyperlink" Id="rId63" Target="https://www.R-project.org/" TargetMode="External" /><Relationship Type="http://schemas.openxmlformats.org/officeDocument/2006/relationships/hyperlink" Id="rId65" Target="https://www.jstatsoft.org/v48/i02/"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2021-07-27T16:42:40Z</dcterms:created>
  <dcterms:modified xsi:type="dcterms:W3CDTF">2021-07-27T16:42:40Z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C:\Users\John-o\Documents\R\win-library\4.0\papaja\rmd\apa6.csl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BiFactor Engagement</vt:lpwstr>
  </property>
  <property fmtid="{D5CDD505-2E9C-101B-9397-08002B2CF9AE}" pid="16" name="tablelist">
    <vt:lpwstr>no</vt:lpwstr>
  </property>
  <property fmtid="{D5CDD505-2E9C-101B-9397-08002B2CF9AE}" pid="17" name="wordcount">
    <vt:lpwstr>X</vt:lpwstr>
  </property>
</Properties>
</file>