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4.png" ContentType="image/png"/>
  <Override PartName="/word/media/rId35.png" ContentType="image/png"/>
  <Override PartName="/word/media/rId33.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Development</w:t>
      </w:r>
      <w:r>
        <w:t xml:space="preserve"> </w:t>
      </w:r>
      <w:r>
        <w:t xml:space="preserve">of</w:t>
      </w:r>
      <w:r>
        <w:t xml:space="preserve"> </w:t>
      </w:r>
      <w:r>
        <w:t xml:space="preserve">an</w:t>
      </w:r>
      <w:r>
        <w:t xml:space="preserve"> </w:t>
      </w:r>
      <w:r>
        <w:t xml:space="preserve">Intentional</w:t>
      </w:r>
      <w:r>
        <w:t xml:space="preserve"> </w:t>
      </w:r>
      <w:r>
        <w:t xml:space="preserve">BiFactor</w:t>
      </w:r>
      <w:r>
        <w:t xml:space="preserve"> </w:t>
      </w:r>
      <w:r>
        <w:t xml:space="preserve">Engagement</w:t>
      </w:r>
      <w:r>
        <w:t xml:space="preserve"> </w:t>
      </w:r>
      <w:r>
        <w:t xml:space="preserve">Measure</w:t>
      </w:r>
    </w:p>
    <w:p>
      <w:pPr>
        <w:pStyle w:val="Author"/>
      </w:pPr>
      <w:r>
        <w:t xml:space="preserve">Morgan Russell</w:t>
      </w:r>
      <w:r>
        <w:rPr>
          <w:vertAlign w:val="superscript"/>
        </w:rPr>
        <w:t xml:space="preserve">1</w:t>
      </w:r>
      <w:r>
        <w:t xml:space="preserve">, Casey Osorio-Duffoo</w:t>
      </w:r>
      <w:r>
        <w:rPr>
          <w:vertAlign w:val="superscript"/>
        </w:rPr>
        <w:t xml:space="preserve">2</w:t>
      </w:r>
      <w:r>
        <w:t xml:space="preserve">, Renata Garcia Prieto Palacios Roji</w:t>
      </w:r>
      <w:r>
        <w:rPr>
          <w:vertAlign w:val="superscript"/>
        </w:rPr>
        <w:t xml:space="preserve">1</w:t>
      </w:r>
      <w:r>
        <w:t xml:space="preserve">, &amp; John Kulas</w:t>
      </w:r>
      <w:r>
        <w:rPr>
          <w:vertAlign w:val="superscript"/>
        </w:rPr>
        <w:t xml:space="preserve">1</w:t>
      </w:r>
    </w:p>
    <w:p>
      <w:pPr>
        <w:pStyle w:val="Author"/>
      </w:pPr>
      <w:r>
        <w:rPr>
          <w:vertAlign w:val="superscript"/>
        </w:rPr>
        <w:t xml:space="preserve">1</w:t>
      </w:r>
      <w:r>
        <w:t xml:space="preserve"> </w:t>
      </w:r>
      <w:r>
        <w:t xml:space="preserve">Montclair State University</w:t>
      </w:r>
    </w:p>
    <w:p>
      <w:pPr>
        <w:pStyle w:val="Author"/>
      </w:pPr>
      <w:r>
        <w:rPr>
          <w:vertAlign w:val="superscript"/>
        </w:rPr>
        <w:t xml:space="preserve">2</w:t>
      </w:r>
      <w:r>
        <w:t xml:space="preserve"> </w:t>
      </w:r>
      <w:r>
        <w:t xml:space="preserve">Harver</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Correspondence concerning this article should be addressed to Morgan Russell, 1 Normal Ave, Montclair, NJ 07043. E-mail:</w:t>
      </w:r>
      <w:r>
        <w:t xml:space="preserve"> </w:t>
      </w:r>
      <w:hyperlink r:id="rId20">
        <w:r>
          <w:rPr>
            <w:rStyle w:val="Hyperlink"/>
          </w:rPr>
          <w:t xml:space="preserve">russellm5@montclair.edu</w:t>
        </w:r>
      </w:hyperlink>
    </w:p>
    <w:p>
      <w:pPr>
        <w:pStyle w:val="h1-pagebreak"/>
      </w:pPr>
      <w:r>
        <w:t xml:space="preserve">Abstract</w:t>
      </w:r>
    </w:p>
    <w:p>
      <w:pPr>
        <w:pStyle w:val="Textkrper"/>
      </w:pPr>
      <w:r>
        <w:t xml:space="preserve">Employee engagement has recently enjoyed a surge in interest as a positive employee outcome despite continued disageement regarding its factor structure and nomological relationship to other constructs, like burnout.</w:t>
      </w:r>
      <w:r>
        <w:t xml:space="preserve"> </w:t>
      </w:r>
      <w:r>
        <w:t xml:space="preserve">We contrast two three-factor models of engagement: substantive, with the dimensions vigor, dedication and absorption, and attitudinal, with cognitive, affective and behavioral dimensions.</w:t>
      </w:r>
      <w:r>
        <w:t xml:space="preserve"> </w:t>
      </w:r>
      <w:r>
        <w:t xml:space="preserve">Using bifactor analysis, study 1 proposes a scale that reconciles these two models and reduces 36 candidate items to 18.</w:t>
      </w:r>
      <w:r>
        <w:t xml:space="preserve"> </w:t>
      </w:r>
      <w:r>
        <w:t xml:space="preserve">Study 2 convergently and discriminantly validates this scale.</w:t>
      </w:r>
    </w:p>
    <w:p>
      <w:pPr>
        <w:pStyle w:val="Textkrper"/>
      </w:pPr>
      <w:r>
        <w:t xml:space="preserve">One or two sentences providing a</w:t>
      </w:r>
      <w:r>
        <w:t xml:space="preserve"> </w:t>
      </w:r>
      <w:r>
        <w:rPr>
          <w:b/>
        </w:rPr>
        <w:t xml:space="preserve">basic introduction</w:t>
      </w:r>
      <w:r>
        <w:t xml:space="preserve"> </w:t>
      </w:r>
      <w:r>
        <w:t xml:space="preserve">to the field, comprehensible to a scientist in any discipline.</w:t>
      </w:r>
    </w:p>
    <w:p>
      <w:pPr>
        <w:pStyle w:val="Textkrper"/>
      </w:pPr>
      <w:r>
        <w:t xml:space="preserve">Two to three sentences of</w:t>
      </w:r>
      <w:r>
        <w:t xml:space="preserve"> </w:t>
      </w:r>
      <w:r>
        <w:rPr>
          <w:b/>
        </w:rPr>
        <w:t xml:space="preserve">more detailed background</w:t>
      </w:r>
      <w:r>
        <w:t xml:space="preserve">, comprehensible to scientists in related disciplines.</w:t>
      </w:r>
    </w:p>
    <w:p>
      <w:pPr>
        <w:pStyle w:val="Textkrper"/>
      </w:pPr>
      <w:r>
        <w:t xml:space="preserve">One sentence clearly stating the</w:t>
      </w:r>
      <w:r>
        <w:t xml:space="preserve"> </w:t>
      </w:r>
      <w:r>
        <w:rPr>
          <w:b/>
        </w:rPr>
        <w:t xml:space="preserve">general problem</w:t>
      </w:r>
      <w:r>
        <w:t xml:space="preserve"> </w:t>
      </w:r>
      <w:r>
        <w:t xml:space="preserve">being addressed by this particular study.</w:t>
      </w:r>
    </w:p>
    <w:p>
      <w:pPr>
        <w:pStyle w:val="Textkrper"/>
      </w:pPr>
      <w:r>
        <w:t xml:space="preserve">One sentence summarizing the main result (with the words</w:t>
      </w:r>
      <w:r>
        <w:t xml:space="preserve"> </w:t>
      </w:r>
      <w:r>
        <w:t xml:space="preserve">“</w:t>
      </w:r>
      <w:r>
        <w:rPr>
          <w:b/>
        </w:rPr>
        <w:t xml:space="preserve">here we show</w:t>
      </w:r>
      <w:r>
        <w:t xml:space="preserve">”</w:t>
      </w:r>
      <w:r>
        <w:t xml:space="preserve"> </w:t>
      </w:r>
      <w:r>
        <w:t xml:space="preserve">or their equivalent).</w:t>
      </w:r>
    </w:p>
    <w:p>
      <w:pPr>
        <w:pStyle w:val="Textkrper"/>
      </w:pPr>
      <w:r>
        <w:t xml:space="preserve">Two or three sentences explaining what the</w:t>
      </w:r>
      <w:r>
        <w:t xml:space="preserve"> </w:t>
      </w:r>
      <w:r>
        <w:rPr>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
        </w:rPr>
        <w:t xml:space="preserve">general context</w:t>
      </w:r>
      <w:r>
        <w:t xml:space="preserve">.</w:t>
      </w:r>
    </w:p>
    <w:p>
      <w:pPr>
        <w:pStyle w:val="Textkrper"/>
      </w:pPr>
      <w:r>
        <w:t xml:space="preserve">Two or three sentences to provide a</w:t>
      </w:r>
      <w:r>
        <w:t xml:space="preserve"> </w:t>
      </w:r>
      <w:r>
        <w:rPr>
          <w:b/>
        </w:rPr>
        <w:t xml:space="preserve">broader perspective</w:t>
      </w:r>
      <w:r>
        <w:t xml:space="preserve">, readily comprehensible to a scientist in any discipline.</w:t>
      </w:r>
    </w:p>
    <w:p>
      <w:pPr>
        <w:pStyle w:val="Textkrper"/>
      </w:pPr>
      <w:r>
        <w:rPr>
          <w:i/>
        </w:rPr>
        <w:t xml:space="preserve">Keywords:</w:t>
      </w:r>
      <w:r>
        <w:t xml:space="preserve"> </w:t>
      </w:r>
      <w:r>
        <w:t xml:space="preserve">Engagement, engagement</w:t>
      </w:r>
    </w:p>
    <w:p>
      <w:pPr>
        <w:pStyle w:val="Textkrper"/>
      </w:pPr>
      <w:r>
        <w:rPr>
          <w:i/>
        </w:rPr>
        <w:t xml:space="preserve">Word count:</w:t>
      </w:r>
      <w:r>
        <w:t xml:space="preserve"> </w:t>
      </w:r>
      <w:r>
        <w:t xml:space="preserve">X</w:t>
      </w:r>
    </w:p>
    <w:p>
      <w:pPr>
        <w:pStyle w:val="h1-pagebreak"/>
      </w:pPr>
      <w:r>
        <w:t xml:space="preserve">Development of an Intentional BiFactor Engagement Measure</w:t>
      </w:r>
    </w:p>
    <w:p>
      <w:pPr>
        <w:pStyle w:val="Textkrper"/>
      </w:pPr>
      <w:r>
        <w:t xml:space="preserve">#Introduction</w:t>
      </w:r>
    </w:p>
    <w:p>
      <w:pPr>
        <w:pStyle w:val="Blocktext"/>
      </w:pPr>
      <w:r>
        <w:t xml:space="preserve">Renata’s SEM paper will come in handy</w:t>
      </w:r>
    </w:p>
    <w:p>
      <w:pPr>
        <w:pStyle w:val="FirstParagraph"/>
      </w:pPr>
      <w:r>
        <w:t xml:space="preserve">Recent decades have seen a proliferation of interest and research in the construct of employee engagement.</w:t>
      </w:r>
    </w:p>
    <w:p>
      <w:pPr>
        <w:pStyle w:val="Blocktext"/>
      </w:pPr>
      <w:r>
        <w:t xml:space="preserve">more on why we’re looking at tripartite model</w:t>
      </w:r>
    </w:p>
    <w:p>
      <w:pPr>
        <w:pStyle w:val="FirstParagraph"/>
      </w:pPr>
      <w:r>
        <w:t xml:space="preserve">The roots of employee</w:t>
      </w:r>
      <w:r>
        <w:t xml:space="preserve"> </w:t>
      </w:r>
      <w:r>
        <w:t xml:space="preserve">(aka work; e.g., W. Schaufeli &amp; Bakker, 2010)</w:t>
      </w:r>
      <w:r>
        <w:t xml:space="preserve"> </w:t>
      </w:r>
      <w:r>
        <w:t xml:space="preserve">engagement research likely started with theoretical expansions of forms of employee participation</w:t>
      </w:r>
      <w:r>
        <w:t xml:space="preserve"> </w:t>
      </w:r>
      <w:r>
        <w:t xml:space="preserve">(see, for example, Ferris &amp; Hellier, 1984)</w:t>
      </w:r>
      <w:r>
        <w:t xml:space="preserve"> </w:t>
      </w:r>
      <w:r>
        <w:t xml:space="preserve">and job involvement</w:t>
      </w:r>
      <w:r>
        <w:t xml:space="preserve"> </w:t>
      </w:r>
      <w:r>
        <w:t xml:space="preserve">(e.g., Elloy, Everett, &amp; Flynn, 1991)</w:t>
      </w:r>
      <w:r>
        <w:t xml:space="preserve">. This exploration extended into broader considerations of attitudes and emotions</w:t>
      </w:r>
      <w:r>
        <w:t xml:space="preserve"> </w:t>
      </w:r>
      <w:r>
        <w:t xml:space="preserve">(Staw, Sutton, &amp; Pelled, 1994)</w:t>
      </w:r>
      <w:r>
        <w:t xml:space="preserve"> </w:t>
      </w:r>
      <w:r>
        <w:t xml:space="preserve">and were informed by further exploration of the dimensionality of constructs such as organizational commitment</w:t>
      </w:r>
      <w:r>
        <w:t xml:space="preserve"> </w:t>
      </w:r>
      <w:r>
        <w:t xml:space="preserve">(Meyer &amp; Allen, 1991)</w:t>
      </w:r>
      <w:r>
        <w:t xml:space="preserve">. The 1990’s saw focused development and refinement (for example, a dissertation;</w:t>
      </w:r>
      <w:r>
        <w:t xml:space="preserve"> </w:t>
      </w:r>
      <w:r>
        <w:t xml:space="preserve">Leone (1995)</w:t>
      </w:r>
      <w:r>
        <w:t xml:space="preserve"> </w:t>
      </w:r>
      <w:r>
        <w:t xml:space="preserve">or actual semantic reference;</w:t>
      </w:r>
      <w:r>
        <w:t xml:space="preserve"> </w:t>
      </w:r>
      <w:r>
        <w:t xml:space="preserve">William A. Kahn (1990)</w:t>
      </w:r>
      <w:r>
        <w:t xml:space="preserve">).</w:t>
      </w:r>
      <w:r>
        <w:t xml:space="preserve"> </w:t>
      </w:r>
      <w:r>
        <w:t xml:space="preserve">Staw, Sutton, and Pelled (1994)</w:t>
      </w:r>
      <w:r>
        <w:t xml:space="preserve"> </w:t>
      </w:r>
      <w:r>
        <w:t xml:space="preserve">investigated the relationships between</w:t>
      </w:r>
      <w:r>
        <w:t xml:space="preserve"> </w:t>
      </w:r>
      <w:r>
        <w:rPr>
          <w:i/>
        </w:rPr>
        <w:t xml:space="preserve">positive emotions</w:t>
      </w:r>
      <w:r>
        <w:t xml:space="preserve"> </w:t>
      </w:r>
      <w:r>
        <w:t xml:space="preserve">and favorable work outcomes, and although they do not use the word,</w:t>
      </w:r>
      <w:r>
        <w:t xml:space="preserve"> </w:t>
      </w:r>
      <w:r>
        <w:t xml:space="preserve">“</w:t>
      </w:r>
      <w:r>
        <w:t xml:space="preserve">engagement,</w:t>
      </w:r>
      <w:r>
        <w:t xml:space="preserve">”</w:t>
      </w:r>
      <w:r>
        <w:t xml:space="preserve"> </w:t>
      </w:r>
      <w:r>
        <w:t xml:space="preserve">their distinction between felt and expressed emotion likely held influence upon the burgeoning interest in the engagement construct.</w:t>
      </w:r>
    </w:p>
    <w:p>
      <w:pPr>
        <w:pStyle w:val="Blocktext"/>
      </w:pPr>
      <w:r>
        <w:t xml:space="preserve">burnout</w:t>
      </w:r>
    </w:p>
    <w:p>
      <w:pPr>
        <w:pStyle w:val="FirstParagraph"/>
      </w:pPr>
      <w:r>
        <w:t xml:space="preserve">Although occasionally referred to as residing on the opposing pole to</w:t>
      </w:r>
      <w:r>
        <w:t xml:space="preserve"> </w:t>
      </w:r>
      <w:r>
        <w:rPr>
          <w:i/>
        </w:rPr>
        <w:t xml:space="preserve">burnout</w:t>
      </w:r>
      <w:r>
        <w:t xml:space="preserve"> </w:t>
      </w:r>
      <w:r>
        <w:t xml:space="preserve">(Christina Maslach &amp; Leiter, 2008)</w:t>
      </w:r>
      <w:r>
        <w:t xml:space="preserve">, these two constructs are currently most commonly conceptualized as being distinct</w:t>
      </w:r>
      <w:r>
        <w:t xml:space="preserve"> </w:t>
      </w:r>
      <w:r>
        <w:t xml:space="preserve">(Goering, Shimazu, Zhou, Wada, &amp; Sakai, 2017; Kim, Shin, &amp; Swanger, 2009; Wilmar B. Schaufeli, Taris, &amp; Van Rhenen, 2008; Timms, Brough, &amp; Graham, 2012)</w:t>
      </w:r>
      <w:r>
        <w:t xml:space="preserve">, although certainly not universally</w:t>
      </w:r>
      <w:r>
        <w:t xml:space="preserve"> </w:t>
      </w:r>
      <w:r>
        <w:t xml:space="preserve">(Cole, Walter, Bedeian, &amp; O’Boyle, 2012; Taris, Ybema, &amp; Beek, 2017)</w:t>
      </w:r>
      <w:r>
        <w:t xml:space="preserve">. Comparing the two,</w:t>
      </w:r>
      <w:r>
        <w:t xml:space="preserve"> </w:t>
      </w:r>
      <w:r>
        <w:t xml:space="preserve">Goering, Shimazu, Zhou, Wada, and Sakai (2017)</w:t>
      </w:r>
      <w:r>
        <w:t xml:space="preserve"> </w:t>
      </w:r>
      <w:r>
        <w:t xml:space="preserve">concluded that they have a moderate (negative) association, but also distinct nomological networks.</w:t>
      </w:r>
      <w:r>
        <w:t xml:space="preserve"> </w:t>
      </w:r>
      <w:r>
        <w:t xml:space="preserve">Wilmar B. Schaufeli, Taris, and Van Rhenen (2008)</w:t>
      </w:r>
      <w:r>
        <w:t xml:space="preserve"> </w:t>
      </w:r>
      <w:r>
        <w:t xml:space="preserve">investigated both internal and external association indicators, concluding that engagement and burnout (as well as</w:t>
      </w:r>
      <w:r>
        <w:t xml:space="preserve"> </w:t>
      </w:r>
      <w:r>
        <w:rPr>
          <w:i/>
        </w:rPr>
        <w:t xml:space="preserve">workaholism</w:t>
      </w:r>
      <w:r>
        <w:t xml:space="preserve">) should be considered three distinct constructs.</w:t>
      </w:r>
    </w:p>
    <w:p>
      <w:pPr>
        <w:pStyle w:val="Textkrper"/>
      </w:pPr>
      <w:r>
        <w:t xml:space="preserve">Burnout can be defined as a psychological syndrome characterized by exhaustion (low energy), cynicism (low involvement), and inefficacy (low self-efficacy), which is experienced in response to chronic job stressors</w:t>
      </w:r>
      <w:r>
        <w:t xml:space="preserve"> </w:t>
      </w:r>
      <w:r>
        <w:t xml:space="preserve">(e.g., Leiter &amp; Maslach, 2004; C. Maslach &amp; Leiter, 1997)</w:t>
      </w:r>
      <w:r>
        <w:t xml:space="preserve">. Alternatively, engagement refers to an individual worker’s involvement and satisfaction as well as enthusiasm for work</w:t>
      </w:r>
      <w:r>
        <w:t xml:space="preserve"> </w:t>
      </w:r>
      <w:r>
        <w:t xml:space="preserve">(Harter, Schmidt, &amp; Hayes, 2002)</w:t>
      </w:r>
      <w:r>
        <w:t xml:space="preserve">.</w:t>
      </w:r>
      <w:r>
        <w:t xml:space="preserve"> </w:t>
      </w:r>
      <w:r>
        <w:t xml:space="preserve">W. B. Schaufeli and Bakker (2003)</w:t>
      </w:r>
      <w:r>
        <w:t xml:space="preserve"> </w:t>
      </w:r>
      <w:r>
        <w:t xml:space="preserve">further specify a</w:t>
      </w:r>
      <w:r>
        <w:t xml:space="preserve"> </w:t>
      </w:r>
      <w:r>
        <w:t xml:space="preserve">“</w:t>
      </w:r>
      <w:r>
        <w:t xml:space="preserve">positive, fulfilling, work-related state of mind that is characterized by vigor, dedication, and absorption</w:t>
      </w:r>
      <w:r>
        <w:t xml:space="preserve">”</w:t>
      </w:r>
      <w:r>
        <w:t xml:space="preserve"> </w:t>
      </w:r>
      <w:r>
        <w:t xml:space="preserve">(p. 74). Via their conceptualization, vigor is described as high levels of energy and mental resilience while working. Dedication refers to being strongly involved in one’s work and experiencing a sense of significance, enthusiasm, inspiration, pride, and challenge. Absorption is characterized by being fully concentrated and happily engrossed in one’s work, whereby time passes quickly and one has difficulties with detaching oneself from work</w:t>
      </w:r>
      <w:r>
        <w:t xml:space="preserve"> </w:t>
      </w:r>
      <w:r>
        <w:t xml:space="preserve">(Wilmar B. Schaufeli, Salanova, González-Romá, &amp; Bakker, 2002)</w:t>
      </w:r>
      <w:r>
        <w:t xml:space="preserve">. The dimension of absorption has been noted as being influenced in conceptual specification by</w:t>
      </w:r>
      <w:r>
        <w:t xml:space="preserve"> </w:t>
      </w:r>
      <w:r>
        <w:t xml:space="preserve">(Csikszentmihalyi, 1990)</w:t>
      </w:r>
      <w:r>
        <w:t xml:space="preserve">’s concept of</w:t>
      </w:r>
      <w:r>
        <w:t xml:space="preserve"> </w:t>
      </w:r>
      <w:r>
        <w:t xml:space="preserve">“</w:t>
      </w:r>
      <w:r>
        <w:t xml:space="preserve">flow.</w:t>
      </w:r>
      <w:r>
        <w:t xml:space="preserve">”</w:t>
      </w:r>
    </w:p>
    <w:p>
      <w:pPr>
        <w:pStyle w:val="Textkrper"/>
      </w:pPr>
      <w:r>
        <w:t xml:space="preserve">Regarding measurement, Gallup is widely acknowledged as an early pioneer in the measurement of the construct</w:t>
      </w:r>
      <w:r>
        <w:t xml:space="preserve"> </w:t>
      </w:r>
      <w:r>
        <w:t xml:space="preserve">(see, for example, Coffman &amp; Harter, 1999)</w:t>
      </w:r>
      <w:r>
        <w:t xml:space="preserve">. The Utrecht Work Engagement Scale (UWES) is another self-report questionnaire developed by</w:t>
      </w:r>
      <w:r>
        <w:t xml:space="preserve"> </w:t>
      </w:r>
      <w:r>
        <w:t xml:space="preserve">W. B. Schaufeli and Bakker (2003)</w:t>
      </w:r>
      <w:r>
        <w:t xml:space="preserve"> </w:t>
      </w:r>
      <w:r>
        <w:t xml:space="preserve">that directly assesses the vigor, dedication, and absorption elements.</w:t>
      </w:r>
    </w:p>
    <w:p>
      <w:pPr>
        <w:pStyle w:val="Blocktext"/>
      </w:pPr>
      <w:r>
        <w:t xml:space="preserve">TRIPARTITE MODEL–work here</w:t>
      </w:r>
    </w:p>
    <w:p>
      <w:pPr>
        <w:pStyle w:val="FirstParagraph"/>
      </w:pPr>
      <w:r>
        <w:t xml:space="preserve">The first, to our knowledge, use of the word</w:t>
      </w:r>
      <w:r>
        <w:t xml:space="preserve"> </w:t>
      </w:r>
      <w:r>
        <w:t xml:space="preserve">“</w:t>
      </w:r>
      <w:r>
        <w:t xml:space="preserve">engagement</w:t>
      </w:r>
      <w:r>
        <w:t xml:space="preserve">”</w:t>
      </w:r>
      <w:r>
        <w:t xml:space="preserve"> </w:t>
      </w:r>
      <w:r>
        <w:t xml:space="preserve">as a construct came from</w:t>
      </w:r>
      <w:r>
        <w:t xml:space="preserve"> </w:t>
      </w:r>
      <w:r>
        <w:t xml:space="preserve">William A. Kahn (1990)</w:t>
      </w:r>
      <w:r>
        <w:t xml:space="preserve">, who defined it as:</w:t>
      </w:r>
      <w:r>
        <w:t xml:space="preserve"> </w:t>
      </w:r>
      <w:r>
        <w:t xml:space="preserve">“</w:t>
      </w:r>
      <w:r>
        <w:t xml:space="preserve">the harnessing of organization members’ selves to their work roles; in engagement, people employ and express themselves physically, cognitively, and emotionally during role performances.</w:t>
      </w:r>
      <w:r>
        <w:t xml:space="preserve">”</w:t>
      </w:r>
      <w:r>
        <w:t xml:space="preserve"> </w:t>
      </w:r>
      <w:r>
        <w:t xml:space="preserve">Although this definition was quickly bypassed by subsequent papers (see, for example,</w:t>
      </w:r>
      <w:r>
        <w:t xml:space="preserve"> </w:t>
      </w:r>
      <w:r>
        <w:t xml:space="preserve">(Baumruk, 2004)</w:t>
      </w:r>
      <w:r>
        <w:t xml:space="preserve"> </w:t>
      </w:r>
      <w:r>
        <w:t xml:space="preserve">and</w:t>
      </w:r>
      <w:r>
        <w:t xml:space="preserve"> </w:t>
      </w:r>
      <w:r>
        <w:t xml:space="preserve">(Shaw, 2005)</w:t>
      </w:r>
      <w:r>
        <w:t xml:space="preserve">, who framed it in terms of one’s cognitive and affective</w:t>
      </w:r>
      <w:r>
        <w:t xml:space="preserve"> </w:t>
      </w:r>
      <w:r>
        <w:rPr>
          <w:i/>
        </w:rPr>
        <w:t xml:space="preserve">commitment</w:t>
      </w:r>
      <w:r>
        <w:t xml:space="preserve"> </w:t>
      </w:r>
      <w:r>
        <w:t xml:space="preserve">to one’s organization),</w:t>
      </w:r>
      <w:r>
        <w:t xml:space="preserve"> </w:t>
      </w:r>
      <w:r>
        <w:t xml:space="preserve">William A. Kahn (1990)</w:t>
      </w:r>
      <w:r>
        <w:t xml:space="preserve">’s definition is notable in that it conforms to the then-ascendant tripartite model of attitudes proposed by</w:t>
      </w:r>
      <w:r>
        <w:t xml:space="preserve"> </w:t>
      </w:r>
      <w:r>
        <w:t xml:space="preserve">Rosenberg (1960)</w:t>
      </w:r>
      <w:r>
        <w:t xml:space="preserve">. This model frames attitudes as latent variables that manifest cognitively, affectively and behaviorally.</w:t>
      </w:r>
    </w:p>
    <w:p>
      <w:pPr>
        <w:pStyle w:val="Textkrper"/>
      </w:pPr>
      <w:r>
        <w:t xml:space="preserve">Although falling out of favor in the decades following its construction, interest in the tripartite model was revived by</w:t>
      </w:r>
      <w:r>
        <w:t xml:space="preserve"> </w:t>
      </w:r>
      <w:r>
        <w:t xml:space="preserve">Kaiser and Wilson (2019)</w:t>
      </w:r>
      <w:r>
        <w:t xml:space="preserve">,</w:t>
      </w:r>
    </w:p>
    <w:p>
      <w:pPr>
        <w:pStyle w:val="Blocktext"/>
      </w:pPr>
      <w:r>
        <w:t xml:space="preserve">we need to do some market research on the Q12: 1. what’s the feedback report look like? (google images show one overall</w:t>
      </w:r>
      <w:r>
        <w:t xml:space="preserve"> </w:t>
      </w:r>
      <w:r>
        <w:t xml:space="preserve">“</w:t>
      </w:r>
      <w:r>
        <w:t xml:space="preserve">satsifaction</w:t>
      </w:r>
      <w:r>
        <w:t xml:space="preserve">”</w:t>
      </w:r>
      <w:r>
        <w:t xml:space="preserve"> </w:t>
      </w:r>
      <w:r>
        <w:t xml:space="preserve">score and/or one overall</w:t>
      </w:r>
      <w:r>
        <w:t xml:space="preserve"> </w:t>
      </w:r>
      <w:r>
        <w:t xml:space="preserve">“</w:t>
      </w:r>
      <w:r>
        <w:t xml:space="preserve">engagement</w:t>
      </w:r>
      <w:r>
        <w:t xml:space="preserve">”</w:t>
      </w:r>
      <w:r>
        <w:t xml:space="preserve"> </w:t>
      </w:r>
      <w:r>
        <w:t xml:space="preserve">score), 2. how much does it cost, 3. what are the 200 pulse items Gallup refers to? (6/7/21)</w:t>
      </w:r>
    </w:p>
    <w:p>
      <w:pPr>
        <w:pStyle w:val="FirstParagraph"/>
      </w:pPr>
      <w:r>
        <w:t xml:space="preserve">Our conceptualization of work engagement is a mental state wherein employees…</w:t>
      </w:r>
    </w:p>
    <w:p>
      <w:pPr>
        <w:numPr>
          <w:ilvl w:val="0"/>
          <w:numId w:val="1001"/>
        </w:numPr>
        <w:pStyle w:val="Compact"/>
      </w:pPr>
      <w:r>
        <w:t xml:space="preserve">…feel energized (</w:t>
      </w:r>
      <w:r>
        <w:rPr>
          <w:b/>
        </w:rPr>
        <w:t xml:space="preserve">Vigor</w:t>
      </w:r>
      <w:r>
        <w:t xml:space="preserve">)</w:t>
      </w:r>
    </w:p>
    <w:p>
      <w:pPr>
        <w:numPr>
          <w:ilvl w:val="0"/>
          <w:numId w:val="1001"/>
        </w:numPr>
        <w:pStyle w:val="Compact"/>
      </w:pPr>
      <w:r>
        <w:t xml:space="preserve">…are enthusiastic about the content of their work and the things they do (</w:t>
      </w:r>
      <w:r>
        <w:rPr>
          <w:b/>
        </w:rPr>
        <w:t xml:space="preserve">Dedication</w:t>
      </w:r>
      <w:r>
        <w:t xml:space="preserve">)</w:t>
      </w:r>
    </w:p>
    <w:p>
      <w:pPr>
        <w:numPr>
          <w:ilvl w:val="0"/>
          <w:numId w:val="1001"/>
        </w:numPr>
        <w:pStyle w:val="Compact"/>
      </w:pPr>
      <w:r>
        <w:t xml:space="preserve">…are so immersed in their work activities that time seems compressed (</w:t>
      </w:r>
      <w:r>
        <w:rPr>
          <w:b/>
        </w:rPr>
        <w:t xml:space="preserve">Absorption</w:t>
      </w:r>
      <w:r>
        <w:t xml:space="preserve">)</w:t>
      </w:r>
    </w:p>
    <w:p>
      <w:pPr>
        <w:pStyle w:val="FirstParagraph"/>
      </w:pPr>
      <w:r>
        <w:t xml:space="preserve">This model is not without criticism, however. Some critics question its structural validity by pointing out that vigor, dedication and absorption all correlate highly with each other</w:t>
      </w:r>
      <w:r>
        <w:t xml:space="preserve"> </w:t>
      </w:r>
      <w:r>
        <w:t xml:space="preserve">(Kulikowski, 2017)</w:t>
      </w:r>
      <w:r>
        <w:t xml:space="preserve">.</w:t>
      </w:r>
    </w:p>
    <w:p>
      <w:pPr>
        <w:pStyle w:val="Blocktext"/>
      </w:pPr>
      <w:r>
        <w:t xml:space="preserve">need more on criticisms of model</w:t>
      </w:r>
    </w:p>
    <w:p>
      <w:pPr>
        <w:pStyle w:val="FirstParagraph"/>
      </w:pPr>
      <w:r>
        <w:t xml:space="preserve">The present article explores two methods for constructing a scale that incorporates both the substantive and attitudinal models into one, a more classical one based on corrected item-total correlations and one based on modification indices.</w:t>
      </w:r>
    </w:p>
    <w:bookmarkStart w:id="32" w:name="methods"/>
    <w:p>
      <w:pPr>
        <w:pStyle w:val="berschrift1"/>
      </w:pPr>
      <w:r>
        <w:rPr>
          <w:rStyle w:val="SectionNumber"/>
        </w:rPr>
        <w:t xml:space="preserve">1</w:t>
      </w:r>
      <w:r>
        <w:tab/>
      </w:r>
      <w:r>
        <w:t xml:space="preserve">Methods</w:t>
      </w:r>
    </w:p>
    <w:p>
      <w:pPr>
        <w:pStyle w:val="FirstParagraph"/>
      </w:pPr>
      <w:r>
        <w:t xml:space="preserve">Choice of focus on BIC versus AIC discussed in</w:t>
      </w:r>
      <w:r>
        <w:t xml:space="preserve"> </w:t>
      </w:r>
      <w:r>
        <w:t xml:space="preserve">Dziak, Coffman, Lanza, Li, and Jermiin (2020)</w:t>
      </w:r>
      <w:r>
        <w:t xml:space="preserve">.</w:t>
      </w:r>
    </w:p>
    <w:p>
      <w:pPr>
        <w:pStyle w:val="SourceCode"/>
      </w:pPr>
      <w:r>
        <w:rPr>
          <w:rStyle w:val="VerbatimChar"/>
        </w:rPr>
        <w:t xml:space="preserve">##   [1] 2 3 1 2 3 2 1 1 2 2 2 3 1 1 3 2 3 2 3 1 1 3 1 3 2 2 1 2 2 1 2 3 2 2 2 4 2</w:t>
      </w:r>
      <w:r>
        <w:br/>
      </w:r>
      <w:r>
        <w:rPr>
          <w:rStyle w:val="VerbatimChar"/>
        </w:rPr>
        <w:t xml:space="preserve">##  [38] 3 3 3 2 2 3 2 1 3 1 2 3 2 1 2 2 1 2 3 3 1 1 2 2 1 2 2 3 2 1 2 3 2 3 2 1 7</w:t>
      </w:r>
      <w:r>
        <w:br/>
      </w:r>
      <w:r>
        <w:rPr>
          <w:rStyle w:val="VerbatimChar"/>
        </w:rPr>
        <w:t xml:space="preserve">##  [75] 1 2 2 2 1 2 2 1 3 2 4 2 8 2 2 3 5 2 1 2 3 2 2 2 1 2 1 3 3 2 3 2 2 2 3 3 2</w:t>
      </w:r>
      <w:r>
        <w:br/>
      </w:r>
      <w:r>
        <w:rPr>
          <w:rStyle w:val="VerbatimChar"/>
        </w:rPr>
        <w:t xml:space="preserve">## [112] 2 2 1 2 2 3 2 5 2 3 2 3 2 3 3 1 2 1 3 8 2 1 3 2 3 3 5 3 2 2 2 2 1 3 2 3 3</w:t>
      </w:r>
      <w:r>
        <w:br/>
      </w:r>
      <w:r>
        <w:rPr>
          <w:rStyle w:val="VerbatimChar"/>
        </w:rPr>
        <w:t xml:space="preserve">## [149] 5 2 2 3 2 1 2 3 1 2 3 4 1 2 1 2 1 2 3 5 2 3 2 2 1 3 5 8 5 2 2 3 3 2 1 2 2</w:t>
      </w:r>
      <w:r>
        <w:br/>
      </w:r>
      <w:r>
        <w:rPr>
          <w:rStyle w:val="VerbatimChar"/>
        </w:rPr>
        <w:t xml:space="preserve">## [186] 3 1 1 3 3 1 2 2 2 1 2 2 2 2 3 2 3 2 2 2 2 1 3 3 4 2 2 2 3 1 2 2 1 2 1 2 1</w:t>
      </w:r>
      <w:r>
        <w:br/>
      </w:r>
      <w:r>
        <w:rPr>
          <w:rStyle w:val="VerbatimChar"/>
        </w:rPr>
        <w:t xml:space="preserve">## [223] 1 2 5 2 2 1 2 2 2 2 1 2 3 3 1 3 2 2 2 2 1 2 2 2 3 3 2</w:t>
      </w:r>
    </w:p>
    <w:bookmarkStart w:id="23" w:name="participants"/>
    <w:p>
      <w:pPr>
        <w:pStyle w:val="berschrift2"/>
      </w:pPr>
      <w:r>
        <w:rPr>
          <w:rStyle w:val="SectionNumber"/>
        </w:rPr>
        <w:t xml:space="preserve">1.1</w:t>
      </w:r>
      <w:r>
        <w:tab/>
      </w:r>
      <w:r>
        <w:t xml:space="preserve">Participants</w:t>
      </w:r>
    </w:p>
    <w:p>
      <w:pPr>
        <w:pStyle w:val="FirstParagraph"/>
      </w:pPr>
      <w:r>
        <w:t xml:space="preserve">330 individuals provided ratings across 36 candidate items. These participants were gathered via snowball sampling, with an initial population of undergraduate and graduate students, as well as professional acquaintances of faculty members.`</w:t>
      </w:r>
    </w:p>
    <w:p>
      <w:pPr>
        <w:pStyle w:val="Blocktext"/>
      </w:pPr>
      <w:r>
        <w:t xml:space="preserve">Any validity checks?</w:t>
      </w:r>
    </w:p>
    <w:p>
      <w:pPr>
        <w:pStyle w:val="FirstParagraph"/>
      </w:pPr>
      <w:r>
        <w:t xml:space="preserve">Participant job title, hours worked per week, and organizational tenure were recorded. Mean hours worked per week was 40.59 (SD = 13.69), see Figure</w:t>
      </w:r>
      <w:r>
        <w:t xml:space="preserve"> </w:t>
      </w:r>
      <w:r>
        <w:t xml:space="preserve">1</w:t>
      </w:r>
      <w:r>
        <w:t xml:space="preserve">. Mean organizational tenure was 6.82 (SD = 8.50), see Figure</w:t>
      </w:r>
      <w:r>
        <w:t xml:space="preserve"> </w:t>
      </w:r>
      <w:r>
        <w:t xml:space="preserve">2</w:t>
      </w:r>
      <w:r>
        <w:t xml:space="preserve">. Participants who did not exactly specify their tenure (e.g. </w:t>
      </w:r>
      <w:r>
        <w:t xml:space="preserve">“</w:t>
      </w:r>
      <w:r>
        <w:t xml:space="preserve">A bit over a year</w:t>
      </w:r>
      <w:r>
        <w:t xml:space="preserve">”</w:t>
      </w:r>
      <w:r>
        <w:t xml:space="preserve">) were not included in this average.</w:t>
      </w:r>
    </w:p>
    <w:p>
      <w:pPr>
        <w:pStyle w:val="CaptionedFigure"/>
      </w:pPr>
      <w:r>
        <w:drawing>
          <wp:inline>
            <wp:extent cx="4587290" cy="3669832"/>
            <wp:effectExtent b="0" l="0" r="0" t="0"/>
            <wp:docPr descr="Figure 1.   Distribution of mean hours worked per week" title="" id="1" name="Picture"/>
            <a:graphic>
              <a:graphicData uri="http://schemas.openxmlformats.org/drawingml/2006/picture">
                <pic:pic>
                  <pic:nvPicPr>
                    <pic:cNvPr descr="SIOPpapaja_files/figure-docx/hours-1.png" id="0" name="Picture"/>
                    <pic:cNvPicPr>
                      <a:picLocks noChangeArrowheads="1" noChangeAspect="1"/>
                    </pic:cNvPicPr>
                  </pic:nvPicPr>
                  <pic:blipFill>
                    <a:blip r:embed="rId2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Distribution of mean hours worked per week</w:t>
      </w:r>
    </w:p>
    <w:p>
      <w:pPr>
        <w:pStyle w:val="CaptionedFigure"/>
      </w:pPr>
      <w:r>
        <w:drawing>
          <wp:inline>
            <wp:extent cx="4587290" cy="3669832"/>
            <wp:effectExtent b="0" l="0" r="0" t="0"/>
            <wp:docPr descr="Figure 2.   Distribution of organizational tenure (years)" title="" id="1" name="Picture"/>
            <a:graphic>
              <a:graphicData uri="http://schemas.openxmlformats.org/drawingml/2006/picture">
                <pic:pic>
                  <pic:nvPicPr>
                    <pic:cNvPr descr="SIOPpapaja_files/figure-docx/tenure-1.png" id="0" name="Picture"/>
                    <pic:cNvPicPr>
                      <a:picLocks noChangeArrowheads="1" noChangeAspect="1"/>
                    </pic:cNvPicPr>
                  </pic:nvPicPr>
                  <pic:blipFill>
                    <a:blip r:embed="rId22"/>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Distribution of organizational tenure (years)</w:t>
      </w:r>
    </w:p>
    <w:p>
      <w:pPr>
        <w:pStyle w:val="Textkrper"/>
      </w:pPr>
      <w:r>
        <w:t xml:space="preserve">Participants provided their job titles via an optional free text-entry box at the end of the survey. From there, we classified job titles according to the International Standard Classification of Occupations (ISCO-8) with the</w:t>
      </w:r>
      <w:r>
        <w:t xml:space="preserve"> </w:t>
      </w:r>
      <w:r>
        <w:rPr>
          <w:rStyle w:val="VerbatimChar"/>
        </w:rPr>
        <w:t xml:space="preserve">classify_occupation</w:t>
      </w:r>
      <w:r>
        <w:t xml:space="preserve"> </w:t>
      </w:r>
      <w:r>
        <w:t xml:space="preserve">function within the</w:t>
      </w:r>
      <w:r>
        <w:t xml:space="preserve"> </w:t>
      </w:r>
      <w:r>
        <w:rPr>
          <w:rStyle w:val="VerbatimChar"/>
        </w:rPr>
        <w:t xml:space="preserve">labourR</w:t>
      </w:r>
      <w:r>
        <w:t xml:space="preserve"> </w:t>
      </w:r>
      <w:r>
        <w:t xml:space="preserve">package (</w:t>
      </w:r>
      <w:r>
        <w:t xml:space="preserve">Kouretsis, Bampouris, Morfiris, and Papageorgiou (2020)</w:t>
      </w:r>
      <w:r>
        <w:t xml:space="preserve">). The ISCO hierarchically organizes jobs in increasing order of specificity. For example, the first level of the hierarchy distinguishes a professional from a clerical worker or a technician. On the second level, professionals are distinguished among each other by whether they are engineers, medical workers, lawyers, and so on. See</w:t>
      </w:r>
      <w:r>
        <w:t xml:space="preserve"> </w:t>
      </w:r>
      <w: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Professional category</w:t>
            </w:r>
          </w:p>
        </w:tc>
        <w:tc>
          <w:tcPr>
            <w:tcBorders>
              <w:bottom w:val="single"/>
            </w:tcBorders>
            <w:vAlign w:val="bottom"/>
          </w:tcPr>
          <w:p>
            <w:pPr>
              <w:pStyle w:val="Compact"/>
              <w:jc w:val="right"/>
            </w:pPr>
            <w:r>
              <w:t xml:space="preserve">Count</w:t>
            </w:r>
          </w:p>
        </w:tc>
      </w:tr>
      <w:tr>
        <w:tc>
          <w:p>
            <w:pPr>
              <w:pStyle w:val="Compact"/>
              <w:jc w:val="left"/>
            </w:pPr>
            <w:r>
              <w:t xml:space="preserve">Clerical Support Workers</w:t>
            </w:r>
          </w:p>
        </w:tc>
        <w:tc>
          <w:p>
            <w:pPr>
              <w:pStyle w:val="Compact"/>
              <w:jc w:val="right"/>
            </w:pPr>
            <w:r>
              <w:t xml:space="preserve">4</w:t>
            </w:r>
          </w:p>
        </w:tc>
      </w:tr>
      <w:tr>
        <w:tc>
          <w:p>
            <w:pPr>
              <w:pStyle w:val="Compact"/>
              <w:jc w:val="left"/>
            </w:pPr>
            <w:r>
              <w:t xml:space="preserve">Craft and related trades workers</w:t>
            </w:r>
          </w:p>
        </w:tc>
        <w:tc>
          <w:p>
            <w:pPr>
              <w:pStyle w:val="Compact"/>
              <w:jc w:val="right"/>
            </w:pPr>
            <w:r>
              <w:t xml:space="preserve">1</w:t>
            </w:r>
          </w:p>
        </w:tc>
      </w:tr>
      <w:tr>
        <w:tc>
          <w:p>
            <w:pPr>
              <w:pStyle w:val="Compact"/>
              <w:jc w:val="left"/>
            </w:pPr>
            <w:r>
              <w:t xml:space="preserve">Managers</w:t>
            </w:r>
          </w:p>
        </w:tc>
        <w:tc>
          <w:p>
            <w:pPr>
              <w:pStyle w:val="Compact"/>
              <w:jc w:val="right"/>
            </w:pPr>
            <w:r>
              <w:t xml:space="preserve">51</w:t>
            </w:r>
          </w:p>
        </w:tc>
      </w:tr>
      <w:tr>
        <w:tc>
          <w:p>
            <w:pPr>
              <w:pStyle w:val="Compact"/>
              <w:jc w:val="left"/>
            </w:pPr>
            <w:r>
              <w:t xml:space="preserve">Plant and machine operators, and assemblers</w:t>
            </w:r>
          </w:p>
        </w:tc>
        <w:tc>
          <w:p>
            <w:pPr>
              <w:pStyle w:val="Compact"/>
              <w:jc w:val="right"/>
            </w:pPr>
            <w:r>
              <w:t xml:space="preserve">3</w:t>
            </w:r>
          </w:p>
        </w:tc>
      </w:tr>
      <w:tr>
        <w:tc>
          <w:p>
            <w:pPr>
              <w:pStyle w:val="Compact"/>
              <w:jc w:val="left"/>
            </w:pPr>
            <w:r>
              <w:t xml:space="preserve">Professionals</w:t>
            </w:r>
          </w:p>
        </w:tc>
        <w:tc>
          <w:p>
            <w:pPr>
              <w:pStyle w:val="Compact"/>
              <w:jc w:val="right"/>
            </w:pPr>
            <w:r>
              <w:t xml:space="preserve">120</w:t>
            </w:r>
          </w:p>
        </w:tc>
      </w:tr>
      <w:tr>
        <w:tc>
          <w:p>
            <w:pPr>
              <w:pStyle w:val="Compact"/>
              <w:jc w:val="left"/>
            </w:pPr>
            <w:r>
              <w:t xml:space="preserve">Service and sales workers</w:t>
            </w:r>
          </w:p>
        </w:tc>
        <w:tc>
          <w:p>
            <w:pPr>
              <w:pStyle w:val="Compact"/>
              <w:jc w:val="right"/>
            </w:pPr>
            <w:r>
              <w:t xml:space="preserve">8</w:t>
            </w:r>
          </w:p>
        </w:tc>
      </w:tr>
      <w:tr>
        <w:tc>
          <w:p>
            <w:pPr>
              <w:pStyle w:val="Compact"/>
              <w:jc w:val="left"/>
            </w:pPr>
            <w:r>
              <w:t xml:space="preserve">Technicians and associate professionals</w:t>
            </w:r>
          </w:p>
        </w:tc>
        <w:tc>
          <w:p>
            <w:pPr>
              <w:pStyle w:val="Compact"/>
              <w:jc w:val="right"/>
            </w:pPr>
            <w:r>
              <w:t xml:space="preserve">62</w:t>
            </w:r>
          </w:p>
        </w:tc>
      </w:tr>
    </w:tbl>
    <w:bookmarkEnd w:id="23"/>
    <w:bookmarkStart w:id="25" w:name="material"/>
    <w:p>
      <w:pPr>
        <w:pStyle w:val="berschrift2"/>
      </w:pPr>
      <w:r>
        <w:rPr>
          <w:rStyle w:val="SectionNumber"/>
        </w:rPr>
        <w:t xml:space="preserve">1.2</w:t>
      </w:r>
      <w:r>
        <w:tab/>
      </w:r>
      <w:r>
        <w:t xml:space="preserve">Material</w:t>
      </w:r>
    </w:p>
    <w:p>
      <w:pPr>
        <w:pStyle w:val="FirstParagraph"/>
      </w:pPr>
      <w:r>
        <w:t xml:space="preserve">Our survey was administered on Qualtrics.</w:t>
      </w:r>
    </w:p>
    <w:bookmarkStart w:id="24" w:name="item-generation"/>
    <w:p>
      <w:pPr>
        <w:pStyle w:val="berschrift3"/>
      </w:pPr>
      <w:r>
        <w:rPr>
          <w:rStyle w:val="SectionNumber"/>
        </w:rPr>
        <w:t xml:space="preserve">1.2.1</w:t>
      </w:r>
      <w:r>
        <w:tab/>
      </w:r>
      <w:r>
        <w:t xml:space="preserve">Item generation.</w:t>
      </w:r>
    </w:p>
    <w:p>
      <w:pPr>
        <w:pStyle w:val="FirstParagraph"/>
      </w:pPr>
      <w:r>
        <w:t xml:space="preserve">We generated a set of 36 items for our engagement measure, with the ultimate goal of reducing them to a final set of 18. These items were generated according to a review of extant tripartite engagement measures, as well as</w:t>
      </w:r>
      <w:r>
        <w:t xml:space="preserve"> </w:t>
      </w:r>
      <w:r>
        <w:rPr>
          <w:i/>
        </w:rPr>
        <w:t xml:space="preserve">WHAT RESEARCH DID WE USE FOR ATTITUDINAL WORDING? WAS IT LITERALLY JUST</w:t>
      </w:r>
      <w:r>
        <w:rPr>
          <w:i/>
        </w:rPr>
        <w:t xml:space="preserve"> </w:t>
      </w:r>
      <w:r>
        <w:rPr>
          <w:i/>
        </w:rPr>
        <w:t xml:space="preserve">“</w:t>
      </w:r>
      <w:r>
        <w:rPr>
          <w:i/>
        </w:rPr>
        <w:t xml:space="preserve">I THINK,</w:t>
      </w:r>
      <w:r>
        <w:rPr>
          <w:i/>
        </w:rPr>
        <w:t xml:space="preserve">”</w:t>
      </w:r>
      <w:r>
        <w:rPr>
          <w:i/>
        </w:rPr>
        <w:t xml:space="preserve"> </w:t>
      </w:r>
      <w:r>
        <w:rPr>
          <w:i/>
        </w:rPr>
        <w:t xml:space="preserve">“</w:t>
      </w:r>
      <w:r>
        <w:rPr>
          <w:i/>
        </w:rPr>
        <w:t xml:space="preserve">I FEEL,</w:t>
      </w:r>
      <w:r>
        <w:rPr>
          <w:i/>
        </w:rPr>
        <w:t xml:space="preserve">”</w:t>
      </w:r>
      <w:r>
        <w:rPr>
          <w:i/>
        </w:rPr>
        <w:t xml:space="preserve"> </w:t>
      </w:r>
      <w:r>
        <w:rPr>
          <w:i/>
        </w:rPr>
        <w:t xml:space="preserve">“</w:t>
      </w:r>
      <w:r>
        <w:rPr>
          <w:i/>
        </w:rPr>
        <w:t xml:space="preserve">I DO?</w:t>
      </w:r>
      <w:r>
        <w:rPr>
          <w:i/>
        </w:rPr>
        <w:t xml:space="preserve">”</w:t>
      </w:r>
      <w:r>
        <w:t xml:space="preserve"> </w:t>
      </w:r>
      <w:r>
        <w:t xml:space="preserve">Each item was worded to reflect both a substantive dimension as well as an attitudinal dimension. For example, the item</w:t>
      </w:r>
      <w:r>
        <w:t xml:space="preserve"> </w:t>
      </w:r>
      <w:r>
        <w:t xml:space="preserve">“</w:t>
      </w:r>
      <w:r>
        <w:t xml:space="preserve">My job makes me feel like I’m part of something meaningful</w:t>
      </w:r>
      <w:r>
        <w:t xml:space="preserve">”</w:t>
      </w:r>
      <w:r>
        <w:t xml:space="preserve"> </w:t>
      </w:r>
      <w:r>
        <w:t xml:space="preserve">reflects the affective dimension with</w:t>
      </w:r>
      <w:r>
        <w:t xml:space="preserve"> </w:t>
      </w:r>
      <w:r>
        <w:t xml:space="preserve">“</w:t>
      </w:r>
      <w:r>
        <w:t xml:space="preserve">feel</w:t>
      </w:r>
      <w:r>
        <w:t xml:space="preserve">”</w:t>
      </w:r>
      <w:r>
        <w:t xml:space="preserve"> </w:t>
      </w:r>
      <w:r>
        <w:t xml:space="preserve">and the dedication dimension with</w:t>
      </w:r>
      <w:r>
        <w:t xml:space="preserve"> </w:t>
      </w:r>
      <w:r>
        <w:t xml:space="preserve">“</w:t>
      </w:r>
      <w:r>
        <w:t xml:space="preserve">I’m part of something meaningful.</w:t>
      </w:r>
      <w:r>
        <w:t xml:space="preserve">”</w:t>
      </w:r>
    </w:p>
    <w:p>
      <w:pPr>
        <w:pStyle w:val="Textkrper"/>
      </w:pPr>
      <w:r>
        <w:t xml:space="preserve">Our 3x3 bifactor model produced nine pairs of dimensions (e.g., Vigor-Cognitive, Vigor-Affective, Vigor-Behavioral, etc.). With 36 initial items, this left four items per pair of substantive and attitudinal dimensions.</w:t>
      </w:r>
    </w:p>
    <w:p>
      <w:pPr>
        <w:pStyle w:val="Textkrper"/>
      </w:pPr>
      <w:r>
        <w:t xml:space="preserve">The substantive scale definitions provided for ratings were:</w:t>
      </w:r>
    </w:p>
    <w:p>
      <w:pPr>
        <w:numPr>
          <w:ilvl w:val="0"/>
          <w:numId w:val="1002"/>
        </w:numPr>
      </w:pPr>
      <w:r>
        <w:rPr>
          <w:i/>
        </w:rPr>
        <w:t xml:space="preserve">Absorption</w:t>
      </w:r>
      <w:r>
        <w:t xml:space="preserve">: Being fully immersed in one’s work, where time passes quickly and one has difficulty detaching from work tasks</w:t>
      </w:r>
    </w:p>
    <w:p>
      <w:pPr>
        <w:numPr>
          <w:ilvl w:val="0"/>
          <w:numId w:val="1002"/>
        </w:numPr>
      </w:pPr>
      <w:r>
        <w:rPr>
          <w:i/>
        </w:rPr>
        <w:t xml:space="preserve">Vigor</w:t>
      </w:r>
      <w:r>
        <w:t xml:space="preserve">: Experiencing persistent levels of energy, effort, and enthusiasm while working</w:t>
      </w:r>
    </w:p>
    <w:p>
      <w:pPr>
        <w:numPr>
          <w:ilvl w:val="0"/>
          <w:numId w:val="1002"/>
        </w:numPr>
      </w:pPr>
      <w:r>
        <w:rPr>
          <w:i/>
        </w:rPr>
        <w:t xml:space="preserve">Dedication</w:t>
      </w:r>
      <w:r>
        <w:t xml:space="preserve">: Experiencing pride and challenge in ones work, as well as strong feelings of support from and loyalty toward the organization</w:t>
      </w:r>
    </w:p>
    <w:p>
      <w:pPr>
        <w:pStyle w:val="FirstParagraph"/>
      </w:pPr>
      <w:r>
        <w:t xml:space="preserve">The attitudinal scale definitions were:</w:t>
      </w:r>
    </w:p>
    <w:p>
      <w:pPr>
        <w:numPr>
          <w:ilvl w:val="0"/>
          <w:numId w:val="1003"/>
        </w:numPr>
      </w:pPr>
      <w:r>
        <w:rPr>
          <w:i/>
        </w:rPr>
        <w:t xml:space="preserve">Cognitive</w:t>
      </w:r>
      <w:r>
        <w:t xml:space="preserve">: Pertaining to thoughts or general mental processes (for example what someone thinks)</w:t>
      </w:r>
    </w:p>
    <w:p>
      <w:pPr>
        <w:numPr>
          <w:ilvl w:val="0"/>
          <w:numId w:val="1003"/>
        </w:numPr>
      </w:pPr>
      <w:r>
        <w:rPr>
          <w:i/>
        </w:rPr>
        <w:t xml:space="preserve">Affective</w:t>
      </w:r>
      <w:r>
        <w:t xml:space="preserve">: Pertaining to feelings or emotions (for example, how someone feels)</w:t>
      </w:r>
    </w:p>
    <w:p>
      <w:pPr>
        <w:numPr>
          <w:ilvl w:val="0"/>
          <w:numId w:val="1003"/>
        </w:numPr>
      </w:pPr>
      <w:r>
        <w:rPr>
          <w:i/>
        </w:rPr>
        <w:t xml:space="preserve">Behavioral</w:t>
      </w:r>
      <w:r>
        <w:t xml:space="preserve">: Pertaining to acts or actions (for example, what someone does)</w:t>
      </w:r>
    </w:p>
    <w:p>
      <w:pPr>
        <w:pStyle w:val="FirstParagraph"/>
      </w:pPr>
      <w:r>
        <w:t xml:space="preserve">See table</w:t>
      </w:r>
      <w:r>
        <w:t xml:space="preserve"> </w:t>
      </w:r>
      <w:r>
        <w:rPr>
          <w:i/>
        </w:rPr>
        <w:t xml:space="preserve">X</w:t>
      </w:r>
      <w:r>
        <w:t xml:space="preserve"> </w:t>
      </w:r>
      <w:r>
        <w:t xml:space="preserve">for a full list of items and their respective dimensions.</w:t>
      </w:r>
    </w:p>
    <w:bookmarkEnd w:id="24"/>
    <w:bookmarkEnd w:id="25"/>
    <w:bookmarkStart w:id="30" w:name="procedure"/>
    <w:p>
      <w:pPr>
        <w:pStyle w:val="berschrift2"/>
      </w:pPr>
      <w:r>
        <w:rPr>
          <w:rStyle w:val="SectionNumber"/>
        </w:rPr>
        <w:t xml:space="preserve">1.3</w:t>
      </w:r>
      <w:r>
        <w:tab/>
      </w:r>
      <w:r>
        <w:t xml:space="preserve">Procedure</w:t>
      </w:r>
    </w:p>
    <w:p>
      <w:pPr>
        <w:pStyle w:val="Blocktext"/>
      </w:pPr>
      <w:r>
        <w:t xml:space="preserve">Looking into the specification of polychoric covariances</w:t>
      </w:r>
      <w:r>
        <w:t xml:space="preserve"> </w:t>
      </w:r>
      <w:r>
        <w:t xml:space="preserve">(Jöreskog, 1994)</w:t>
      </w:r>
      <w:r>
        <w:t xml:space="preserve">. This seems to be not very commonly leveraged (only package that seems to estimate these is</w:t>
      </w:r>
      <w:r>
        <w:t xml:space="preserve"> </w:t>
      </w:r>
      <w:r>
        <w:rPr>
          <w:rStyle w:val="VerbatimChar"/>
        </w:rPr>
        <w:t xml:space="preserve">semPlot</w:t>
      </w:r>
      <w:r>
        <w:t xml:space="preserve">).</w:t>
      </w:r>
    </w:p>
    <w:p>
      <w:pPr>
        <w:pStyle w:val="FirstParagraph"/>
      </w:pPr>
      <w:r>
        <w:t xml:space="preserve">The effective result of this was two divergent quasi-experimental approaches: 1) focus on corrected item-total correlations, and 2) focus on CFA modification indices.</w:t>
      </w:r>
    </w:p>
    <w:bookmarkStart w:id="26" w:name="corrected-item-total-correlations"/>
    <w:p>
      <w:pPr>
        <w:pStyle w:val="berschrift3"/>
      </w:pPr>
      <w:r>
        <w:rPr>
          <w:rStyle w:val="SectionNumber"/>
        </w:rPr>
        <w:t xml:space="preserve">1.3.1</w:t>
      </w:r>
      <w:r>
        <w:tab/>
      </w:r>
      <w:r>
        <w:t xml:space="preserve">Corrected item-total correlations.</w:t>
      </w:r>
    </w:p>
    <w:p>
      <w:pPr>
        <w:pStyle w:val="Blocktext"/>
      </w:pPr>
      <w:r>
        <w:t xml:space="preserve">To Casey: document your process here</w:t>
      </w:r>
    </w:p>
    <w:p>
      <w:pPr>
        <w:pStyle w:val="FirstParagraph"/>
      </w:pPr>
      <w:r>
        <w:t xml:space="preserve">We conducted a correct item-total correlation on our original 36-items set. Base off, the r. drops that the corrected item-total correlations provide us we narrowed it down by selecting that items that had the best r. drops off removing one item at a time. For example, each cell division contain 4 items, therefore, we remove one of the four items creating 6 potential 3 item corrected item correlations, and from there we choose the items with the best r. drops. We continued the same process when narrowing our three items down to two items. An example is shown below:</w:t>
      </w:r>
    </w:p>
    <w:bookmarkEnd w:id="26"/>
    <w:bookmarkStart w:id="28" w:name="cfa-modification-indices"/>
    <w:p>
      <w:pPr>
        <w:pStyle w:val="berschrift3"/>
      </w:pPr>
      <w:r>
        <w:rPr>
          <w:rStyle w:val="SectionNumber"/>
        </w:rPr>
        <w:t xml:space="preserve">1.3.2</w:t>
      </w:r>
      <w:r>
        <w:tab/>
      </w:r>
      <w:r>
        <w:t xml:space="preserve">CFA Modification Indices.</w:t>
      </w:r>
    </w:p>
    <w:p>
      <w:pPr>
        <w:pStyle w:val="FirstParagraph"/>
      </w:pPr>
      <w:r>
        <w:t xml:space="preserve">We followed two parallel stepwise item-reduction processes centered around eliminating items in decreasing order of modification indices. Looking at the 36-item substantive and attitudinal models independently (process 1 and process 2), we requested modification indices from each, with the intent of retaining indicators whose fixed shared residual covariances were associated with high modification indices (indicating better model fit if the paths were freed). The item pair with the highest modification index was scrutinized, with a subjective group judgment made on wording and content domain coverage. The less preferred item was removed from the model. In cases where the highest modification index was between the only two remaining items in a substantive-attitudinal pair, these items were passed over for scrutiny in favor of the items with the next-highest index. This process was repeated until 18 items remained (i.e., 2 items for each of the 9 substantive-attitudinal pairs).</w:t>
      </w:r>
    </w:p>
    <w:p>
      <w:pPr>
        <w:pStyle w:val="Textkrper"/>
      </w:pPr>
      <w:r>
        <w:t xml:space="preserve">For example, the path with the highest modification index across both CFAs was between item 2 and item 4, which are both indicators of</w:t>
      </w:r>
      <w:r>
        <w:t xml:space="preserve"> </w:t>
      </w:r>
      <w:r>
        <w:t xml:space="preserve">“</w:t>
      </w:r>
      <w:r>
        <w:t xml:space="preserve">Absorption</w:t>
      </w:r>
      <w:r>
        <w:t xml:space="preserve">”</w:t>
      </w:r>
      <w:r>
        <w:t xml:space="preserve"> </w:t>
      </w:r>
      <w:r>
        <w:t xml:space="preserve">and</w:t>
      </w:r>
      <w:r>
        <w:t xml:space="preserve"> </w:t>
      </w:r>
      <w:r>
        <w:t xml:space="preserve">“</w:t>
      </w:r>
      <w:r>
        <w:t xml:space="preserve">Cognition.</w:t>
      </w:r>
      <w:r>
        <w:t xml:space="preserve">”</w:t>
      </w:r>
      <w:r>
        <w:t xml:space="preserve"> </w:t>
      </w:r>
      <w:r>
        <w:t xml:space="preserve">One of these items was therefore a candidate for deletion, and semantic preference was given to item 4,</w:t>
      </w:r>
      <w:r>
        <w:t xml:space="preserve"> </w:t>
      </w:r>
      <w:r>
        <w:t xml:space="preserve">“</w:t>
      </w:r>
      <w:r>
        <w:t xml:space="preserve">I find it difficult to mentally disconnect from work</w:t>
      </w:r>
      <w:r>
        <w:t xml:space="preserve">”</w:t>
      </w:r>
      <w:r>
        <w:t xml:space="preserve"> </w:t>
      </w:r>
      <w:r>
        <w:t xml:space="preserve">over item 2. After item 2 was excluded from both scale definitions (substantive and attitudinal), the CFAs were re-run and modification indices re-checked for bi-factor structure optimizing modifications.</w:t>
      </w:r>
      <w:r>
        <w:rPr>
          <w:rStyle w:val="Funotenzeichen"/>
        </w:rPr>
        <w:footnoteReference w:id="27"/>
      </w:r>
    </w:p>
    <w:p>
      <w:pPr>
        <w:pStyle w:val="Textkrper"/>
      </w:pPr>
      <w:r>
        <w:t xml:space="preserve">The end result was two separate final scale definitions (one optimized for the substantive model and one for the attitudinal model).</w:t>
      </w:r>
    </w:p>
    <w:p>
      <w:pPr>
        <w:pStyle w:val="Blocktext"/>
      </w:pPr>
      <w:r>
        <w:t xml:space="preserve">Old text: We prioritized item deletions such that an item was implicated for deletion if: 1) modification index was high (relative to others) and 2) error residual was within the same</w:t>
      </w:r>
      <w:r>
        <w:t xml:space="preserve"> </w:t>
      </w:r>
      <w:r>
        <w:t xml:space="preserve">“</w:t>
      </w:r>
      <w:r>
        <w:t xml:space="preserve">cell.</w:t>
      </w:r>
      <w:r>
        <w:t xml:space="preserve">”</w:t>
      </w:r>
      <w:r>
        <w:t xml:space="preserve"> </w:t>
      </w:r>
      <w:r>
        <w:t xml:space="preserve">The choice of item to delete was based on author preference for wording/semantics as well as construct element coverage (considering the possible consequences for construct deficiency). Item variance was also consulted (retention more likely with greater item variance).</w:t>
      </w:r>
    </w:p>
    <w:p>
      <w:pPr>
        <w:pStyle w:val="FirstParagraph"/>
      </w:pPr>
      <w:r>
        <w:t xml:space="preserve">Table 1:</w:t>
      </w:r>
    </w:p>
    <w:p>
      <w:pPr>
        <w:pStyle w:val="TableCaption"/>
      </w:pPr>
      <w: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Variable 1</w:t>
            </w:r>
          </w:p>
        </w:tc>
        <w:tc>
          <w:tcPr>
            <w:tcBorders>
              <w:bottom w:val="single"/>
            </w:tcBorders>
            <w:vAlign w:val="bottom"/>
          </w:tcPr>
          <w:p>
            <w:pPr>
              <w:pStyle w:val="Compact"/>
              <w:jc w:val="left"/>
            </w:pPr>
            <w:r>
              <w:t xml:space="preserve">Relationship</w:t>
            </w:r>
          </w:p>
        </w:tc>
        <w:tc>
          <w:tcPr>
            <w:tcBorders>
              <w:bottom w:val="single"/>
            </w:tcBorders>
            <w:vAlign w:val="bottom"/>
          </w:tcPr>
          <w:p>
            <w:pPr>
              <w:pStyle w:val="Compact"/>
              <w:jc w:val="left"/>
            </w:pPr>
            <w:r>
              <w:t xml:space="preserve">Variable 2</w:t>
            </w:r>
          </w:p>
        </w:tc>
        <w:tc>
          <w:tcPr>
            <w:tcBorders>
              <w:bottom w:val="single"/>
            </w:tcBorders>
            <w:vAlign w:val="bottom"/>
          </w:tcPr>
          <w:p>
            <w:pPr>
              <w:pStyle w:val="Compact"/>
              <w:jc w:val="left"/>
            </w:pPr>
            <w:r>
              <w:t xml:space="preserve">&lt;U+0394&gt;&lt;U+03C7&gt;2</w:t>
            </w:r>
          </w:p>
        </w:tc>
      </w:tr>
      <w:tr>
        <w:tc>
          <w:p>
            <w:pPr>
              <w:pStyle w:val="Compact"/>
              <w:jc w:val="left"/>
            </w:pPr>
            <w:r>
              <w:t xml:space="preserve">Item_2</w:t>
            </w:r>
          </w:p>
        </w:tc>
        <w:tc>
          <w:p>
            <w:pPr>
              <w:pStyle w:val="Compact"/>
              <w:jc w:val="left"/>
            </w:pPr>
          </w:p>
        </w:tc>
        <w:tc>
          <w:p>
            <w:pPr>
              <w:pStyle w:val="Compact"/>
              <w:jc w:val="left"/>
            </w:pPr>
            <w:r>
              <w:t xml:space="preserve">Item_4</w:t>
            </w:r>
          </w:p>
        </w:tc>
        <w:tc>
          <w:p>
            <w:pPr>
              <w:pStyle w:val="Compact"/>
              <w:jc w:val="left"/>
            </w:pPr>
            <w:r>
              <w:t xml:space="preserve">192.41</w:t>
            </w:r>
          </w:p>
        </w:tc>
      </w:tr>
      <w:tr>
        <w:tc>
          <w:p>
            <w:pPr>
              <w:pStyle w:val="Compact"/>
              <w:jc w:val="left"/>
            </w:pPr>
            <w:r>
              <w:t xml:space="preserve">Item_8</w:t>
            </w:r>
          </w:p>
        </w:tc>
        <w:tc>
          <w:p>
            <w:pPr>
              <w:pStyle w:val="Compact"/>
              <w:jc w:val="left"/>
            </w:pPr>
          </w:p>
        </w:tc>
        <w:tc>
          <w:p>
            <w:pPr>
              <w:pStyle w:val="Compact"/>
              <w:jc w:val="left"/>
            </w:pPr>
            <w:r>
              <w:t xml:space="preserve">Item_18</w:t>
            </w:r>
          </w:p>
        </w:tc>
        <w:tc>
          <w:p>
            <w:pPr>
              <w:pStyle w:val="Compact"/>
              <w:jc w:val="left"/>
            </w:pPr>
            <w:r>
              <w:t xml:space="preserve">96.05</w:t>
            </w:r>
          </w:p>
        </w:tc>
      </w:tr>
      <w:tr>
        <w:tc>
          <w:p>
            <w:pPr>
              <w:pStyle w:val="Compact"/>
              <w:jc w:val="left"/>
            </w:pPr>
            <w:r>
              <w:t xml:space="preserve">Item_29</w:t>
            </w:r>
          </w:p>
        </w:tc>
        <w:tc>
          <w:p>
            <w:pPr>
              <w:pStyle w:val="Compact"/>
              <w:jc w:val="left"/>
            </w:pPr>
          </w:p>
        </w:tc>
        <w:tc>
          <w:p>
            <w:pPr>
              <w:pStyle w:val="Compact"/>
              <w:jc w:val="left"/>
            </w:pPr>
            <w:r>
              <w:t xml:space="preserve">Item_35</w:t>
            </w:r>
          </w:p>
        </w:tc>
        <w:tc>
          <w:p>
            <w:pPr>
              <w:pStyle w:val="Compact"/>
              <w:jc w:val="left"/>
            </w:pPr>
            <w:r>
              <w:t xml:space="preserve">62.25</w:t>
            </w:r>
          </w:p>
        </w:tc>
      </w:tr>
      <w:tr>
        <w:tc>
          <w:p>
            <w:pPr>
              <w:pStyle w:val="Compact"/>
              <w:jc w:val="left"/>
            </w:pPr>
            <w:r>
              <w:t xml:space="preserve">Item_14</w:t>
            </w:r>
          </w:p>
        </w:tc>
        <w:tc>
          <w:p>
            <w:pPr>
              <w:pStyle w:val="Compact"/>
              <w:jc w:val="left"/>
            </w:pPr>
          </w:p>
        </w:tc>
        <w:tc>
          <w:p>
            <w:pPr>
              <w:pStyle w:val="Compact"/>
              <w:jc w:val="left"/>
            </w:pPr>
            <w:r>
              <w:t xml:space="preserve">Item_20</w:t>
            </w:r>
          </w:p>
        </w:tc>
        <w:tc>
          <w:p>
            <w:pPr>
              <w:pStyle w:val="Compact"/>
              <w:jc w:val="left"/>
            </w:pPr>
            <w:r>
              <w:t xml:space="preserve">56.38</w:t>
            </w:r>
          </w:p>
        </w:tc>
      </w:tr>
      <w:tr>
        <w:tc>
          <w:p>
            <w:pPr>
              <w:pStyle w:val="Compact"/>
              <w:jc w:val="left"/>
            </w:pPr>
            <w:r>
              <w:t xml:space="preserve">Item_1</w:t>
            </w:r>
          </w:p>
        </w:tc>
        <w:tc>
          <w:p>
            <w:pPr>
              <w:pStyle w:val="Compact"/>
              <w:jc w:val="left"/>
            </w:pPr>
          </w:p>
        </w:tc>
        <w:tc>
          <w:p>
            <w:pPr>
              <w:pStyle w:val="Compact"/>
              <w:jc w:val="left"/>
            </w:pPr>
            <w:r>
              <w:t xml:space="preserve">Item_12</w:t>
            </w:r>
          </w:p>
        </w:tc>
        <w:tc>
          <w:p>
            <w:pPr>
              <w:pStyle w:val="Compact"/>
              <w:jc w:val="left"/>
            </w:pPr>
            <w:r>
              <w:t xml:space="preserve">51.39</w:t>
            </w:r>
          </w:p>
        </w:tc>
      </w:tr>
      <w:tr>
        <w:tc>
          <w:p>
            <w:pPr>
              <w:pStyle w:val="Compact"/>
              <w:jc w:val="left"/>
            </w:pPr>
            <w:r>
              <w:t xml:space="preserve">Item_1</w:t>
            </w:r>
          </w:p>
        </w:tc>
        <w:tc>
          <w:p>
            <w:pPr>
              <w:pStyle w:val="Compact"/>
              <w:jc w:val="left"/>
            </w:pPr>
          </w:p>
        </w:tc>
        <w:tc>
          <w:p>
            <w:pPr>
              <w:pStyle w:val="Compact"/>
              <w:jc w:val="left"/>
            </w:pPr>
            <w:r>
              <w:t xml:space="preserve">Item_13</w:t>
            </w:r>
          </w:p>
        </w:tc>
        <w:tc>
          <w:p>
            <w:pPr>
              <w:pStyle w:val="Compact"/>
              <w:jc w:val="left"/>
            </w:pPr>
            <w:r>
              <w:t xml:space="preserve">50.33</w:t>
            </w:r>
          </w:p>
        </w:tc>
      </w:tr>
    </w:tbl>
    <w:p>
      <w:pPr>
        <w:pStyle w:val="Blocktext"/>
      </w:pPr>
      <w:r>
        <w:t xml:space="preserve">Actually it doesn’t matter that much with only 1 item deletion - probably go ahead and do a few before recheck modification indices</w:t>
      </w:r>
    </w:p>
    <w:bookmarkEnd w:id="28"/>
    <w:bookmarkStart w:id="29" w:name="single-factor-versus-bifactor-approaches"/>
    <w:p>
      <w:pPr>
        <w:pStyle w:val="berschrift3"/>
      </w:pPr>
      <w:r>
        <w:rPr>
          <w:rStyle w:val="SectionNumber"/>
        </w:rPr>
        <w:t xml:space="preserve">1.3.3</w:t>
      </w:r>
      <w:r>
        <w:tab/>
      </w:r>
      <w:r>
        <w:t xml:space="preserve">Single factor versus bifactor approaches.</w:t>
      </w:r>
    </w:p>
    <w:p>
      <w:pPr>
        <w:pStyle w:val="Blocktext"/>
      </w:pPr>
      <w:r>
        <w:t xml:space="preserve">Casey this is where you come in</w:t>
      </w:r>
    </w:p>
    <w:bookmarkEnd w:id="29"/>
    <w:bookmarkEnd w:id="30"/>
    <w:bookmarkStart w:id="31" w:name="data-analysis"/>
    <w:p>
      <w:pPr>
        <w:pStyle w:val="berschrift2"/>
      </w:pPr>
      <w:r>
        <w:rPr>
          <w:rStyle w:val="SectionNumber"/>
        </w:rPr>
        <w:t xml:space="preserve">1.4</w:t>
      </w:r>
      <w:r>
        <w:tab/>
      </w:r>
      <w:r>
        <w:t xml:space="preserve">Data analysis</w:t>
      </w:r>
    </w:p>
    <w:p>
      <w:pPr>
        <w:pStyle w:val="FirstParagraph"/>
      </w:pPr>
      <w:r>
        <w:t xml:space="preserve">We used R [Version 4.1.0;</w:t>
      </w:r>
      <w:r>
        <w:t xml:space="preserve"> </w:t>
      </w:r>
      <w:r>
        <w:t xml:space="preserve">R Core Team (2021)</w:t>
      </w:r>
      <w:r>
        <w:t xml:space="preserve">] and the R-packages</w:t>
      </w:r>
      <w:r>
        <w:t xml:space="preserve"> </w:t>
      </w:r>
      <w:r>
        <w:rPr>
          <w:i/>
        </w:rPr>
        <w:t xml:space="preserve">apaTables</w:t>
      </w:r>
      <w:r>
        <w:t xml:space="preserve"> </w:t>
      </w:r>
      <w:r>
        <w:t xml:space="preserve">[Version 2.0.8;</w:t>
      </w:r>
      <w:r>
        <w:t xml:space="preserve"> </w:t>
      </w:r>
      <w:r>
        <w:t xml:space="preserve">Stanley (2021)</w:t>
      </w:r>
      <w:r>
        <w:t xml:space="preserve">],</w:t>
      </w:r>
      <w:r>
        <w:t xml:space="preserve"> </w:t>
      </w:r>
      <w:r>
        <w:rPr>
          <w:i/>
        </w:rPr>
        <w:t xml:space="preserve">dplyr</w:t>
      </w:r>
      <w:r>
        <w:t xml:space="preserve"> </w:t>
      </w:r>
      <w:r>
        <w:t xml:space="preserve">[Version 1.0.6;</w:t>
      </w:r>
      <w:r>
        <w:t xml:space="preserve"> </w:t>
      </w:r>
      <w:r>
        <w:t xml:space="preserve">Wickham, François, Henry, and Müller (2021)</w:t>
      </w:r>
      <w:r>
        <w:t xml:space="preserve">],</w:t>
      </w:r>
      <w:r>
        <w:t xml:space="preserve"> </w:t>
      </w:r>
      <w:r>
        <w:rPr>
          <w:i/>
        </w:rPr>
        <w:t xml:space="preserve">DT</w:t>
      </w:r>
      <w:r>
        <w:t xml:space="preserve"> </w:t>
      </w:r>
      <w:r>
        <w:t xml:space="preserve">[Version 0.18;</w:t>
      </w:r>
      <w:r>
        <w:t xml:space="preserve"> </w:t>
      </w:r>
      <w:r>
        <w:t xml:space="preserve">Xie, Cheng, and Tan (2021)</w:t>
      </w:r>
      <w:r>
        <w:t xml:space="preserve">],</w:t>
      </w:r>
      <w:r>
        <w:t xml:space="preserve"> </w:t>
      </w:r>
      <w:r>
        <w:rPr>
          <w:i/>
        </w:rPr>
        <w:t xml:space="preserve">forcats</w:t>
      </w:r>
      <w:r>
        <w:t xml:space="preserve"> </w:t>
      </w:r>
      <w:r>
        <w:t xml:space="preserve">[Version 0.5.1;</w:t>
      </w:r>
      <w:r>
        <w:t xml:space="preserve"> </w:t>
      </w:r>
      <w:r>
        <w:t xml:space="preserve">Wickham (2021a)</w:t>
      </w:r>
      <w:r>
        <w:t xml:space="preserve">],</w:t>
      </w:r>
      <w:r>
        <w:t xml:space="preserve"> </w:t>
      </w:r>
      <w:r>
        <w:rPr>
          <w:i/>
        </w:rPr>
        <w:t xml:space="preserve">ggplot2</w:t>
      </w:r>
      <w:r>
        <w:t xml:space="preserve"> </w:t>
      </w:r>
      <w:r>
        <w:t xml:space="preserve">[Version 3.3.3;</w:t>
      </w:r>
      <w:r>
        <w:t xml:space="preserve"> </w:t>
      </w:r>
      <w:r>
        <w:t xml:space="preserve">Wickham (2016)</w:t>
      </w:r>
      <w:r>
        <w:t xml:space="preserve">],</w:t>
      </w:r>
      <w:r>
        <w:t xml:space="preserve"> </w:t>
      </w:r>
      <w:r>
        <w:rPr>
          <w:i/>
        </w:rPr>
        <w:t xml:space="preserve">kableExtra</w:t>
      </w:r>
      <w:r>
        <w:t xml:space="preserve"> </w:t>
      </w:r>
      <w:r>
        <w:t xml:space="preserve">[Version 1.3.4;</w:t>
      </w:r>
      <w:r>
        <w:t xml:space="preserve"> </w:t>
      </w:r>
      <w:r>
        <w:t xml:space="preserve">Zhu (2021)</w:t>
      </w:r>
      <w:r>
        <w:t xml:space="preserve">],</w:t>
      </w:r>
      <w:r>
        <w:t xml:space="preserve"> </w:t>
      </w:r>
      <w:r>
        <w:rPr>
          <w:i/>
        </w:rPr>
        <w:t xml:space="preserve">labourR</w:t>
      </w:r>
      <w:r>
        <w:t xml:space="preserve"> </w:t>
      </w:r>
      <w:r>
        <w:t xml:space="preserve">[Version 1.0.0;</w:t>
      </w:r>
      <w:r>
        <w:t xml:space="preserve"> </w:t>
      </w:r>
      <w:r>
        <w:t xml:space="preserve">Kouretsis, Bampouris, Morfiris, and Papageorgiou (2020)</w:t>
      </w:r>
      <w:r>
        <w:t xml:space="preserve">],</w:t>
      </w:r>
      <w:r>
        <w:t xml:space="preserve"> </w:t>
      </w:r>
      <w:r>
        <w:rPr>
          <w:i/>
        </w:rPr>
        <w:t xml:space="preserve">lavaan</w:t>
      </w:r>
      <w:r>
        <w:t xml:space="preserve"> </w:t>
      </w:r>
      <w:r>
        <w:t xml:space="preserve">[Version 0.6.8;</w:t>
      </w:r>
      <w:r>
        <w:t xml:space="preserve"> </w:t>
      </w:r>
      <w:r>
        <w:t xml:space="preserve">Rosseel (2012)</w:t>
      </w:r>
      <w:r>
        <w:t xml:space="preserve">],</w:t>
      </w:r>
      <w:r>
        <w:t xml:space="preserve"> </w:t>
      </w:r>
      <w:r>
        <w:rPr>
          <w:i/>
        </w:rPr>
        <w:t xml:space="preserve">magrittr</w:t>
      </w:r>
      <w:r>
        <w:t xml:space="preserve"> </w:t>
      </w:r>
      <w:r>
        <w:t xml:space="preserve">[Version 2.0.1;</w:t>
      </w:r>
      <w:r>
        <w:t xml:space="preserve"> </w:t>
      </w:r>
      <w:r>
        <w:t xml:space="preserve">Bache and Wickham (2020)</w:t>
      </w:r>
      <w:r>
        <w:t xml:space="preserve">],</w:t>
      </w:r>
      <w:r>
        <w:t xml:space="preserve"> </w:t>
      </w:r>
      <w:r>
        <w:rPr>
          <w:i/>
        </w:rPr>
        <w:t xml:space="preserve">papaja</w:t>
      </w:r>
      <w:r>
        <w:t xml:space="preserve"> </w:t>
      </w:r>
      <w:r>
        <w:t xml:space="preserve">[Version 0.1.0.9997;</w:t>
      </w:r>
      <w:r>
        <w:t xml:space="preserve"> </w:t>
      </w:r>
      <w:r>
        <w:t xml:space="preserve">Aust and Barth (2020)</w:t>
      </w:r>
      <w:r>
        <w:t xml:space="preserve">],</w:t>
      </w:r>
      <w:r>
        <w:t xml:space="preserve"> </w:t>
      </w:r>
      <w:r>
        <w:rPr>
          <w:i/>
        </w:rPr>
        <w:t xml:space="preserve">purrr</w:t>
      </w:r>
      <w:r>
        <w:t xml:space="preserve"> </w:t>
      </w:r>
      <w:r>
        <w:t xml:space="preserve">[Version 0.3.4;</w:t>
      </w:r>
      <w:r>
        <w:t xml:space="preserve"> </w:t>
      </w:r>
      <w:r>
        <w:t xml:space="preserve">Henry and Wickham (2020)</w:t>
      </w:r>
      <w:r>
        <w:t xml:space="preserve">],</w:t>
      </w:r>
      <w:r>
        <w:t xml:space="preserve"> </w:t>
      </w:r>
      <w:r>
        <w:rPr>
          <w:i/>
        </w:rPr>
        <w:t xml:space="preserve">readr</w:t>
      </w:r>
      <w:r>
        <w:t xml:space="preserve"> </w:t>
      </w:r>
      <w:r>
        <w:t xml:space="preserve">[Version 1.4.0;</w:t>
      </w:r>
      <w:r>
        <w:t xml:space="preserve"> </w:t>
      </w:r>
      <w:r>
        <w:t xml:space="preserve">Wickham and Hester (2020)</w:t>
      </w:r>
      <w:r>
        <w:t xml:space="preserve">],</w:t>
      </w:r>
      <w:r>
        <w:t xml:space="preserve"> </w:t>
      </w:r>
      <w:r>
        <w:rPr>
          <w:i/>
        </w:rPr>
        <w:t xml:space="preserve">sem</w:t>
      </w:r>
      <w:r>
        <w:t xml:space="preserve"> </w:t>
      </w:r>
      <w:r>
        <w:t xml:space="preserve">[Version 3.1.11;</w:t>
      </w:r>
      <w:r>
        <w:t xml:space="preserve"> </w:t>
      </w:r>
      <w:r>
        <w:t xml:space="preserve">Fox, Nie, and Byrnes (2020)</w:t>
      </w:r>
      <w:r>
        <w:t xml:space="preserve">;</w:t>
      </w:r>
      <w:r>
        <w:t xml:space="preserve"> </w:t>
      </w:r>
      <w:r>
        <w:t xml:space="preserve">Epskamp (2019)</w:t>
      </w:r>
      <w:r>
        <w:t xml:space="preserve">],</w:t>
      </w:r>
      <w:r>
        <w:t xml:space="preserve"> </w:t>
      </w:r>
      <w:r>
        <w:rPr>
          <w:i/>
        </w:rPr>
        <w:t xml:space="preserve">semPlot</w:t>
      </w:r>
      <w:r>
        <w:t xml:space="preserve"> </w:t>
      </w:r>
      <w:r>
        <w:t xml:space="preserve">[Version 1.1.2;</w:t>
      </w:r>
      <w:r>
        <w:t xml:space="preserve"> </w:t>
      </w:r>
      <w:r>
        <w:t xml:space="preserve">Epskamp (2019)</w:t>
      </w:r>
      <w:r>
        <w:t xml:space="preserve">],</w:t>
      </w:r>
      <w:r>
        <w:t xml:space="preserve"> </w:t>
      </w:r>
      <w:r>
        <w:rPr>
          <w:i/>
        </w:rPr>
        <w:t xml:space="preserve">stringr</w:t>
      </w:r>
      <w:r>
        <w:t xml:space="preserve"> </w:t>
      </w:r>
      <w:r>
        <w:t xml:space="preserve">[Version 1.4.0;</w:t>
      </w:r>
      <w:r>
        <w:t xml:space="preserve"> </w:t>
      </w:r>
      <w:r>
        <w:t xml:space="preserve">Wickham (2019)</w:t>
      </w:r>
      <w:r>
        <w:t xml:space="preserve">],</w:t>
      </w:r>
      <w:r>
        <w:t xml:space="preserve"> </w:t>
      </w:r>
      <w:r>
        <w:rPr>
          <w:i/>
        </w:rPr>
        <w:t xml:space="preserve">tibble</w:t>
      </w:r>
      <w:r>
        <w:t xml:space="preserve"> </w:t>
      </w:r>
      <w:r>
        <w:t xml:space="preserve">[Version 3.1.2;</w:t>
      </w:r>
      <w:r>
        <w:t xml:space="preserve"> </w:t>
      </w:r>
      <w:r>
        <w:t xml:space="preserve">Müller and Wickham (2021)</w:t>
      </w:r>
      <w:r>
        <w:t xml:space="preserve">],</w:t>
      </w:r>
      <w:r>
        <w:t xml:space="preserve"> </w:t>
      </w:r>
      <w:r>
        <w:rPr>
          <w:i/>
        </w:rPr>
        <w:t xml:space="preserve">tidyr</w:t>
      </w:r>
      <w:r>
        <w:t xml:space="preserve"> </w:t>
      </w:r>
      <w:r>
        <w:t xml:space="preserve">[Version 1.1.3;</w:t>
      </w:r>
      <w:r>
        <w:t xml:space="preserve"> </w:t>
      </w:r>
      <w:r>
        <w:t xml:space="preserve">Wickham (2021b)</w:t>
      </w:r>
      <w:r>
        <w:t xml:space="preserve">], and</w:t>
      </w:r>
      <w:r>
        <w:t xml:space="preserve"> </w:t>
      </w:r>
      <w:r>
        <w:rPr>
          <w:i/>
        </w:rPr>
        <w:t xml:space="preserve">tidyverse</w:t>
      </w:r>
      <w:r>
        <w:t xml:space="preserve"> </w:t>
      </w:r>
      <w:r>
        <w:t xml:space="preserve">[Version 1.3.1;</w:t>
      </w:r>
      <w:r>
        <w:t xml:space="preserve"> </w:t>
      </w:r>
      <w:r>
        <w:t xml:space="preserve">Wickham et al. (2019)</w:t>
      </w:r>
      <w:r>
        <w:t xml:space="preserve">] for all our analyses.</w:t>
      </w:r>
    </w:p>
    <w:bookmarkEnd w:id="31"/>
    <w:bookmarkEnd w:id="32"/>
    <w:bookmarkStart w:id="37" w:name="results"/>
    <w:p>
      <w:pPr>
        <w:pStyle w:val="berschrift1"/>
      </w:pPr>
      <w:r>
        <w:rPr>
          <w:rStyle w:val="SectionNumber"/>
        </w:rPr>
        <w:t xml:space="preserve">2</w:t>
      </w:r>
      <w:r>
        <w:tab/>
      </w:r>
      <w:r>
        <w:t xml:space="preserve">Results</w:t>
      </w:r>
    </w:p>
    <w:p>
      <w:pPr>
        <w:pStyle w:val="FirstParagraph"/>
      </w:pPr>
      <w:r>
        <w:t xml:space="preserve">CFA drafts below</w:t>
      </w:r>
    </w:p>
    <w:p>
      <w:pPr>
        <w:pStyle w:val="CaptionedFigure"/>
      </w:pPr>
      <w:r>
        <w:drawing>
          <wp:inline>
            <wp:extent cx="4587290" cy="3669832"/>
            <wp:effectExtent b="0" l="0" r="0" t="0"/>
            <wp:docPr descr="Figure 3.   Substantive factor structure CFA" title="" id="1" name="Picture"/>
            <a:graphic>
              <a:graphicData uri="http://schemas.openxmlformats.org/drawingml/2006/picture">
                <pic:pic>
                  <pic:nvPicPr>
                    <pic:cNvPr descr="SIOPpapaja_files/figure-docx/CFAatt1-1.png" id="0" name="Picture"/>
                    <pic:cNvPicPr>
                      <a:picLocks noChangeArrowheads="1" noChangeAspect="1"/>
                    </pic:cNvPicPr>
                  </pic:nvPicPr>
                  <pic:blipFill>
                    <a:blip r:embed="rId3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Substantive factor structure CFA</w:t>
      </w:r>
    </w:p>
    <w:p>
      <w:pPr>
        <w:pStyle w:val="CaptionedFigure"/>
      </w:pPr>
      <w:r>
        <w:drawing>
          <wp:inline>
            <wp:extent cx="4587290" cy="3669832"/>
            <wp:effectExtent b="0" l="0" r="0" t="0"/>
            <wp:docPr descr="(#fig:CFA.att2)Attitudinal factor structure CFA" title="" id="1" name="Picture"/>
            <a:graphic>
              <a:graphicData uri="http://schemas.openxmlformats.org/drawingml/2006/picture">
                <pic:pic>
                  <pic:nvPicPr>
                    <pic:cNvPr descr="SIOPpapaja_files/figure-docx/CFA.att2-1.png" id="0" name="Picture"/>
                    <pic:cNvPicPr>
                      <a:picLocks noChangeArrowheads="1" noChangeAspect="1"/>
                    </pic:cNvPicPr>
                  </pic:nvPicPr>
                  <pic:blipFill>
                    <a:blip r:embed="rId3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(#fig:CFA.att2)Attitudinal</w:t>
      </w:r>
      <w:r>
        <w:t xml:space="preserve"> </w:t>
      </w:r>
      <w:r>
        <w:rPr>
          <w:i/>
        </w:rPr>
        <w:t xml:space="preserve">factor</w:t>
      </w:r>
      <w:r>
        <w:t xml:space="preserve"> </w:t>
      </w:r>
      <w:r>
        <w:t xml:space="preserve">structure CFA</w:t>
      </w:r>
    </w:p>
    <w:p>
      <w:pPr>
        <w:pStyle w:val="CaptionedFigure"/>
      </w:pPr>
      <w:r>
        <w:drawing>
          <wp:inline>
            <wp:extent cx="4587290" cy="3669832"/>
            <wp:effectExtent b="0" l="0" r="0" t="0"/>
            <wp:docPr descr="(#fig:CFA.att3)Bifactor structure" title="" id="1" name="Picture"/>
            <a:graphic>
              <a:graphicData uri="http://schemas.openxmlformats.org/drawingml/2006/picture">
                <pic:pic>
                  <pic:nvPicPr>
                    <pic:cNvPr descr="SIOPpapaja_files/figure-docx/CFA.att3-1.png" id="0" name="Picture"/>
                    <pic:cNvPicPr>
                      <a:picLocks noChangeArrowheads="1" noChangeAspect="1"/>
                    </pic:cNvPicPr>
                  </pic:nvPicPr>
                  <pic:blipFill>
                    <a:blip r:embed="rId35"/>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(#fig:CFA.att3)Bifactor</w:t>
      </w:r>
      <w:r>
        <w:t xml:space="preserve"> </w:t>
      </w:r>
      <w:r>
        <w:rPr>
          <w:i/>
        </w:rPr>
        <w:t xml:space="preserve">structure</w:t>
      </w:r>
    </w:p>
    <w:p>
      <w:pPr>
        <w:pStyle w:val="SourceCode"/>
      </w:pPr>
      <w:r>
        <w:rPr>
          <w:rStyle w:val="VerbatimChar"/>
        </w:rPr>
        <w:t xml:space="preserve">##            lhs op     rhs     mi    epc sepc.lv sepc.all sepc.nox</w:t>
      </w:r>
      <w:r>
        <w:br/>
      </w:r>
      <w:r>
        <w:rPr>
          <w:rStyle w:val="VerbatimChar"/>
        </w:rPr>
        <w:t xml:space="preserve">## 176     Item_1 ~~ Item_11 23.897  0.436   0.436    0.318    0.318</w:t>
      </w:r>
      <w:r>
        <w:br/>
      </w:r>
      <w:r>
        <w:rPr>
          <w:rStyle w:val="VerbatimChar"/>
        </w:rPr>
        <w:t xml:space="preserve">## 151  Affective =~ Item_11 15.429 -3.949  -1.878   -1.558   -1.558</w:t>
      </w:r>
      <w:r>
        <w:br/>
      </w:r>
      <w:r>
        <w:rPr>
          <w:rStyle w:val="VerbatimChar"/>
        </w:rPr>
        <w:t xml:space="preserve">## 291    Item_19 ~~ Item_26 13.236  0.222   0.222    0.354    0.354</w:t>
      </w:r>
      <w:r>
        <w:br/>
      </w:r>
      <w:r>
        <w:rPr>
          <w:rStyle w:val="VerbatimChar"/>
        </w:rPr>
        <w:t xml:space="preserve">## 309    Item_22 ~~ Item_35 12.338  0.166   0.166    0.279    0.279</w:t>
      </w:r>
      <w:r>
        <w:br/>
      </w:r>
      <w:r>
        <w:rPr>
          <w:rStyle w:val="VerbatimChar"/>
        </w:rPr>
        <w:t xml:space="preserve">## 178     Item_1 ~~ Item_16 12.237  0.267   0.267    0.267    0.267</w:t>
      </w:r>
      <w:r>
        <w:br/>
      </w:r>
      <w:r>
        <w:rPr>
          <w:rStyle w:val="VerbatimChar"/>
        </w:rPr>
        <w:t xml:space="preserve">## 299    Item_21 ~~ Item_28 11.658  0.187   0.187    0.256    0.256</w:t>
      </w:r>
      <w:r>
        <w:br/>
      </w:r>
      <w:r>
        <w:rPr>
          <w:rStyle w:val="VerbatimChar"/>
        </w:rPr>
        <w:t xml:space="preserve">## 248    Item_11 ~~ Item_16 11.262  0.227   0.227    0.230    0.230</w:t>
      </w:r>
      <w:r>
        <w:br/>
      </w:r>
      <w:r>
        <w:rPr>
          <w:rStyle w:val="VerbatimChar"/>
        </w:rPr>
        <w:t xml:space="preserve">## 100 Absorption =~ Item_14 10.747 -6.649  -1.795   -1.300   -1.300</w:t>
      </w:r>
      <w:r>
        <w:br/>
      </w:r>
      <w:r>
        <w:rPr>
          <w:rStyle w:val="VerbatimChar"/>
        </w:rPr>
        <w:t xml:space="preserve">## 121      Vigor =~ Item_32 10.583  0.287   0.310    0.248    0.248</w:t>
      </w:r>
      <w:r>
        <w:br/>
      </w:r>
      <w:r>
        <w:rPr>
          <w:rStyle w:val="VerbatimChar"/>
        </w:rPr>
        <w:t xml:space="preserve">## 222     Item_8 ~~ Item_14 10.378 -0.345  -0.345   -0.551   -0.551</w:t>
      </w:r>
      <w:r>
        <w:br/>
      </w:r>
      <w:r>
        <w:rPr>
          <w:rStyle w:val="VerbatimChar"/>
        </w:rPr>
        <w:t xml:space="preserve">## 225     Item_8 ~~ Item_19 10.143 -0.169  -0.169   -0.310   -0.310</w:t>
      </w:r>
      <w:r>
        <w:br/>
      </w:r>
      <w:r>
        <w:rPr>
          <w:rStyle w:val="VerbatimChar"/>
        </w:rPr>
        <w:t xml:space="preserve">## 137  Cognitive =~  Item_8  9.803  0.782   0.539    0.411    0.411</w:t>
      </w:r>
      <w:r>
        <w:br/>
      </w:r>
      <w:r>
        <w:rPr>
          <w:rStyle w:val="VerbatimChar"/>
        </w:rPr>
        <w:t xml:space="preserve">## 142  Cognitive =~ Item_21  9.475  0.849   0.586    0.497    0.497</w:t>
      </w:r>
      <w:r>
        <w:br/>
      </w:r>
      <w:r>
        <w:rPr>
          <w:rStyle w:val="VerbatimChar"/>
        </w:rPr>
        <w:t xml:space="preserve">## 102 Absorption =~ Item_17  9.373  1.937   0.523    0.512    0.512</w:t>
      </w:r>
      <w:r>
        <w:br/>
      </w:r>
      <w:r>
        <w:rPr>
          <w:rStyle w:val="VerbatimChar"/>
        </w:rPr>
        <w:t xml:space="preserve">## 143  Cognitive =~ Item_22  8.938 -0.743  -0.513   -0.466   -0.466</w:t>
      </w:r>
      <w:r>
        <w:br/>
      </w:r>
      <w:r>
        <w:rPr>
          <w:rStyle w:val="VerbatimChar"/>
        </w:rPr>
        <w:t xml:space="preserve">## 258    Item_11 ~~ Item_35  8.496  0.190   0.190    0.194    0.194</w:t>
      </w:r>
      <w:r>
        <w:br/>
      </w:r>
      <w:r>
        <w:rPr>
          <w:rStyle w:val="VerbatimChar"/>
        </w:rPr>
        <w:t xml:space="preserve">## 229     Item_8 ~~ Item_28  8.478  0.155   0.155    0.274    0.274</w:t>
      </w:r>
      <w:r>
        <w:br/>
      </w:r>
      <w:r>
        <w:rPr>
          <w:rStyle w:val="VerbatimChar"/>
        </w:rPr>
        <w:t xml:space="preserve">## 310    Item_26 ~~ Item_28  8.472  0.294   0.294    0.451    0.451</w:t>
      </w:r>
      <w:r>
        <w:br/>
      </w:r>
      <w:r>
        <w:rPr>
          <w:rStyle w:val="VerbatimChar"/>
        </w:rPr>
        <w:t xml:space="preserve">## 265    Item_14 ~~ Item_28  8.466 -0.191  -0.191   -0.291   -0.291</w:t>
      </w:r>
      <w:r>
        <w:br/>
      </w:r>
      <w:r>
        <w:rPr>
          <w:rStyle w:val="VerbatimChar"/>
        </w:rPr>
        <w:t xml:space="preserve">## 270    Item_16 ~~ Item_17  8.249 -0.128  -0.128   -0.216   -0.216</w:t>
      </w:r>
      <w:r>
        <w:br/>
      </w:r>
      <w:r>
        <w:rPr>
          <w:rStyle w:val="VerbatimChar"/>
        </w:rPr>
        <w:t xml:space="preserve">## 158  Affective =~ Item_34  8.216  1.960   0.932    1.060    1.060</w:t>
      </w:r>
      <w:r>
        <w:br/>
      </w:r>
      <w:r>
        <w:rPr>
          <w:rStyle w:val="VerbatimChar"/>
        </w:rPr>
        <w:t xml:space="preserve">## 139  Cognitive =~ Item_11  8.204  0.893   0.616    0.511    0.511</w:t>
      </w:r>
      <w:r>
        <w:br/>
      </w:r>
      <w:r>
        <w:rPr>
          <w:rStyle w:val="VerbatimChar"/>
        </w:rPr>
        <w:t xml:space="preserve">## 320    Item_31 ~~ Item_34  8.121  0.098   0.098    0.198    0.198</w:t>
      </w:r>
      <w:r>
        <w:br/>
      </w:r>
      <w:r>
        <w:rPr>
          <w:rStyle w:val="VerbatimChar"/>
        </w:rPr>
        <w:t xml:space="preserve">## 106 Absorption =~ Item_26  7.921 -1.640  -0.443   -0.288   -0.288</w:t>
      </w:r>
      <w:r>
        <w:br/>
      </w:r>
      <w:r>
        <w:rPr>
          <w:rStyle w:val="VerbatimChar"/>
        </w:rPr>
        <w:t xml:space="preserve">## 180     Item_1 ~~ Item_19  7.842 -0.189  -0.189   -0.217   -0.217</w:t>
      </w:r>
    </w:p>
    <w:p>
      <w:pPr>
        <w:pStyle w:val="SourceCode"/>
      </w:pPr>
      <w:r>
        <w:rPr>
          <w:rStyle w:val="VerbatimChar"/>
        </w:rPr>
        <w:t xml:space="preserve">## lavaan 0.6-8 ended normally after 191 iterations</w:t>
      </w:r>
      <w:r>
        <w:br/>
      </w:r>
      <w:r>
        <w:rPr>
          <w:rStyle w:val="VerbatimChar"/>
        </w:rPr>
        <w:t xml:space="preserve">## </w:t>
      </w:r>
      <w:r>
        <w:br/>
      </w:r>
      <w:r>
        <w:rPr>
          <w:rStyle w:val="VerbatimChar"/>
        </w:rPr>
        <w:t xml:space="preserve">##   Estimator                                         ML</w:t>
      </w:r>
      <w:r>
        <w:br/>
      </w:r>
      <w:r>
        <w:rPr>
          <w:rStyle w:val="VerbatimChar"/>
        </w:rPr>
        <w:t xml:space="preserve">##   Optimization method                           NLMINB</w:t>
      </w:r>
      <w:r>
        <w:br/>
      </w:r>
      <w:r>
        <w:rPr>
          <w:rStyle w:val="VerbatimChar"/>
        </w:rPr>
        <w:t xml:space="preserve">##   Number of model parameters                        78</w:t>
      </w:r>
      <w:r>
        <w:br/>
      </w:r>
      <w:r>
        <w:rPr>
          <w:rStyle w:val="VerbatimChar"/>
        </w:rPr>
        <w:t xml:space="preserve">##                                                       </w:t>
      </w:r>
      <w:r>
        <w:br/>
      </w:r>
      <w:r>
        <w:rPr>
          <w:rStyle w:val="VerbatimChar"/>
        </w:rPr>
        <w:t xml:space="preserve">##                                                   Used       Total</w:t>
      </w:r>
      <w:r>
        <w:br/>
      </w:r>
      <w:r>
        <w:rPr>
          <w:rStyle w:val="VerbatimChar"/>
        </w:rPr>
        <w:t xml:space="preserve">##   Number of observations                           279         282</w:t>
      </w:r>
      <w:r>
        <w:br/>
      </w:r>
      <w:r>
        <w:rPr>
          <w:rStyle w:val="VerbatimChar"/>
        </w:rPr>
        <w:t xml:space="preserve">##   Number of missing patterns                        23            </w:t>
      </w:r>
      <w:r>
        <w:br/>
      </w:r>
      <w:r>
        <w:rPr>
          <w:rStyle w:val="VerbatimChar"/>
        </w:rPr>
        <w:t xml:space="preserve">##                                                                   </w:t>
      </w:r>
      <w:r>
        <w:br/>
      </w:r>
      <w:r>
        <w:rPr>
          <w:rStyle w:val="VerbatimChar"/>
        </w:rPr>
        <w:t xml:space="preserve">## Model Test User Model:</w:t>
      </w:r>
      <w:r>
        <w:br/>
      </w:r>
      <w:r>
        <w:rPr>
          <w:rStyle w:val="VerbatimChar"/>
        </w:rPr>
        <w:t xml:space="preserve">##                                                Standard      Robust</w:t>
      </w:r>
      <w:r>
        <w:br/>
      </w:r>
      <w:r>
        <w:rPr>
          <w:rStyle w:val="VerbatimChar"/>
        </w:rPr>
        <w:t xml:space="preserve">##   Test Statistic                                264.700     246.388</w:t>
      </w:r>
      <w:r>
        <w:br/>
      </w:r>
      <w:r>
        <w:rPr>
          <w:rStyle w:val="VerbatimChar"/>
        </w:rPr>
        <w:t xml:space="preserve">##   Degrees of freedom                                111         111</w:t>
      </w:r>
      <w:r>
        <w:br/>
      </w:r>
      <w:r>
        <w:rPr>
          <w:rStyle w:val="VerbatimChar"/>
        </w:rPr>
        <w:t xml:space="preserve">##   P-value (Chi-square)                            0.000       0.000</w:t>
      </w:r>
      <w:r>
        <w:br/>
      </w:r>
      <w:r>
        <w:rPr>
          <w:rStyle w:val="VerbatimChar"/>
        </w:rPr>
        <w:t xml:space="preserve">##   Scaling correction factor                                   1.074</w:t>
      </w:r>
      <w:r>
        <w:br/>
      </w:r>
      <w:r>
        <w:rPr>
          <w:rStyle w:val="VerbatimChar"/>
        </w:rPr>
        <w:t xml:space="preserve">##        Yuan-Bentler correction (Mplus variant)                     </w:t>
      </w:r>
      <w:r>
        <w:br/>
      </w:r>
      <w:r>
        <w:rPr>
          <w:rStyle w:val="VerbatimChar"/>
        </w:rPr>
        <w:t xml:space="preserve">## </w:t>
      </w:r>
      <w:r>
        <w:br/>
      </w:r>
      <w:r>
        <w:rPr>
          <w:rStyle w:val="VerbatimChar"/>
        </w:rPr>
        <w:t xml:space="preserve">## Parameter Estimates:</w:t>
      </w:r>
      <w:r>
        <w:br/>
      </w:r>
      <w:r>
        <w:rPr>
          <w:rStyle w:val="VerbatimChar"/>
        </w:rPr>
        <w:t xml:space="preserve">## </w:t>
      </w:r>
      <w:r>
        <w:br/>
      </w:r>
      <w:r>
        <w:rPr>
          <w:rStyle w:val="VerbatimChar"/>
        </w:rPr>
        <w:t xml:space="preserve">##   Standard errors                             Sandwich</w:t>
      </w:r>
      <w:r>
        <w:br/>
      </w:r>
      <w:r>
        <w:rPr>
          <w:rStyle w:val="VerbatimChar"/>
        </w:rPr>
        <w:t xml:space="preserve">##   Information bread                           Observed</w:t>
      </w:r>
      <w:r>
        <w:br/>
      </w:r>
      <w:r>
        <w:rPr>
          <w:rStyle w:val="VerbatimChar"/>
        </w:rPr>
        <w:t xml:space="preserve">##   Observed information based on                Hessian</w:t>
      </w:r>
      <w:r>
        <w:br/>
      </w:r>
      <w:r>
        <w:rPr>
          <w:rStyle w:val="VerbatimChar"/>
        </w:rPr>
        <w:t xml:space="preserve">## </w:t>
      </w:r>
      <w:r>
        <w:br/>
      </w:r>
      <w:r>
        <w:rPr>
          <w:rStyle w:val="VerbatimChar"/>
        </w:rPr>
        <w:t xml:space="preserve">## Latent Variables:</w:t>
      </w:r>
      <w:r>
        <w:br/>
      </w:r>
      <w:r>
        <w:rPr>
          <w:rStyle w:val="VerbatimChar"/>
        </w:rPr>
        <w:t xml:space="preserve">##                    Estimate  Std.Err  z-value  P(&gt;|z|)   Std.lv  Std.all</w:t>
      </w:r>
      <w:r>
        <w:br/>
      </w:r>
      <w:r>
        <w:rPr>
          <w:rStyle w:val="VerbatimChar"/>
        </w:rPr>
        <w:t xml:space="preserve">##   Absorption =~                                                         </w:t>
      </w:r>
      <w:r>
        <w:br/>
      </w:r>
      <w:r>
        <w:rPr>
          <w:rStyle w:val="VerbatimChar"/>
        </w:rPr>
        <w:t xml:space="preserve">##     Item_1            1.000                               0.270    0.194</w:t>
      </w:r>
      <w:r>
        <w:br/>
      </w:r>
      <w:r>
        <w:rPr>
          <w:rStyle w:val="VerbatimChar"/>
        </w:rPr>
        <w:t xml:space="preserve">##     Item_3            1.666    0.926    1.799    0.072    0.450    0.382</w:t>
      </w:r>
      <w:r>
        <w:br/>
      </w:r>
      <w:r>
        <w:rPr>
          <w:rStyle w:val="VerbatimChar"/>
        </w:rPr>
        <w:t xml:space="preserve">##     Item_5            2.813    2.727    1.032    0.302    0.759    0.525</w:t>
      </w:r>
      <w:r>
        <w:br/>
      </w:r>
      <w:r>
        <w:rPr>
          <w:rStyle w:val="VerbatimChar"/>
        </w:rPr>
        <w:t xml:space="preserve">##     Item_8            3.532    3.010    1.174    0.241    0.953    0.727</w:t>
      </w:r>
      <w:r>
        <w:br/>
      </w:r>
      <w:r>
        <w:rPr>
          <w:rStyle w:val="VerbatimChar"/>
        </w:rPr>
        <w:t xml:space="preserve">##     Item_10          -0.356    1.530   -0.233    0.816   -0.096   -0.061</w:t>
      </w:r>
      <w:r>
        <w:br/>
      </w:r>
      <w:r>
        <w:rPr>
          <w:rStyle w:val="VerbatimChar"/>
        </w:rPr>
        <w:t xml:space="preserve">##     Item_11           0.017    0.703    0.024    0.981    0.005    0.004</w:t>
      </w:r>
      <w:r>
        <w:br/>
      </w:r>
      <w:r>
        <w:rPr>
          <w:rStyle w:val="VerbatimChar"/>
        </w:rPr>
        <w:t xml:space="preserve">##   Vigor =~                                                              </w:t>
      </w:r>
      <w:r>
        <w:br/>
      </w:r>
      <w:r>
        <w:rPr>
          <w:rStyle w:val="VerbatimChar"/>
        </w:rPr>
        <w:t xml:space="preserve">##     Item_14           1.000                               1.079    0.781</w:t>
      </w:r>
      <w:r>
        <w:br/>
      </w:r>
      <w:r>
        <w:rPr>
          <w:rStyle w:val="VerbatimChar"/>
        </w:rPr>
        <w:t xml:space="preserve">##     Item_16           0.532    0.287    1.856    0.064    0.575    0.471</w:t>
      </w:r>
      <w:r>
        <w:br/>
      </w:r>
      <w:r>
        <w:rPr>
          <w:rStyle w:val="VerbatimChar"/>
        </w:rPr>
        <w:t xml:space="preserve">##     Item_17           0.379    0.329    1.153    0.249    0.409    0.401</w:t>
      </w:r>
      <w:r>
        <w:br/>
      </w:r>
      <w:r>
        <w:rPr>
          <w:rStyle w:val="VerbatimChar"/>
        </w:rPr>
        <w:t xml:space="preserve">##     Item_19           0.150    0.308    0.486    0.627    0.162    0.135</w:t>
      </w:r>
      <w:r>
        <w:br/>
      </w:r>
      <w:r>
        <w:rPr>
          <w:rStyle w:val="VerbatimChar"/>
        </w:rPr>
        <w:t xml:space="preserve">##     Item_21           0.214    0.290    0.737    0.461    0.231    0.196</w:t>
      </w:r>
      <w:r>
        <w:br/>
      </w:r>
      <w:r>
        <w:rPr>
          <w:rStyle w:val="VerbatimChar"/>
        </w:rPr>
        <w:t xml:space="preserve">##     Item_22           0.311    0.328    0.949    0.343    0.335    0.305</w:t>
      </w:r>
      <w:r>
        <w:br/>
      </w:r>
      <w:r>
        <w:rPr>
          <w:rStyle w:val="VerbatimChar"/>
        </w:rPr>
        <w:t xml:space="preserve">##   Dedication =~                                                         </w:t>
      </w:r>
      <w:r>
        <w:br/>
      </w:r>
      <w:r>
        <w:rPr>
          <w:rStyle w:val="VerbatimChar"/>
        </w:rPr>
        <w:t xml:space="preserve">##     Item_26           1.000                               1.204    0.783</w:t>
      </w:r>
      <w:r>
        <w:br/>
      </w:r>
      <w:r>
        <w:rPr>
          <w:rStyle w:val="VerbatimChar"/>
        </w:rPr>
        <w:t xml:space="preserve">##     Item_28           0.705    0.161    4.384    0.000    0.849    0.642</w:t>
      </w:r>
      <w:r>
        <w:br/>
      </w:r>
      <w:r>
        <w:rPr>
          <w:rStyle w:val="VerbatimChar"/>
        </w:rPr>
        <w:t xml:space="preserve">##     Item_31           0.297    0.168    1.769    0.077    0.357    0.363</w:t>
      </w:r>
      <w:r>
        <w:br/>
      </w:r>
      <w:r>
        <w:rPr>
          <w:rStyle w:val="VerbatimChar"/>
        </w:rPr>
        <w:t xml:space="preserve">##     Item_32           0.523    0.229    2.281    0.023    0.629    0.503</w:t>
      </w:r>
      <w:r>
        <w:br/>
      </w:r>
      <w:r>
        <w:rPr>
          <w:rStyle w:val="VerbatimChar"/>
        </w:rPr>
        <w:t xml:space="preserve">##     Item_34           0.131    0.122    1.069    0.285    0.157    0.179</w:t>
      </w:r>
      <w:r>
        <w:br/>
      </w:r>
      <w:r>
        <w:rPr>
          <w:rStyle w:val="VerbatimChar"/>
        </w:rPr>
        <w:t xml:space="preserve">##     Item_35           0.569    0.156    3.637    0.000    0.685    0.559</w:t>
      </w:r>
      <w:r>
        <w:br/>
      </w:r>
      <w:r>
        <w:rPr>
          <w:rStyle w:val="VerbatimChar"/>
        </w:rPr>
        <w:t xml:space="preserve">##   Cognitive =~                                                          </w:t>
      </w:r>
      <w:r>
        <w:br/>
      </w:r>
      <w:r>
        <w:rPr>
          <w:rStyle w:val="VerbatimChar"/>
        </w:rPr>
        <w:t xml:space="preserve">##     Item_1            1.000                               0.690    0.496</w:t>
      </w:r>
      <w:r>
        <w:br/>
      </w:r>
      <w:r>
        <w:rPr>
          <w:rStyle w:val="VerbatimChar"/>
        </w:rPr>
        <w:t xml:space="preserve">##     Item_3            1.054    0.281    3.745    0.000    0.727    0.618</w:t>
      </w:r>
      <w:r>
        <w:br/>
      </w:r>
      <w:r>
        <w:rPr>
          <w:rStyle w:val="VerbatimChar"/>
        </w:rPr>
        <w:t xml:space="preserve">##     Item_14           0.192    0.580    0.331    0.740    0.133    0.096</w:t>
      </w:r>
      <w:r>
        <w:br/>
      </w:r>
      <w:r>
        <w:rPr>
          <w:rStyle w:val="VerbatimChar"/>
        </w:rPr>
        <w:t xml:space="preserve">##     Item_16           0.955    0.272    3.511    0.000    0.659    0.541</w:t>
      </w:r>
      <w:r>
        <w:br/>
      </w:r>
      <w:r>
        <w:rPr>
          <w:rStyle w:val="VerbatimChar"/>
        </w:rPr>
        <w:t xml:space="preserve">##     Item_26           0.642    0.654    0.981    0.326    0.443    0.288</w:t>
      </w:r>
      <w:r>
        <w:br/>
      </w:r>
      <w:r>
        <w:rPr>
          <w:rStyle w:val="VerbatimChar"/>
        </w:rPr>
        <w:t xml:space="preserve">##     Item_28           0.961    0.470    2.043    0.041    0.663    0.501</w:t>
      </w:r>
      <w:r>
        <w:br/>
      </w:r>
      <w:r>
        <w:rPr>
          <w:rStyle w:val="VerbatimChar"/>
        </w:rPr>
        <w:t xml:space="preserve">##   Affective =~                                                          </w:t>
      </w:r>
      <w:r>
        <w:br/>
      </w:r>
      <w:r>
        <w:rPr>
          <w:rStyle w:val="VerbatimChar"/>
        </w:rPr>
        <w:t xml:space="preserve">##     Item_5            1.000                               0.476    0.329</w:t>
      </w:r>
      <w:r>
        <w:br/>
      </w:r>
      <w:r>
        <w:rPr>
          <w:rStyle w:val="VerbatimChar"/>
        </w:rPr>
        <w:t xml:space="preserve">##     Item_8            1.089    0.357    3.048    0.002    0.518    0.395</w:t>
      </w:r>
      <w:r>
        <w:br/>
      </w:r>
      <w:r>
        <w:rPr>
          <w:rStyle w:val="VerbatimChar"/>
        </w:rPr>
        <w:t xml:space="preserve">##     Item_17           1.307    0.442    2.956    0.003    0.622    0.609</w:t>
      </w:r>
      <w:r>
        <w:br/>
      </w:r>
      <w:r>
        <w:rPr>
          <w:rStyle w:val="VerbatimChar"/>
        </w:rPr>
        <w:t xml:space="preserve">##     Item_19           1.961    1.157    1.695    0.090    0.932    0.777</w:t>
      </w:r>
      <w:r>
        <w:br/>
      </w:r>
      <w:r>
        <w:rPr>
          <w:rStyle w:val="VerbatimChar"/>
        </w:rPr>
        <w:t xml:space="preserve">##     Item_31           1.242    0.496    2.504    0.012    0.591    0.601</w:t>
      </w:r>
      <w:r>
        <w:br/>
      </w:r>
      <w:r>
        <w:rPr>
          <w:rStyle w:val="VerbatimChar"/>
        </w:rPr>
        <w:t xml:space="preserve">##     Item_32           1.532    0.389    3.935    0.000    0.729    0.583</w:t>
      </w:r>
      <w:r>
        <w:br/>
      </w:r>
      <w:r>
        <w:rPr>
          <w:rStyle w:val="VerbatimChar"/>
        </w:rPr>
        <w:t xml:space="preserve">##   Behavioral =~                                                         </w:t>
      </w:r>
      <w:r>
        <w:br/>
      </w:r>
      <w:r>
        <w:rPr>
          <w:rStyle w:val="VerbatimChar"/>
        </w:rPr>
        <w:t xml:space="preserve">##     Item_10           1.000                               0.709    0.450</w:t>
      </w:r>
      <w:r>
        <w:br/>
      </w:r>
      <w:r>
        <w:rPr>
          <w:rStyle w:val="VerbatimChar"/>
        </w:rPr>
        <w:t xml:space="preserve">##     Item_11           0.436    0.180    2.420    0.016    0.309    0.256</w:t>
      </w:r>
      <w:r>
        <w:br/>
      </w:r>
      <w:r>
        <w:rPr>
          <w:rStyle w:val="VerbatimChar"/>
        </w:rPr>
        <w:t xml:space="preserve">##     Item_21           0.928    0.279    3.323    0.001    0.658    0.558</w:t>
      </w:r>
      <w:r>
        <w:br/>
      </w:r>
      <w:r>
        <w:rPr>
          <w:rStyle w:val="VerbatimChar"/>
        </w:rPr>
        <w:t xml:space="preserve">##     Item_22           1.092    0.341    3.200    0.001    0.774    0.703</w:t>
      </w:r>
      <w:r>
        <w:br/>
      </w:r>
      <w:r>
        <w:rPr>
          <w:rStyle w:val="VerbatimChar"/>
        </w:rPr>
        <w:t xml:space="preserve">##     Item_34           0.706    0.178    3.959    0.000    0.500    0.569</w:t>
      </w:r>
      <w:r>
        <w:br/>
      </w:r>
      <w:r>
        <w:rPr>
          <w:rStyle w:val="VerbatimChar"/>
        </w:rPr>
        <w:t xml:space="preserve">##     Item_35           0.807    0.480    1.682    0.093    0.572    0.467</w:t>
      </w:r>
      <w:r>
        <w:br/>
      </w:r>
      <w:r>
        <w:rPr>
          <w:rStyle w:val="VerbatimChar"/>
        </w:rPr>
        <w:t xml:space="preserve">## </w:t>
      </w:r>
      <w:r>
        <w:br/>
      </w:r>
      <w:r>
        <w:rPr>
          <w:rStyle w:val="VerbatimChar"/>
        </w:rPr>
        <w:t xml:space="preserve">## Covariances:</w:t>
      </w:r>
      <w:r>
        <w:br/>
      </w:r>
      <w:r>
        <w:rPr>
          <w:rStyle w:val="VerbatimChar"/>
        </w:rPr>
        <w:t xml:space="preserve">##                    Estimate  Std.Err  z-value  P(&gt;|z|)   Std.lv  Std.all</w:t>
      </w:r>
      <w:r>
        <w:br/>
      </w:r>
      <w:r>
        <w:rPr>
          <w:rStyle w:val="VerbatimChar"/>
        </w:rPr>
        <w:t xml:space="preserve">##   Absorption ~~                                                         </w:t>
      </w:r>
      <w:r>
        <w:br/>
      </w:r>
      <w:r>
        <w:rPr>
          <w:rStyle w:val="VerbatimChar"/>
        </w:rPr>
        <w:t xml:space="preserve">##     Affective         0.000                               0.000    0.000</w:t>
      </w:r>
      <w:r>
        <w:br/>
      </w:r>
      <w:r>
        <w:rPr>
          <w:rStyle w:val="VerbatimChar"/>
        </w:rPr>
        <w:t xml:space="preserve">##     Behavioral        0.000                               0.000    0.000</w:t>
      </w:r>
      <w:r>
        <w:br/>
      </w:r>
      <w:r>
        <w:rPr>
          <w:rStyle w:val="VerbatimChar"/>
        </w:rPr>
        <w:t xml:space="preserve">##     Cognitive         0.000                               0.000    0.000</w:t>
      </w:r>
      <w:r>
        <w:br/>
      </w:r>
      <w:r>
        <w:rPr>
          <w:rStyle w:val="VerbatimChar"/>
        </w:rPr>
        <w:t xml:space="preserve">##   Vigor ~~                                                              </w:t>
      </w:r>
      <w:r>
        <w:br/>
      </w:r>
      <w:r>
        <w:rPr>
          <w:rStyle w:val="VerbatimChar"/>
        </w:rPr>
        <w:t xml:space="preserve">##     Affective         0.000                               0.000    0.000</w:t>
      </w:r>
      <w:r>
        <w:br/>
      </w:r>
      <w:r>
        <w:rPr>
          <w:rStyle w:val="VerbatimChar"/>
        </w:rPr>
        <w:t xml:space="preserve">##     Behavioral        0.000                               0.000    0.000</w:t>
      </w:r>
      <w:r>
        <w:br/>
      </w:r>
      <w:r>
        <w:rPr>
          <w:rStyle w:val="VerbatimChar"/>
        </w:rPr>
        <w:t xml:space="preserve">##     Cognitive         0.000                               0.000    0.000</w:t>
      </w:r>
      <w:r>
        <w:br/>
      </w:r>
      <w:r>
        <w:rPr>
          <w:rStyle w:val="VerbatimChar"/>
        </w:rPr>
        <w:t xml:space="preserve">##   Dedication ~~                                                         </w:t>
      </w:r>
      <w:r>
        <w:br/>
      </w:r>
      <w:r>
        <w:rPr>
          <w:rStyle w:val="VerbatimChar"/>
        </w:rPr>
        <w:t xml:space="preserve">##     Affective         0.000                               0.000    0.000</w:t>
      </w:r>
      <w:r>
        <w:br/>
      </w:r>
      <w:r>
        <w:rPr>
          <w:rStyle w:val="VerbatimChar"/>
        </w:rPr>
        <w:t xml:space="preserve">##     Behavioral        0.000                               0.000    0.000</w:t>
      </w:r>
      <w:r>
        <w:br/>
      </w:r>
      <w:r>
        <w:rPr>
          <w:rStyle w:val="VerbatimChar"/>
        </w:rPr>
        <w:t xml:space="preserve">##     Cognitive         0.000                               0.000    0.000</w:t>
      </w:r>
      <w:r>
        <w:br/>
      </w:r>
      <w:r>
        <w:rPr>
          <w:rStyle w:val="VerbatimChar"/>
        </w:rPr>
        <w:t xml:space="preserve">##   Absorption ~~                                                         </w:t>
      </w:r>
      <w:r>
        <w:br/>
      </w:r>
      <w:r>
        <w:rPr>
          <w:rStyle w:val="VerbatimChar"/>
        </w:rPr>
        <w:t xml:space="preserve">##     Vigor             0.242    0.278    0.873    0.383    0.832    0.832</w:t>
      </w:r>
      <w:r>
        <w:br/>
      </w:r>
      <w:r>
        <w:rPr>
          <w:rStyle w:val="VerbatimChar"/>
        </w:rPr>
        <w:t xml:space="preserve">##     Dedication        0.218    0.314    0.692    0.489    0.670    0.670</w:t>
      </w:r>
      <w:r>
        <w:br/>
      </w:r>
      <w:r>
        <w:rPr>
          <w:rStyle w:val="VerbatimChar"/>
        </w:rPr>
        <w:t xml:space="preserve">##   Vigor ~~                                                              </w:t>
      </w:r>
      <w:r>
        <w:br/>
      </w:r>
      <w:r>
        <w:rPr>
          <w:rStyle w:val="VerbatimChar"/>
        </w:rPr>
        <w:t xml:space="preserve">##     Dedication        0.804    0.404    1.989    0.047    0.619    0.619</w:t>
      </w:r>
      <w:r>
        <w:br/>
      </w:r>
      <w:r>
        <w:rPr>
          <w:rStyle w:val="VerbatimChar"/>
        </w:rPr>
        <w:t xml:space="preserve">##   Cognitive ~~                                                          </w:t>
      </w:r>
      <w:r>
        <w:br/>
      </w:r>
      <w:r>
        <w:rPr>
          <w:rStyle w:val="VerbatimChar"/>
        </w:rPr>
        <w:t xml:space="preserve">##     Affective         0.246    0.241    1.021    0.307    0.749    0.749</w:t>
      </w:r>
      <w:r>
        <w:br/>
      </w:r>
      <w:r>
        <w:rPr>
          <w:rStyle w:val="VerbatimChar"/>
        </w:rPr>
        <w:t xml:space="preserve">##     Behavioral        0.411    0.114    3.603    0.000    0.839    0.839</w:t>
      </w:r>
      <w:r>
        <w:br/>
      </w:r>
      <w:r>
        <w:rPr>
          <w:rStyle w:val="VerbatimChar"/>
        </w:rPr>
        <w:t xml:space="preserve">##   Affective ~~                                                          </w:t>
      </w:r>
      <w:r>
        <w:br/>
      </w:r>
      <w:r>
        <w:rPr>
          <w:rStyle w:val="VerbatimChar"/>
        </w:rPr>
        <w:t xml:space="preserve">##     Behavioral        0.320    0.197    1.627    0.104    0.950    0.950</w:t>
      </w:r>
      <w:r>
        <w:br/>
      </w:r>
      <w:r>
        <w:rPr>
          <w:rStyle w:val="VerbatimChar"/>
        </w:rPr>
        <w:t xml:space="preserve">## </w:t>
      </w:r>
      <w:r>
        <w:br/>
      </w:r>
      <w:r>
        <w:rPr>
          <w:rStyle w:val="VerbatimChar"/>
        </w:rPr>
        <w:t xml:space="preserve">## Intercepts:</w:t>
      </w:r>
      <w:r>
        <w:br/>
      </w:r>
      <w:r>
        <w:rPr>
          <w:rStyle w:val="VerbatimChar"/>
        </w:rPr>
        <w:t xml:space="preserve">##                    Estimate  Std.Err  z-value  P(&gt;|z|)   Std.lv  Std.all</w:t>
      </w:r>
      <w:r>
        <w:br/>
      </w:r>
      <w:r>
        <w:rPr>
          <w:rStyle w:val="VerbatimChar"/>
        </w:rPr>
        <w:t xml:space="preserve">##    .Item_1            3.737    0.085   44.146    0.000    3.737    2.688</w:t>
      </w:r>
      <w:r>
        <w:br/>
      </w:r>
      <w:r>
        <w:rPr>
          <w:rStyle w:val="VerbatimChar"/>
        </w:rPr>
        <w:t xml:space="preserve">##    .Item_3            4.573    0.072   63.582    0.000    4.573    3.885</w:t>
      </w:r>
      <w:r>
        <w:br/>
      </w:r>
      <w:r>
        <w:rPr>
          <w:rStyle w:val="VerbatimChar"/>
        </w:rPr>
        <w:t xml:space="preserve">##    .Item_5            3.087    0.088   35.068    0.000    3.087    2.136</w:t>
      </w:r>
      <w:r>
        <w:br/>
      </w:r>
      <w:r>
        <w:rPr>
          <w:rStyle w:val="VerbatimChar"/>
        </w:rPr>
        <w:t xml:space="preserve">##    .Item_8            3.543    0.080   44.121    0.000    3.543    2.702</w:t>
      </w:r>
      <w:r>
        <w:br/>
      </w:r>
      <w:r>
        <w:rPr>
          <w:rStyle w:val="VerbatimChar"/>
        </w:rPr>
        <w:t xml:space="preserve">##    .Item_10           3.717    0.096   38.856    0.000    3.717    2.361</w:t>
      </w:r>
      <w:r>
        <w:br/>
      </w:r>
      <w:r>
        <w:rPr>
          <w:rStyle w:val="VerbatimChar"/>
        </w:rPr>
        <w:t xml:space="preserve">##    .Item_11           4.549    0.074   61.780    0.000    4.549    3.774</w:t>
      </w:r>
      <w:r>
        <w:br/>
      </w:r>
      <w:r>
        <w:rPr>
          <w:rStyle w:val="VerbatimChar"/>
        </w:rPr>
        <w:t xml:space="preserve">##    .Item_14           3.562    0.084   42.442    0.000    3.562    2.579</w:t>
      </w:r>
      <w:r>
        <w:br/>
      </w:r>
      <w:r>
        <w:rPr>
          <w:rStyle w:val="VerbatimChar"/>
        </w:rPr>
        <w:t xml:space="preserve">##    .Item_16           4.129    0.074   55.472    0.000    4.129    3.386</w:t>
      </w:r>
      <w:r>
        <w:br/>
      </w:r>
      <w:r>
        <w:rPr>
          <w:rStyle w:val="VerbatimChar"/>
        </w:rPr>
        <w:t xml:space="preserve">##    .Item_17           4.503    0.063   71.240    0.000    4.503    4.409</w:t>
      </w:r>
      <w:r>
        <w:br/>
      </w:r>
      <w:r>
        <w:rPr>
          <w:rStyle w:val="VerbatimChar"/>
        </w:rPr>
        <w:t xml:space="preserve">##    .Item_19           4.593    0.074   62.003    0.000    4.593    3.826</w:t>
      </w:r>
      <w:r>
        <w:br/>
      </w:r>
      <w:r>
        <w:rPr>
          <w:rStyle w:val="VerbatimChar"/>
        </w:rPr>
        <w:t xml:space="preserve">##    .Item_21           4.533    0.072   62.787    0.000    4.533    3.848</w:t>
      </w:r>
      <w:r>
        <w:br/>
      </w:r>
      <w:r>
        <w:rPr>
          <w:rStyle w:val="VerbatimChar"/>
        </w:rPr>
        <w:t xml:space="preserve">##    .Item_22           4.751    0.068   70.220    0.000    4.751    4.315</w:t>
      </w:r>
      <w:r>
        <w:br/>
      </w:r>
      <w:r>
        <w:rPr>
          <w:rStyle w:val="VerbatimChar"/>
        </w:rPr>
        <w:t xml:space="preserve">##    .Item_26           3.923    0.094   41.796    0.000    3.923    2.550</w:t>
      </w:r>
      <w:r>
        <w:br/>
      </w:r>
      <w:r>
        <w:rPr>
          <w:rStyle w:val="VerbatimChar"/>
        </w:rPr>
        <w:t xml:space="preserve">##    .Item_28           4.270    0.081   52.682    0.000    4.270    3.227</w:t>
      </w:r>
      <w:r>
        <w:br/>
      </w:r>
      <w:r>
        <w:rPr>
          <w:rStyle w:val="VerbatimChar"/>
        </w:rPr>
        <w:t xml:space="preserve">##    .Item_31           4.973    0.062   80.789    0.000    4.973    5.057</w:t>
      </w:r>
      <w:r>
        <w:br/>
      </w:r>
      <w:r>
        <w:rPr>
          <w:rStyle w:val="VerbatimChar"/>
        </w:rPr>
        <w:t xml:space="preserve">##    .Item_32           4.581    0.078   58.435    0.000    4.581    3.664</w:t>
      </w:r>
      <w:r>
        <w:br/>
      </w:r>
      <w:r>
        <w:rPr>
          <w:rStyle w:val="VerbatimChar"/>
        </w:rPr>
        <w:t xml:space="preserve">##    .Item_34           4.981    0.054   92.021    0.000    4.981    5.663</w:t>
      </w:r>
      <w:r>
        <w:br/>
      </w:r>
      <w:r>
        <w:rPr>
          <w:rStyle w:val="VerbatimChar"/>
        </w:rPr>
        <w:t xml:space="preserve">##    .Item_35           4.715    0.076   62.230    0.000    4.715    3.846</w:t>
      </w:r>
      <w:r>
        <w:br/>
      </w:r>
      <w:r>
        <w:rPr>
          <w:rStyle w:val="VerbatimChar"/>
        </w:rPr>
        <w:t xml:space="preserve">##     Absorption        0.000                               0.000    0.000</w:t>
      </w:r>
      <w:r>
        <w:br/>
      </w:r>
      <w:r>
        <w:rPr>
          <w:rStyle w:val="VerbatimChar"/>
        </w:rPr>
        <w:t xml:space="preserve">##     Vigor             0.000                               0.000    0.000</w:t>
      </w:r>
      <w:r>
        <w:br/>
      </w:r>
      <w:r>
        <w:rPr>
          <w:rStyle w:val="VerbatimChar"/>
        </w:rPr>
        <w:t xml:space="preserve">##     Dedication        0.000                               0.000    0.000</w:t>
      </w:r>
      <w:r>
        <w:br/>
      </w:r>
      <w:r>
        <w:rPr>
          <w:rStyle w:val="VerbatimChar"/>
        </w:rPr>
        <w:t xml:space="preserve">##     Cognitive         0.000                               0.000    0.000</w:t>
      </w:r>
      <w:r>
        <w:br/>
      </w:r>
      <w:r>
        <w:rPr>
          <w:rStyle w:val="VerbatimChar"/>
        </w:rPr>
        <w:t xml:space="preserve">##     Affective         0.000                               0.000    0.000</w:t>
      </w:r>
      <w:r>
        <w:br/>
      </w:r>
      <w:r>
        <w:rPr>
          <w:rStyle w:val="VerbatimChar"/>
        </w:rPr>
        <w:t xml:space="preserve">##     Behavioral        0.000                               0.000    0.000</w:t>
      </w:r>
      <w:r>
        <w:br/>
      </w:r>
      <w:r>
        <w:rPr>
          <w:rStyle w:val="VerbatimChar"/>
        </w:rPr>
        <w:t xml:space="preserve">## </w:t>
      </w:r>
      <w:r>
        <w:br/>
      </w:r>
      <w:r>
        <w:rPr>
          <w:rStyle w:val="VerbatimChar"/>
        </w:rPr>
        <w:t xml:space="preserve">## Variances:</w:t>
      </w:r>
      <w:r>
        <w:br/>
      </w:r>
      <w:r>
        <w:rPr>
          <w:rStyle w:val="VerbatimChar"/>
        </w:rPr>
        <w:t xml:space="preserve">##                    Estimate  Std.Err  z-value  P(&gt;|z|)   Std.lv  Std.all</w:t>
      </w:r>
      <w:r>
        <w:br/>
      </w:r>
      <w:r>
        <w:rPr>
          <w:rStyle w:val="VerbatimChar"/>
        </w:rPr>
        <w:t xml:space="preserve">##    .Item_1            1.384    0.193    7.180    0.000    1.384    0.716</w:t>
      </w:r>
      <w:r>
        <w:br/>
      </w:r>
      <w:r>
        <w:rPr>
          <w:rStyle w:val="VerbatimChar"/>
        </w:rPr>
        <w:t xml:space="preserve">##    .Item_3            0.655    0.122    5.346    0.000    0.655    0.472</w:t>
      </w:r>
      <w:r>
        <w:br/>
      </w:r>
      <w:r>
        <w:rPr>
          <w:rStyle w:val="VerbatimChar"/>
        </w:rPr>
        <w:t xml:space="preserve">##    .Item_5            1.286    0.157    8.200    0.000    1.286    0.616</w:t>
      </w:r>
      <w:r>
        <w:br/>
      </w:r>
      <w:r>
        <w:rPr>
          <w:rStyle w:val="VerbatimChar"/>
        </w:rPr>
        <w:t xml:space="preserve">##    .Item_8            0.542    0.154    3.509    0.000    0.542    0.315</w:t>
      </w:r>
      <w:r>
        <w:br/>
      </w:r>
      <w:r>
        <w:rPr>
          <w:rStyle w:val="VerbatimChar"/>
        </w:rPr>
        <w:t xml:space="preserve">##    .Item_10           1.966    0.183   10.767    0.000    1.966    0.793</w:t>
      </w:r>
      <w:r>
        <w:br/>
      </w:r>
      <w:r>
        <w:rPr>
          <w:rStyle w:val="VerbatimChar"/>
        </w:rPr>
        <w:t xml:space="preserve">##    .Item_11           1.357    0.119   11.378    0.000    1.357    0.934</w:t>
      </w:r>
      <w:r>
        <w:br/>
      </w:r>
      <w:r>
        <w:rPr>
          <w:rStyle w:val="VerbatimChar"/>
        </w:rPr>
        <w:t xml:space="preserve">##    .Item_14           0.726    0.524    1.386    0.166    0.726    0.380</w:t>
      </w:r>
      <w:r>
        <w:br/>
      </w:r>
      <w:r>
        <w:rPr>
          <w:rStyle w:val="VerbatimChar"/>
        </w:rPr>
        <w:t xml:space="preserve">##    .Item_16           0.722    0.101    7.119    0.000    0.722    0.486</w:t>
      </w:r>
      <w:r>
        <w:br/>
      </w:r>
      <w:r>
        <w:rPr>
          <w:rStyle w:val="VerbatimChar"/>
        </w:rPr>
        <w:t xml:space="preserve">##    .Item_17           0.489    0.080    6.119    0.000    0.489    0.469</w:t>
      </w:r>
      <w:r>
        <w:br/>
      </w:r>
      <w:r>
        <w:rPr>
          <w:rStyle w:val="VerbatimChar"/>
        </w:rPr>
        <w:t xml:space="preserve">##    .Item_19           0.545    0.148    3.695    0.000    0.545    0.378</w:t>
      </w:r>
      <w:r>
        <w:br/>
      </w:r>
      <w:r>
        <w:rPr>
          <w:rStyle w:val="VerbatimChar"/>
        </w:rPr>
        <w:t xml:space="preserve">##    .Item_21           0.902    0.121    7.453    0.000    0.902    0.650</w:t>
      </w:r>
      <w:r>
        <w:br/>
      </w:r>
      <w:r>
        <w:rPr>
          <w:rStyle w:val="VerbatimChar"/>
        </w:rPr>
        <w:t xml:space="preserve">##    .Item_22           0.501    0.069    7.237    0.000    0.501    0.413</w:t>
      </w:r>
      <w:r>
        <w:br/>
      </w:r>
      <w:r>
        <w:rPr>
          <w:rStyle w:val="VerbatimChar"/>
        </w:rPr>
        <w:t xml:space="preserve">##    .Item_26           0.721    0.235    3.065    0.002    0.721    0.305</w:t>
      </w:r>
      <w:r>
        <w:br/>
      </w:r>
      <w:r>
        <w:rPr>
          <w:rStyle w:val="VerbatimChar"/>
        </w:rPr>
        <w:t xml:space="preserve">##    .Item_28           0.590    0.076    7.717    0.000    0.590    0.337</w:t>
      </w:r>
      <w:r>
        <w:br/>
      </w:r>
      <w:r>
        <w:rPr>
          <w:rStyle w:val="VerbatimChar"/>
        </w:rPr>
        <w:t xml:space="preserve">##    .Item_31           0.491    0.076    6.425    0.000    0.491    0.507</w:t>
      </w:r>
      <w:r>
        <w:br/>
      </w:r>
      <w:r>
        <w:rPr>
          <w:rStyle w:val="VerbatimChar"/>
        </w:rPr>
        <w:t xml:space="preserve">##    .Item_32           0.636    0.086    7.381    0.000    0.636    0.407</w:t>
      </w:r>
      <w:r>
        <w:br/>
      </w:r>
      <w:r>
        <w:rPr>
          <w:rStyle w:val="VerbatimChar"/>
        </w:rPr>
        <w:t xml:space="preserve">##    .Item_34           0.499    0.054    9.184    0.000    0.499    0.645</w:t>
      </w:r>
      <w:r>
        <w:br/>
      </w:r>
      <w:r>
        <w:rPr>
          <w:rStyle w:val="VerbatimChar"/>
        </w:rPr>
        <w:t xml:space="preserve">##    .Item_35           0.706    0.110    6.445    0.000    0.706    0.470</w:t>
      </w:r>
      <w:r>
        <w:br/>
      </w:r>
      <w:r>
        <w:rPr>
          <w:rStyle w:val="VerbatimChar"/>
        </w:rPr>
        <w:t xml:space="preserve">##     Absorption        0.073    0.160    0.454    0.650    1.000    1.000</w:t>
      </w:r>
      <w:r>
        <w:br/>
      </w:r>
      <w:r>
        <w:rPr>
          <w:rStyle w:val="VerbatimChar"/>
        </w:rPr>
        <w:t xml:space="preserve">##     Vigor             1.164    0.502    2.319    0.020    1.000    1.000</w:t>
      </w:r>
      <w:r>
        <w:br/>
      </w:r>
      <w:r>
        <w:rPr>
          <w:rStyle w:val="VerbatimChar"/>
        </w:rPr>
        <w:t xml:space="preserve">##     Dedication        1.449    0.327    4.437    0.000    1.000    1.000</w:t>
      </w:r>
      <w:r>
        <w:br/>
      </w:r>
      <w:r>
        <w:rPr>
          <w:rStyle w:val="VerbatimChar"/>
        </w:rPr>
        <w:t xml:space="preserve">##     Cognitive         0.476    0.188    2.528    0.011    1.000    1.000</w:t>
      </w:r>
      <w:r>
        <w:br/>
      </w:r>
      <w:r>
        <w:rPr>
          <w:rStyle w:val="VerbatimChar"/>
        </w:rPr>
        <w:t xml:space="preserve">##     Affective         0.226    0.278    0.812    0.417    1.000    1.000</w:t>
      </w:r>
      <w:r>
        <w:br/>
      </w:r>
      <w:r>
        <w:rPr>
          <w:rStyle w:val="VerbatimChar"/>
        </w:rPr>
        <w:t xml:space="preserve">##     Behavioral        0.503    0.159    3.153    0.002    1.000    1.000</w:t>
      </w:r>
    </w:p>
    <w:bookmarkStart w:id="36" w:name="study-2"/>
    <w:p>
      <w:pPr>
        <w:pStyle w:val="berschrift2"/>
      </w:pPr>
      <w:r>
        <w:rPr>
          <w:rStyle w:val="SectionNumber"/>
        </w:rPr>
        <w:t xml:space="preserve">2.1</w:t>
      </w:r>
      <w:r>
        <w:tab/>
      </w:r>
      <w:r>
        <w:t xml:space="preserve">Study 2</w:t>
      </w:r>
    </w:p>
    <w:p>
      <w:pPr>
        <w:pStyle w:val="FirstParagraph"/>
      </w:pPr>
      <w:r>
        <w:t xml:space="preserve">Construct validation was acccomplished via administration of the 17-item UWES as well as the</w:t>
      </w:r>
      <w:r>
        <w:t xml:space="preserve"> </w:t>
      </w:r>
      <w:r>
        <w:t xml:space="preserve">Saks (2006)</w:t>
      </w:r>
      <w:r>
        <w:t xml:space="preserve"> </w:t>
      </w:r>
      <w:r>
        <w:t xml:space="preserve">12-item scale.</w:t>
      </w:r>
      <w:r>
        <w:t xml:space="preserve"> </w:t>
      </w:r>
      <w:r>
        <w:t xml:space="preserve">Saks (2006)</w:t>
      </w:r>
      <w:r>
        <w:t xml:space="preserve"> </w:t>
      </w:r>
      <w:r>
        <w:t xml:space="preserve">aggregates to two scales: job and organizational engagement.</w:t>
      </w:r>
    </w:p>
    <w:bookmarkEnd w:id="36"/>
    <w:bookmarkEnd w:id="37"/>
    <w:bookmarkStart w:id="38" w:name="discussion"/>
    <w:p>
      <w:pPr>
        <w:pStyle w:val="berschrift1"/>
      </w:pPr>
      <w:r>
        <w:rPr>
          <w:rStyle w:val="SectionNumber"/>
        </w:rPr>
        <w:t xml:space="preserve">3</w:t>
      </w:r>
      <w:r>
        <w:tab/>
      </w:r>
      <w:r>
        <w:t xml:space="preserve">Discussion</w:t>
      </w:r>
    </w:p>
    <w:p>
      <w:r>
        <w:br w:type="page"/>
      </w:r>
    </w:p>
    <w:bookmarkEnd w:id="38"/>
    <w:bookmarkStart w:id="116" w:name="references"/>
    <w:p>
      <w:pPr>
        <w:pStyle w:val="berschrift1"/>
      </w:pPr>
      <w:r>
        <w:rPr>
          <w:rStyle w:val="SectionNumber"/>
        </w:rPr>
        <w:t xml:space="preserve">4</w:t>
      </w:r>
      <w:r>
        <w:tab/>
      </w:r>
      <w:r>
        <w:t xml:space="preserve">References</w:t>
      </w:r>
    </w:p>
    <w:bookmarkStart w:id="115" w:name="refs"/>
    <w:bookmarkStart w:id="40" w:name="ref-R-papaja"/>
    <w:p>
      <w:pPr>
        <w:pStyle w:val="Literaturverzeichnis"/>
      </w:pPr>
      <w:r>
        <w:t xml:space="preserve">Aust, F., &amp; Barth, M. (2020).</w:t>
      </w:r>
      <w:r>
        <w:t xml:space="preserve"> </w:t>
      </w:r>
      <w:r>
        <w:rPr>
          <w:i/>
        </w:rPr>
        <w:t xml:space="preserve">papaja</w:t>
      </w:r>
      <w:r>
        <w:rPr>
          <w:i/>
        </w:rPr>
        <w:t xml:space="preserve">:</w:t>
      </w:r>
      <w:r>
        <w:rPr>
          <w:i/>
        </w:rPr>
        <w:t xml:space="preserve"> </w:t>
      </w:r>
      <w:r>
        <w:rPr>
          <w:i/>
        </w:rPr>
        <w:t xml:space="preserve">Create</w:t>
      </w:r>
      <w:r>
        <w:rPr>
          <w:i/>
        </w:rPr>
        <w:t xml:space="preserve"> </w:t>
      </w:r>
      <w:r>
        <w:rPr>
          <w:i/>
        </w:rPr>
        <w:t xml:space="preserve">APA</w:t>
      </w:r>
      <w:r>
        <w:rPr>
          <w:i/>
        </w:rPr>
        <w:t xml:space="preserve"> </w:t>
      </w:r>
      <w:r>
        <w:rPr>
          <w:i/>
        </w:rPr>
        <w:t xml:space="preserve">manuscripts with</w:t>
      </w:r>
      <w:r>
        <w:rPr>
          <w:i/>
        </w:rPr>
        <w:t xml:space="preserve"> </w:t>
      </w:r>
      <w:r>
        <w:rPr>
          <w:i/>
        </w:rPr>
        <w:t xml:space="preserve">R Markdown</w:t>
      </w:r>
      <w:r>
        <w:t xml:space="preserve">. Retrieved from</w:t>
      </w:r>
      <w:r>
        <w:t xml:space="preserve"> </w:t>
      </w:r>
      <w:hyperlink r:id="rId39">
        <w:r>
          <w:rPr>
            <w:rStyle w:val="Hyperlink"/>
          </w:rPr>
          <w:t xml:space="preserve">https://github.com/crsh/papaja</w:t>
        </w:r>
      </w:hyperlink>
    </w:p>
    <w:bookmarkEnd w:id="40"/>
    <w:bookmarkStart w:id="42" w:name="ref-R-magrittr"/>
    <w:p>
      <w:pPr>
        <w:pStyle w:val="Literaturverzeichnis"/>
      </w:pPr>
      <w:r>
        <w:t xml:space="preserve">Bache, S. M., &amp; Wickham, H. (2020).</w:t>
      </w:r>
      <w:r>
        <w:t xml:space="preserve"> </w:t>
      </w:r>
      <w:r>
        <w:rPr>
          <w:i/>
        </w:rPr>
        <w:t xml:space="preserve">Magrittr: A forward-pipe operator for r</w:t>
      </w:r>
      <w:r>
        <w:t xml:space="preserve">. Retrieved from</w:t>
      </w:r>
      <w:r>
        <w:t xml:space="preserve"> </w:t>
      </w:r>
      <w:hyperlink r:id="rId41">
        <w:r>
          <w:rPr>
            <w:rStyle w:val="Hyperlink"/>
          </w:rPr>
          <w:t xml:space="preserve">https://CRAN.R-project.org/package=magrittr</w:t>
        </w:r>
      </w:hyperlink>
    </w:p>
    <w:bookmarkEnd w:id="42"/>
    <w:bookmarkStart w:id="43" w:name="ref-baumruk2004missing"/>
    <w:p>
      <w:pPr>
        <w:pStyle w:val="Literaturverzeichnis"/>
      </w:pPr>
      <w:r>
        <w:t xml:space="preserve">Baumruk, R. (2004). The missing link: The role of employee engagement in business success,</w:t>
      </w:r>
      <w:r>
        <w:t xml:space="preserve"> </w:t>
      </w:r>
      <w:r>
        <w:rPr>
          <w:i/>
        </w:rPr>
        <w:t xml:space="preserve">47</w:t>
      </w:r>
      <w:r>
        <w:t xml:space="preserve">, 48–52.</w:t>
      </w:r>
    </w:p>
    <w:bookmarkEnd w:id="43"/>
    <w:bookmarkStart w:id="44" w:name="ref-coffman_hard_1999"/>
    <w:p>
      <w:pPr>
        <w:pStyle w:val="Literaturverzeichnis"/>
      </w:pPr>
      <w:r>
        <w:t xml:space="preserve">Coffman, C., &amp; Harter, J. (1999). A hard look at soft numbers.</w:t>
      </w:r>
      <w:r>
        <w:t xml:space="preserve"> </w:t>
      </w:r>
      <w:r>
        <w:rPr>
          <w:i/>
        </w:rPr>
        <w:t xml:space="preserve">Position Paper, Gallup Organization</w:t>
      </w:r>
      <w:r>
        <w:t xml:space="preserve">.</w:t>
      </w:r>
    </w:p>
    <w:bookmarkEnd w:id="44"/>
    <w:bookmarkStart w:id="45" w:name="ref-cole2012job"/>
    <w:p>
      <w:pPr>
        <w:pStyle w:val="Literaturverzeichnis"/>
      </w:pPr>
      <w:r>
        <w:t xml:space="preserve">Cole, M. S., Walter, F., Bedeian, A. G., &amp; O’Boyle, E. H. (2012). Job burnout and employee engagement: A meta-analytic examination of construct proliferation.</w:t>
      </w:r>
      <w:r>
        <w:t xml:space="preserve"> </w:t>
      </w:r>
      <w:r>
        <w:rPr>
          <w:i/>
        </w:rPr>
        <w:t xml:space="preserve">Journal of Management</w:t>
      </w:r>
      <w:r>
        <w:t xml:space="preserve">,</w:t>
      </w:r>
      <w:r>
        <w:t xml:space="preserve"> </w:t>
      </w:r>
      <w:r>
        <w:rPr>
          <w:i/>
        </w:rPr>
        <w:t xml:space="preserve">38</w:t>
      </w:r>
      <w:r>
        <w:t xml:space="preserve">(5), 1550–1581.</w:t>
      </w:r>
    </w:p>
    <w:bookmarkEnd w:id="45"/>
    <w:bookmarkStart w:id="46" w:name="ref-csikszentmihalyi1990flow"/>
    <w:p>
      <w:pPr>
        <w:pStyle w:val="Literaturverzeichnis"/>
      </w:pPr>
      <w:r>
        <w:t xml:space="preserve">Csikszentmihalyi, M. (1990).</w:t>
      </w:r>
      <w:r>
        <w:t xml:space="preserve"> </w:t>
      </w:r>
      <w:r>
        <w:rPr>
          <w:i/>
        </w:rPr>
        <w:t xml:space="preserve">Flow: The psychology of optimal experience</w:t>
      </w:r>
      <w:r>
        <w:t xml:space="preserve"> </w:t>
      </w:r>
      <w:r>
        <w:t xml:space="preserve">(Vol. 1990). Harper &amp; Row New York.</w:t>
      </w:r>
    </w:p>
    <w:bookmarkEnd w:id="46"/>
    <w:bookmarkStart w:id="47" w:name="ref-dziak2020sensitivity"/>
    <w:p>
      <w:pPr>
        <w:pStyle w:val="Literaturverzeichnis"/>
      </w:pPr>
      <w:r>
        <w:t xml:space="preserve">Dziak, J. J., Coffman, D. L., Lanza, S. T., Li, R., &amp; Jermiin, L. S. (2020). Sensitivity and specificity of information criteria.</w:t>
      </w:r>
      <w:r>
        <w:t xml:space="preserve"> </w:t>
      </w:r>
      <w:r>
        <w:rPr>
          <w:i/>
        </w:rPr>
        <w:t xml:space="preserve">Briefings in Bioinformatics</w:t>
      </w:r>
      <w:r>
        <w:t xml:space="preserve">,</w:t>
      </w:r>
      <w:r>
        <w:t xml:space="preserve"> </w:t>
      </w:r>
      <w:r>
        <w:rPr>
          <w:i/>
        </w:rPr>
        <w:t xml:space="preserve">21</w:t>
      </w:r>
      <w:r>
        <w:t xml:space="preserve">(2), 553–565.</w:t>
      </w:r>
    </w:p>
    <w:bookmarkEnd w:id="47"/>
    <w:bookmarkStart w:id="49" w:name="ref-elloy_examination_1991"/>
    <w:p>
      <w:pPr>
        <w:pStyle w:val="Literaturverzeichnis"/>
      </w:pPr>
      <w:r>
        <w:t xml:space="preserve">Elloy, D. F., Everett, J. E., &amp; Flynn, W. R. (1991). An examination of the correlates of job involvement.</w:t>
      </w:r>
      <w:r>
        <w:t xml:space="preserve"> </w:t>
      </w:r>
      <w:r>
        <w:rPr>
          <w:i/>
        </w:rPr>
        <w:t xml:space="preserve">Group &amp; Organization Studies</w:t>
      </w:r>
      <w:r>
        <w:t xml:space="preserve">,</w:t>
      </w:r>
      <w:r>
        <w:t xml:space="preserve"> </w:t>
      </w:r>
      <w:r>
        <w:rPr>
          <w:i/>
        </w:rPr>
        <w:t xml:space="preserve">16</w:t>
      </w:r>
      <w:r>
        <w:t xml:space="preserve">(2), 160–177.</w:t>
      </w:r>
      <w:r>
        <w:t xml:space="preserve"> </w:t>
      </w:r>
      <w:hyperlink r:id="rId48">
        <w:r>
          <w:rPr>
            <w:rStyle w:val="Hyperlink"/>
          </w:rPr>
          <w:t xml:space="preserve">https://doi.org/10.1177/105960119101600204</w:t>
        </w:r>
      </w:hyperlink>
    </w:p>
    <w:bookmarkEnd w:id="49"/>
    <w:bookmarkStart w:id="51" w:name="ref-R-semPlot"/>
    <w:p>
      <w:pPr>
        <w:pStyle w:val="Literaturverzeichnis"/>
      </w:pPr>
      <w:r>
        <w:t xml:space="preserve">Epskamp, S. (2019).</w:t>
      </w:r>
      <w:r>
        <w:t xml:space="preserve"> </w:t>
      </w:r>
      <w:r>
        <w:rPr>
          <w:i/>
        </w:rPr>
        <w:t xml:space="preserve">semPlot: Path diagrams and visual analysis of various SEM packages’ output</w:t>
      </w:r>
      <w:r>
        <w:t xml:space="preserve">. Retrieved from</w:t>
      </w:r>
      <w:r>
        <w:t xml:space="preserve"> </w:t>
      </w:r>
      <w:hyperlink r:id="rId50">
        <w:r>
          <w:rPr>
            <w:rStyle w:val="Hyperlink"/>
          </w:rPr>
          <w:t xml:space="preserve">https://CRAN.R-project.org/package=semPlot</w:t>
        </w:r>
      </w:hyperlink>
    </w:p>
    <w:bookmarkEnd w:id="51"/>
    <w:bookmarkStart w:id="53" w:name="ref-ferris_added_1984"/>
    <w:p>
      <w:pPr>
        <w:pStyle w:val="Literaturverzeichnis"/>
      </w:pPr>
      <w:r>
        <w:t xml:space="preserve">Ferris, R., &amp; Hellier, P. (1984). Added value productivity schemes and employee participation.</w:t>
      </w:r>
      <w:r>
        <w:t xml:space="preserve"> </w:t>
      </w:r>
      <w:r>
        <w:rPr>
          <w:i/>
        </w:rPr>
        <w:t xml:space="preserve">Asia Pacific Journal of Human Resources</w:t>
      </w:r>
      <w:r>
        <w:t xml:space="preserve">,</w:t>
      </w:r>
      <w:r>
        <w:t xml:space="preserve"> </w:t>
      </w:r>
      <w:r>
        <w:rPr>
          <w:i/>
        </w:rPr>
        <w:t xml:space="preserve">22</w:t>
      </w:r>
      <w:r>
        <w:t xml:space="preserve">(4), 35–44.</w:t>
      </w:r>
      <w:r>
        <w:t xml:space="preserve"> </w:t>
      </w:r>
      <w:hyperlink r:id="rId52">
        <w:r>
          <w:rPr>
            <w:rStyle w:val="Hyperlink"/>
          </w:rPr>
          <w:t xml:space="preserve">https://doi.org/10.1177/103841118402200406</w:t>
        </w:r>
      </w:hyperlink>
    </w:p>
    <w:bookmarkEnd w:id="53"/>
    <w:bookmarkStart w:id="55" w:name="ref-R-sem"/>
    <w:p>
      <w:pPr>
        <w:pStyle w:val="Literaturverzeichnis"/>
      </w:pPr>
      <w:r>
        <w:t xml:space="preserve">Fox, J., Nie, Z., &amp; Byrnes, J. (2020).</w:t>
      </w:r>
      <w:r>
        <w:t xml:space="preserve"> </w:t>
      </w:r>
      <w:r>
        <w:rPr>
          <w:i/>
        </w:rPr>
        <w:t xml:space="preserve">Sem: Structural equation models</w:t>
      </w:r>
      <w:r>
        <w:t xml:space="preserve">. Retrieved from</w:t>
      </w:r>
      <w:r>
        <w:t xml:space="preserve"> </w:t>
      </w:r>
      <w:hyperlink r:id="rId54">
        <w:r>
          <w:rPr>
            <w:rStyle w:val="Hyperlink"/>
          </w:rPr>
          <w:t xml:space="preserve">https://CRAN.R-project.org/package=sem</w:t>
        </w:r>
      </w:hyperlink>
    </w:p>
    <w:bookmarkEnd w:id="55"/>
    <w:bookmarkStart w:id="56" w:name="ref-goering2017not"/>
    <w:p>
      <w:pPr>
        <w:pStyle w:val="Literaturverzeichnis"/>
      </w:pPr>
      <w:r>
        <w:t xml:space="preserve">Goering, D. D., Shimazu, A., Zhou, F., Wada, T., &amp; Sakai, R. (2017). Not if, but how they differ: A meta-analytic test of the nomological networks of burnout and engagement.</w:t>
      </w:r>
      <w:r>
        <w:t xml:space="preserve"> </w:t>
      </w:r>
      <w:r>
        <w:rPr>
          <w:i/>
        </w:rPr>
        <w:t xml:space="preserve">Burnout Research</w:t>
      </w:r>
      <w:r>
        <w:t xml:space="preserve">,</w:t>
      </w:r>
      <w:r>
        <w:t xml:space="preserve"> </w:t>
      </w:r>
      <w:r>
        <w:rPr>
          <w:i/>
        </w:rPr>
        <w:t xml:space="preserve">5</w:t>
      </w:r>
      <w:r>
        <w:t xml:space="preserve">, 21–34.</w:t>
      </w:r>
    </w:p>
    <w:bookmarkEnd w:id="56"/>
    <w:bookmarkStart w:id="57" w:name="ref-harter_business-unit-level_2002"/>
    <w:p>
      <w:pPr>
        <w:pStyle w:val="Literaturverzeichnis"/>
      </w:pPr>
      <w:r>
        <w:t xml:space="preserve">Harter, J. K., Schmidt, F. L., &amp; Hayes, T. L. (2002). Business-unit-level relationship between employee satisfaction, employee engagement, and business outcomes: A meta-analysis.</w:t>
      </w:r>
      <w:r>
        <w:t xml:space="preserve"> </w:t>
      </w:r>
      <w:r>
        <w:rPr>
          <w:i/>
        </w:rPr>
        <w:t xml:space="preserve">Journal of Applied Psychology</w:t>
      </w:r>
      <w:r>
        <w:t xml:space="preserve">,</w:t>
      </w:r>
      <w:r>
        <w:t xml:space="preserve"> </w:t>
      </w:r>
      <w:r>
        <w:rPr>
          <w:i/>
        </w:rPr>
        <w:t xml:space="preserve">87</w:t>
      </w:r>
      <w:r>
        <w:t xml:space="preserve">(2), 268.</w:t>
      </w:r>
    </w:p>
    <w:bookmarkEnd w:id="57"/>
    <w:bookmarkStart w:id="58" w:name="ref-harter_business-unit-level_2002"/>
    <w:p>
      <w:pPr>
        <w:pStyle w:val="Literaturverzeichnis"/>
      </w:pPr>
      <w:r>
        <w:t xml:space="preserve">Harter, J. K., Schmidt, F. L., &amp; Hayes, T. L. (2002). Business-unit-level relationship between employee satisfaction, employee engagement, and business outcomes: A meta-analysis.</w:t>
      </w:r>
      <w:r>
        <w:t xml:space="preserve"> </w:t>
      </w:r>
      <w:r>
        <w:rPr>
          <w:i/>
        </w:rPr>
        <w:t xml:space="preserve">Journal of Applied Psychology</w:t>
      </w:r>
      <w:r>
        <w:t xml:space="preserve">,</w:t>
      </w:r>
      <w:r>
        <w:t xml:space="preserve"> </w:t>
      </w:r>
      <w:r>
        <w:rPr>
          <w:i/>
        </w:rPr>
        <w:t xml:space="preserve">87</w:t>
      </w:r>
      <w:r>
        <w:t xml:space="preserve">(2), 268.</w:t>
      </w:r>
    </w:p>
    <w:bookmarkEnd w:id="58"/>
    <w:bookmarkStart w:id="60" w:name="ref-R-purrr"/>
    <w:p>
      <w:pPr>
        <w:pStyle w:val="Literaturverzeichnis"/>
      </w:pPr>
      <w:r>
        <w:t xml:space="preserve">Henry, L., &amp; Wickham, H. (2020).</w:t>
      </w:r>
      <w:r>
        <w:t xml:space="preserve"> </w:t>
      </w:r>
      <w:r>
        <w:rPr>
          <w:i/>
        </w:rPr>
        <w:t xml:space="preserve">Purrr: Functional programming tools</w:t>
      </w:r>
      <w:r>
        <w:t xml:space="preserve">. Retrieved from</w:t>
      </w:r>
      <w:r>
        <w:t xml:space="preserve"> </w:t>
      </w:r>
      <w:hyperlink r:id="rId59">
        <w:r>
          <w:rPr>
            <w:rStyle w:val="Hyperlink"/>
          </w:rPr>
          <w:t xml:space="preserve">https://CRAN.R-project.org/package=purrr</w:t>
        </w:r>
      </w:hyperlink>
    </w:p>
    <w:bookmarkEnd w:id="60"/>
    <w:bookmarkStart w:id="61" w:name="ref-joreskog1994estimation"/>
    <w:p>
      <w:pPr>
        <w:pStyle w:val="Literaturverzeichnis"/>
      </w:pPr>
      <w:r>
        <w:t xml:space="preserve">Jöreskog, K. G. (1994). On the estimation of polychoric correlations and their asymptotic covariance matrix.</w:t>
      </w:r>
      <w:r>
        <w:t xml:space="preserve"> </w:t>
      </w:r>
      <w:r>
        <w:rPr>
          <w:i/>
        </w:rPr>
        <w:t xml:space="preserve">Psychometrika</w:t>
      </w:r>
      <w:r>
        <w:t xml:space="preserve">,</w:t>
      </w:r>
      <w:r>
        <w:t xml:space="preserve"> </w:t>
      </w:r>
      <w:r>
        <w:rPr>
          <w:i/>
        </w:rPr>
        <w:t xml:space="preserve">59</w:t>
      </w:r>
      <w:r>
        <w:t xml:space="preserve">(3), 381–389.</w:t>
      </w:r>
    </w:p>
    <w:bookmarkEnd w:id="61"/>
    <w:bookmarkStart w:id="62" w:name="ref-kahn_psychological_1990"/>
    <w:p>
      <w:pPr>
        <w:pStyle w:val="Literaturverzeichnis"/>
      </w:pPr>
      <w:r>
        <w:t xml:space="preserve">Kahn, William A. (1990). Psychological conditions of personal engagement and disengagement at work.</w:t>
      </w:r>
      <w:r>
        <w:t xml:space="preserve"> </w:t>
      </w:r>
      <w:r>
        <w:rPr>
          <w:i/>
        </w:rPr>
        <w:t xml:space="preserve">Academy of Management Journal</w:t>
      </w:r>
      <w:r>
        <w:t xml:space="preserve">,</w:t>
      </w:r>
      <w:r>
        <w:t xml:space="preserve"> </w:t>
      </w:r>
      <w:r>
        <w:rPr>
          <w:i/>
        </w:rPr>
        <w:t xml:space="preserve">33</w:t>
      </w:r>
      <w:r>
        <w:t xml:space="preserve">(4), 692–724.</w:t>
      </w:r>
    </w:p>
    <w:bookmarkEnd w:id="62"/>
    <w:bookmarkStart w:id="63" w:name="ref-kahn1990psychological"/>
    <w:p>
      <w:pPr>
        <w:pStyle w:val="Literaturverzeichnis"/>
      </w:pPr>
      <w:r>
        <w:t xml:space="preserve">Kahn, William A. (1990). Psychological conditions of personal engagement and disengagement at work.</w:t>
      </w:r>
      <w:r>
        <w:t xml:space="preserve"> </w:t>
      </w:r>
      <w:r>
        <w:rPr>
          <w:i/>
        </w:rPr>
        <w:t xml:space="preserve">Academy of Management Journal</w:t>
      </w:r>
      <w:r>
        <w:t xml:space="preserve">,</w:t>
      </w:r>
      <w:r>
        <w:t xml:space="preserve"> </w:t>
      </w:r>
      <w:r>
        <w:rPr>
          <w:i/>
        </w:rPr>
        <w:t xml:space="preserve">33</w:t>
      </w:r>
      <w:r>
        <w:t xml:space="preserve">(4), 692–724.</w:t>
      </w:r>
    </w:p>
    <w:bookmarkEnd w:id="63"/>
    <w:bookmarkStart w:id="64" w:name="ref-kahn_psychological_1990"/>
    <w:p>
      <w:pPr>
        <w:pStyle w:val="Literaturverzeichnis"/>
      </w:pPr>
      <w:r>
        <w:t xml:space="preserve">Kahn, William A. (1990). Psychological conditions of personal engagement and disengagement at work.</w:t>
      </w:r>
      <w:r>
        <w:t xml:space="preserve"> </w:t>
      </w:r>
      <w:r>
        <w:rPr>
          <w:i/>
        </w:rPr>
        <w:t xml:space="preserve">Academy of Management Journal</w:t>
      </w:r>
      <w:r>
        <w:t xml:space="preserve">,</w:t>
      </w:r>
      <w:r>
        <w:t xml:space="preserve"> </w:t>
      </w:r>
      <w:r>
        <w:rPr>
          <w:i/>
        </w:rPr>
        <w:t xml:space="preserve">33</w:t>
      </w:r>
      <w:r>
        <w:t xml:space="preserve">(4), 692–724.</w:t>
      </w:r>
    </w:p>
    <w:bookmarkEnd w:id="64"/>
    <w:bookmarkStart w:id="66" w:name="ref-kaiser_campbell_2019"/>
    <w:p>
      <w:pPr>
        <w:pStyle w:val="Literaturverzeichnis"/>
      </w:pPr>
      <w:r>
        <w:t xml:space="preserve">Kaiser, F. G., &amp; Wilson, M. (2019). The</w:t>
      </w:r>
      <w:r>
        <w:t xml:space="preserve"> </w:t>
      </w:r>
      <w:r>
        <w:t xml:space="preserve">Campbell</w:t>
      </w:r>
      <w:r>
        <w:t xml:space="preserve"> </w:t>
      </w:r>
      <w:r>
        <w:t xml:space="preserve">Paradigm</w:t>
      </w:r>
      <w:r>
        <w:t xml:space="preserve"> </w:t>
      </w:r>
      <w:r>
        <w:t xml:space="preserve">as a</w:t>
      </w:r>
      <w:r>
        <w:t xml:space="preserve"> </w:t>
      </w:r>
      <w:r>
        <w:t xml:space="preserve">Behavior</w:t>
      </w:r>
      <w:r>
        <w:t xml:space="preserve">-</w:t>
      </w:r>
      <w:r>
        <w:t xml:space="preserve">Predictive</w:t>
      </w:r>
      <w:r>
        <w:t xml:space="preserve"> </w:t>
      </w:r>
      <w:r>
        <w:t xml:space="preserve">Reinterpretation</w:t>
      </w:r>
      <w:r>
        <w:t xml:space="preserve"> </w:t>
      </w:r>
      <w:r>
        <w:t xml:space="preserve">of the</w:t>
      </w:r>
      <w:r>
        <w:t xml:space="preserve"> </w:t>
      </w:r>
      <w:r>
        <w:t xml:space="preserve">Classical</w:t>
      </w:r>
      <w:r>
        <w:t xml:space="preserve"> </w:t>
      </w:r>
      <w:r>
        <w:t xml:space="preserve">Tripartite</w:t>
      </w:r>
      <w:r>
        <w:t xml:space="preserve"> </w:t>
      </w:r>
      <w:r>
        <w:t xml:space="preserve">Model</w:t>
      </w:r>
      <w:r>
        <w:t xml:space="preserve"> </w:t>
      </w:r>
      <w:r>
        <w:t xml:space="preserve">of</w:t>
      </w:r>
      <w:r>
        <w:t xml:space="preserve"> </w:t>
      </w:r>
      <w:r>
        <w:t xml:space="preserve">Attitudes</w:t>
      </w:r>
      <w:r>
        <w:t xml:space="preserve">.</w:t>
      </w:r>
      <w:r>
        <w:t xml:space="preserve"> </w:t>
      </w:r>
      <w:r>
        <w:rPr>
          <w:i/>
        </w:rPr>
        <w:t xml:space="preserve">European Psychologist</w:t>
      </w:r>
      <w:r>
        <w:t xml:space="preserve">,</w:t>
      </w:r>
      <w:r>
        <w:t xml:space="preserve"> </w:t>
      </w:r>
      <w:r>
        <w:rPr>
          <w:i/>
        </w:rPr>
        <w:t xml:space="preserve">24</w:t>
      </w:r>
      <w:r>
        <w:t xml:space="preserve">(4), 359–374.</w:t>
      </w:r>
      <w:r>
        <w:t xml:space="preserve"> </w:t>
      </w:r>
      <w:hyperlink r:id="rId65">
        <w:r>
          <w:rPr>
            <w:rStyle w:val="Hyperlink"/>
          </w:rPr>
          <w:t xml:space="preserve">https://doi.org/10.1027/1016-9040/a000364</w:t>
        </w:r>
      </w:hyperlink>
    </w:p>
    <w:bookmarkEnd w:id="66"/>
    <w:bookmarkStart w:id="68" w:name="ref-kim_burnout_2009"/>
    <w:p>
      <w:pPr>
        <w:pStyle w:val="Literaturverzeichnis"/>
      </w:pPr>
      <w:r>
        <w:t xml:space="preserve">Kim, H. J., Shin, K. H., &amp; Swanger, N. (2009). Burnout and engagement:</w:t>
      </w:r>
      <w:r>
        <w:t xml:space="preserve"> </w:t>
      </w:r>
      <w:r>
        <w:t xml:space="preserve">A</w:t>
      </w:r>
      <w:r>
        <w:t xml:space="preserve"> </w:t>
      </w:r>
      <w:r>
        <w:t xml:space="preserve">comparative analysis using the</w:t>
      </w:r>
      <w:r>
        <w:t xml:space="preserve"> </w:t>
      </w:r>
      <w:r>
        <w:t xml:space="preserve">Big</w:t>
      </w:r>
      <w:r>
        <w:t xml:space="preserve"> </w:t>
      </w:r>
      <w:r>
        <w:t xml:space="preserve">Five</w:t>
      </w:r>
      <w:r>
        <w:t xml:space="preserve"> </w:t>
      </w:r>
      <w:r>
        <w:t xml:space="preserve">personality dimensions.</w:t>
      </w:r>
      <w:r>
        <w:t xml:space="preserve"> </w:t>
      </w:r>
      <w:r>
        <w:rPr>
          <w:i/>
        </w:rPr>
        <w:t xml:space="preserve">International Journal of Hospitality Management</w:t>
      </w:r>
      <w:r>
        <w:t xml:space="preserve">,</w:t>
      </w:r>
      <w:r>
        <w:t xml:space="preserve"> </w:t>
      </w:r>
      <w:r>
        <w:rPr>
          <w:i/>
        </w:rPr>
        <w:t xml:space="preserve">28</w:t>
      </w:r>
      <w:r>
        <w:t xml:space="preserve">(1), 96–104.</w:t>
      </w:r>
      <w:r>
        <w:t xml:space="preserve"> </w:t>
      </w:r>
      <w:hyperlink r:id="rId67">
        <w:r>
          <w:rPr>
            <w:rStyle w:val="Hyperlink"/>
          </w:rPr>
          <w:t xml:space="preserve">https://doi.org/10.1016/j.ijhm.2008.06.001</w:t>
        </w:r>
      </w:hyperlink>
    </w:p>
    <w:bookmarkEnd w:id="68"/>
    <w:bookmarkStart w:id="70" w:name="ref-R-labourR"/>
    <w:p>
      <w:pPr>
        <w:pStyle w:val="Literaturverzeichnis"/>
      </w:pPr>
      <w:r>
        <w:t xml:space="preserve">Kouretsis, A., Bampouris, A., Morfiris, P., &amp; Papageorgiou, K. (2020).</w:t>
      </w:r>
      <w:r>
        <w:t xml:space="preserve"> </w:t>
      </w:r>
      <w:r>
        <w:rPr>
          <w:i/>
        </w:rPr>
        <w:t xml:space="preserve">labourR: Classify multilingual labour market free-text to standardized hierarchical occupations</w:t>
      </w:r>
      <w:r>
        <w:t xml:space="preserve">. Retrieved from</w:t>
      </w:r>
      <w:r>
        <w:t xml:space="preserve"> </w:t>
      </w:r>
      <w:hyperlink r:id="rId69">
        <w:r>
          <w:rPr>
            <w:rStyle w:val="Hyperlink"/>
          </w:rPr>
          <w:t xml:space="preserve">https://CRAN.R-project.org/package=labourR</w:t>
        </w:r>
      </w:hyperlink>
    </w:p>
    <w:bookmarkEnd w:id="70"/>
    <w:bookmarkStart w:id="71" w:name="ref-kulikowski2017we"/>
    <w:p>
      <w:pPr>
        <w:pStyle w:val="Literaturverzeichnis"/>
      </w:pPr>
      <w:r>
        <w:t xml:space="preserve">Kulikowski, K. (2017). Do we all agree on how to measure work engagement? Factorial validity of utrecht work engagement scale as a standard measurement tool–a literature review.</w:t>
      </w:r>
      <w:r>
        <w:t xml:space="preserve"> </w:t>
      </w:r>
      <w:r>
        <w:rPr>
          <w:i/>
        </w:rPr>
        <w:t xml:space="preserve">International Journal of Occupational Medicine and Environmental Health</w:t>
      </w:r>
      <w:r>
        <w:t xml:space="preserve">,</w:t>
      </w:r>
      <w:r>
        <w:t xml:space="preserve"> </w:t>
      </w:r>
      <w:r>
        <w:rPr>
          <w:i/>
        </w:rPr>
        <w:t xml:space="preserve">30</w:t>
      </w:r>
      <w:r>
        <w:t xml:space="preserve">(2), 161–175.</w:t>
      </w:r>
    </w:p>
    <w:bookmarkEnd w:id="71"/>
    <w:bookmarkStart w:id="73" w:name="ref-leiter_areas_2004"/>
    <w:p>
      <w:pPr>
        <w:pStyle w:val="Literaturverzeichnis"/>
      </w:pPr>
      <w:r>
        <w:t xml:space="preserve">Leiter, M., &amp; Maslach, C. (2004). Areas of worklife: A structured approach to organizational predictors of job burnout. In</w:t>
      </w:r>
      <w:r>
        <w:t xml:space="preserve"> </w:t>
      </w:r>
      <w:r>
        <w:rPr>
          <w:i/>
        </w:rPr>
        <w:t xml:space="preserve">Research in occupational stress and well-being</w:t>
      </w:r>
      <w:r>
        <w:t xml:space="preserve"> </w:t>
      </w:r>
      <w:r>
        <w:t xml:space="preserve">(Vol. 3, pp. 91–134).</w:t>
      </w:r>
      <w:r>
        <w:t xml:space="preserve"> </w:t>
      </w:r>
      <w:hyperlink r:id="rId72">
        <w:r>
          <w:rPr>
            <w:rStyle w:val="Hyperlink"/>
          </w:rPr>
          <w:t xml:space="preserve">https://doi.org/10.1016/S1479-3555(03)03003-8</w:t>
        </w:r>
      </w:hyperlink>
    </w:p>
    <w:bookmarkEnd w:id="73"/>
    <w:bookmarkStart w:id="74" w:name="ref-leone_relation_1995"/>
    <w:p>
      <w:pPr>
        <w:pStyle w:val="Literaturverzeichnis"/>
      </w:pPr>
      <w:r>
        <w:t xml:space="preserve">Leone, D. R. (1995).</w:t>
      </w:r>
      <w:r>
        <w:t xml:space="preserve"> </w:t>
      </w:r>
      <w:r>
        <w:rPr>
          <w:i/>
        </w:rPr>
        <w:t xml:space="preserve">The relation of work climate, higher order need satisfaction, need salience, and causality orientations to work engagement, psychological adjustment, and job satisfaction</w:t>
      </w:r>
      <w:r>
        <w:t xml:space="preserve"> </w:t>
      </w:r>
      <w:r>
        <w:t xml:space="preserve">(PhD thesis). ProQuest Information &amp; Learning.</w:t>
      </w:r>
    </w:p>
    <w:bookmarkEnd w:id="74"/>
    <w:bookmarkStart w:id="75" w:name="ref-maslach1997causes"/>
    <w:p>
      <w:pPr>
        <w:pStyle w:val="Literaturverzeichnis"/>
      </w:pPr>
      <w:r>
        <w:t xml:space="preserve">Maslach, C., &amp; Leiter, M. (1997). What causes burnout.</w:t>
      </w:r>
      <w:r>
        <w:t xml:space="preserve"> </w:t>
      </w:r>
      <w:r>
        <w:rPr>
          <w:i/>
        </w:rPr>
        <w:t xml:space="preserve">Maslach C, Leiter MP. The Truth About Burnout: How Organizations Cause Personal Stress and What to Do about It. San Francisco, CA: Josey-Bass Publishers</w:t>
      </w:r>
      <w:r>
        <w:t xml:space="preserve">, 38–60.</w:t>
      </w:r>
    </w:p>
    <w:bookmarkEnd w:id="75"/>
    <w:bookmarkStart w:id="76" w:name="ref-maslach_early_2008"/>
    <w:p>
      <w:pPr>
        <w:pStyle w:val="Literaturverzeichnis"/>
      </w:pPr>
      <w:r>
        <w:t xml:space="preserve">Maslach, Christina, &amp; Leiter, M. P. (2008). Early predictors of job burnout and engagement.</w:t>
      </w:r>
      <w:r>
        <w:t xml:space="preserve"> </w:t>
      </w:r>
      <w:r>
        <w:rPr>
          <w:i/>
        </w:rPr>
        <w:t xml:space="preserve">Journal of Applied Psychology</w:t>
      </w:r>
      <w:r>
        <w:t xml:space="preserve">,</w:t>
      </w:r>
      <w:r>
        <w:t xml:space="preserve"> </w:t>
      </w:r>
      <w:r>
        <w:rPr>
          <w:i/>
        </w:rPr>
        <w:t xml:space="preserve">93</w:t>
      </w:r>
      <w:r>
        <w:t xml:space="preserve">(3), 498–512.</w:t>
      </w:r>
    </w:p>
    <w:bookmarkEnd w:id="76"/>
    <w:bookmarkStart w:id="77" w:name="ref-meyer_three-component_1991"/>
    <w:p>
      <w:pPr>
        <w:pStyle w:val="Literaturverzeichnis"/>
      </w:pPr>
      <w:r>
        <w:t xml:space="preserve">Meyer, J. P., &amp; Allen, N. J. (1991). A three-component conceptualization of organizational commitment.</w:t>
      </w:r>
      <w:r>
        <w:t xml:space="preserve"> </w:t>
      </w:r>
      <w:r>
        <w:rPr>
          <w:i/>
        </w:rPr>
        <w:t xml:space="preserve">Human Resource Management Review</w:t>
      </w:r>
      <w:r>
        <w:t xml:space="preserve">,</w:t>
      </w:r>
      <w:r>
        <w:t xml:space="preserve"> </w:t>
      </w:r>
      <w:r>
        <w:rPr>
          <w:i/>
        </w:rPr>
        <w:t xml:space="preserve">1</w:t>
      </w:r>
      <w:r>
        <w:t xml:space="preserve">(1), 61–89.</w:t>
      </w:r>
    </w:p>
    <w:bookmarkEnd w:id="77"/>
    <w:bookmarkStart w:id="79" w:name="ref-R-tibble"/>
    <w:p>
      <w:pPr>
        <w:pStyle w:val="Literaturverzeichnis"/>
      </w:pPr>
      <w:r>
        <w:t xml:space="preserve">Müller, K., &amp; Wickham, H. (2021).</w:t>
      </w:r>
      <w:r>
        <w:t xml:space="preserve"> </w:t>
      </w:r>
      <w:r>
        <w:rPr>
          <w:i/>
        </w:rPr>
        <w:t xml:space="preserve">Tibble: Simple data frames</w:t>
      </w:r>
      <w:r>
        <w:t xml:space="preserve">. Retrieved from</w:t>
      </w:r>
      <w:r>
        <w:t xml:space="preserve"> </w:t>
      </w:r>
      <w:hyperlink r:id="rId78">
        <w:r>
          <w:rPr>
            <w:rStyle w:val="Hyperlink"/>
          </w:rPr>
          <w:t xml:space="preserve">https://CRAN.R-project.org/package=tibble</w:t>
        </w:r>
      </w:hyperlink>
    </w:p>
    <w:bookmarkEnd w:id="79"/>
    <w:bookmarkStart w:id="81" w:name="ref-R-base"/>
    <w:p>
      <w:pPr>
        <w:pStyle w:val="Literaturverzeichnis"/>
      </w:pPr>
      <w:r>
        <w:t xml:space="preserve">R Core Team. (2021).</w:t>
      </w:r>
      <w:r>
        <w:t xml:space="preserve"> </w:t>
      </w:r>
      <w:r>
        <w:rPr>
          <w:i/>
        </w:rPr>
        <w:t xml:space="preserve">R: A language and environment for statistical computing</w:t>
      </w:r>
      <w:r>
        <w:t xml:space="preserve">. Vienna, Austria: R Foundation for Statistical Computing. Retrieved from</w:t>
      </w:r>
      <w:r>
        <w:t xml:space="preserve"> </w:t>
      </w:r>
      <w:hyperlink r:id="rId80">
        <w:r>
          <w:rPr>
            <w:rStyle w:val="Hyperlink"/>
          </w:rPr>
          <w:t xml:space="preserve">https://www.R-project.org/</w:t>
        </w:r>
      </w:hyperlink>
    </w:p>
    <w:bookmarkEnd w:id="81"/>
    <w:bookmarkStart w:id="82" w:name="ref-rosenberg_cognitive_1960"/>
    <w:p>
      <w:pPr>
        <w:pStyle w:val="Literaturverzeichnis"/>
      </w:pPr>
      <w:r>
        <w:t xml:space="preserve">Rosenberg, M. J. (1960).</w:t>
      </w:r>
      <w:r>
        <w:t xml:space="preserve"> </w:t>
      </w:r>
      <w:r>
        <w:rPr>
          <w:i/>
        </w:rPr>
        <w:t xml:space="preserve">Cognitive, affective, and behavioral components of attitudes</w:t>
      </w:r>
      <w:r>
        <w:t xml:space="preserve">.</w:t>
      </w:r>
      <w:r>
        <w:t xml:space="preserve"> </w:t>
      </w:r>
      <w:r>
        <w:rPr>
          <w:i/>
        </w:rPr>
        <w:t xml:space="preserve">Attitude organization and change</w:t>
      </w:r>
      <w:r>
        <w:t xml:space="preserve">.</w:t>
      </w:r>
    </w:p>
    <w:bookmarkEnd w:id="82"/>
    <w:bookmarkStart w:id="84" w:name="ref-R-lavaan"/>
    <w:p>
      <w:pPr>
        <w:pStyle w:val="Literaturverzeichnis"/>
      </w:pPr>
      <w:r>
        <w:t xml:space="preserve">Rosseel, Y. (2012).</w:t>
      </w:r>
      <w:r>
        <w:t xml:space="preserve"> </w:t>
      </w:r>
      <w:r>
        <w:t xml:space="preserve">lavaan</w:t>
      </w:r>
      <w:r>
        <w:t xml:space="preserve">: An</w:t>
      </w:r>
      <w:r>
        <w:t xml:space="preserve"> </w:t>
      </w:r>
      <w:r>
        <w:t xml:space="preserve">R</w:t>
      </w:r>
      <w:r>
        <w:t xml:space="preserve"> </w:t>
      </w:r>
      <w:r>
        <w:t xml:space="preserve">package for structural equation modeling.</w:t>
      </w:r>
      <w:r>
        <w:t xml:space="preserve"> </w:t>
      </w:r>
      <w:r>
        <w:rPr>
          <w:i/>
        </w:rPr>
        <w:t xml:space="preserve">Journal of Statistical Software</w:t>
      </w:r>
      <w:r>
        <w:t xml:space="preserve">,</w:t>
      </w:r>
      <w:r>
        <w:t xml:space="preserve"> </w:t>
      </w:r>
      <w:r>
        <w:rPr>
          <w:i/>
        </w:rPr>
        <w:t xml:space="preserve">48</w:t>
      </w:r>
      <w:r>
        <w:t xml:space="preserve">(2), 1–36. Retrieved from</w:t>
      </w:r>
      <w:r>
        <w:t xml:space="preserve"> </w:t>
      </w:r>
      <w:hyperlink r:id="rId83">
        <w:r>
          <w:rPr>
            <w:rStyle w:val="Hyperlink"/>
          </w:rPr>
          <w:t xml:space="preserve">https://www.jstatsoft.org/v48/i02/</w:t>
        </w:r>
      </w:hyperlink>
    </w:p>
    <w:bookmarkEnd w:id="84"/>
    <w:bookmarkStart w:id="85" w:name="ref-saks2006antecedents"/>
    <w:p>
      <w:pPr>
        <w:pStyle w:val="Literaturverzeichnis"/>
      </w:pPr>
      <w:r>
        <w:t xml:space="preserve">Saks, A. M. (2006). Antecedents and consequences of employee engagement.</w:t>
      </w:r>
      <w:r>
        <w:t xml:space="preserve"> </w:t>
      </w:r>
      <w:r>
        <w:rPr>
          <w:i/>
        </w:rPr>
        <w:t xml:space="preserve">Journal of Managerial Psychology</w:t>
      </w:r>
      <w:r>
        <w:t xml:space="preserve">,</w:t>
      </w:r>
      <w:r>
        <w:t xml:space="preserve"> </w:t>
      </w:r>
      <w:r>
        <w:rPr>
          <w:i/>
        </w:rPr>
        <w:t xml:space="preserve">21</w:t>
      </w:r>
      <w:r>
        <w:t xml:space="preserve">(7), 600–619.</w:t>
      </w:r>
    </w:p>
    <w:bookmarkEnd w:id="85"/>
    <w:bookmarkStart w:id="86" w:name="ref-schaufeli_uwesutrecht_2003"/>
    <w:p>
      <w:pPr>
        <w:pStyle w:val="Literaturverzeichnis"/>
      </w:pPr>
      <w:r>
        <w:t xml:space="preserve">Schaufeli, W. B., &amp; Bakker, A. B. (2003).</w:t>
      </w:r>
      <w:r>
        <w:t xml:space="preserve"> </w:t>
      </w:r>
      <w:r>
        <w:t xml:space="preserve">UWES</w:t>
      </w:r>
      <w:r>
        <w:t xml:space="preserve">–utrecht work engagement scale: Test manual.</w:t>
      </w:r>
      <w:r>
        <w:t xml:space="preserve"> </w:t>
      </w:r>
      <w:r>
        <w:rPr>
          <w:i/>
        </w:rPr>
        <w:t xml:space="preserve">Unpublished Manuscript: Department of Psychology, Utrecht University</w:t>
      </w:r>
      <w:r>
        <w:t xml:space="preserve">,</w:t>
      </w:r>
      <w:r>
        <w:t xml:space="preserve"> </w:t>
      </w:r>
      <w:r>
        <w:rPr>
          <w:i/>
        </w:rPr>
        <w:t xml:space="preserve">8</w:t>
      </w:r>
      <w:r>
        <w:t xml:space="preserve">.</w:t>
      </w:r>
    </w:p>
    <w:bookmarkEnd w:id="86"/>
    <w:bookmarkStart w:id="87" w:name="ref-schaufeli_measurement_2002"/>
    <w:p>
      <w:pPr>
        <w:pStyle w:val="Literaturverzeichnis"/>
      </w:pPr>
      <w:r>
        <w:t xml:space="preserve">Schaufeli, Wilmar B., Salanova, M., González-Romá, V., &amp; Bakker, A. B. (2002). The measurement of engagement and burnout: A two sample confirmatory factor analytic approach.</w:t>
      </w:r>
      <w:r>
        <w:t xml:space="preserve"> </w:t>
      </w:r>
      <w:r>
        <w:rPr>
          <w:i/>
        </w:rPr>
        <w:t xml:space="preserve">Journal of Happiness Studies</w:t>
      </w:r>
      <w:r>
        <w:t xml:space="preserve">,</w:t>
      </w:r>
      <w:r>
        <w:t xml:space="preserve"> </w:t>
      </w:r>
      <w:r>
        <w:rPr>
          <w:i/>
        </w:rPr>
        <w:t xml:space="preserve">3</w:t>
      </w:r>
      <w:r>
        <w:t xml:space="preserve">(1), 71–92.</w:t>
      </w:r>
    </w:p>
    <w:bookmarkEnd w:id="87"/>
    <w:bookmarkStart w:id="88" w:name="ref-schaufeli_measurement_2002"/>
    <w:p>
      <w:pPr>
        <w:pStyle w:val="Literaturverzeichnis"/>
      </w:pPr>
      <w:r>
        <w:t xml:space="preserve">Schaufeli, Wilmar B., Salanova, M., González-Romá, V., &amp; Bakker, A. B. (2002). The measurement of engagement and burnout: A two sample confirmatory factor analytic approach.</w:t>
      </w:r>
      <w:r>
        <w:t xml:space="preserve"> </w:t>
      </w:r>
      <w:r>
        <w:rPr>
          <w:i/>
        </w:rPr>
        <w:t xml:space="preserve">Journal of Happiness Studies</w:t>
      </w:r>
      <w:r>
        <w:t xml:space="preserve">,</w:t>
      </w:r>
      <w:r>
        <w:t xml:space="preserve"> </w:t>
      </w:r>
      <w:r>
        <w:rPr>
          <w:i/>
        </w:rPr>
        <w:t xml:space="preserve">3</w:t>
      </w:r>
      <w:r>
        <w:t xml:space="preserve">(1), 71–92.</w:t>
      </w:r>
    </w:p>
    <w:bookmarkEnd w:id="88"/>
    <w:bookmarkStart w:id="89" w:name="ref-schaufeli2008workaholism"/>
    <w:p>
      <w:pPr>
        <w:pStyle w:val="Literaturverzeichnis"/>
      </w:pPr>
      <w:r>
        <w:t xml:space="preserve">Schaufeli, Wilmar B., Taris, T. W., &amp; Van Rhenen, W. (2008). Workaholism, burnout, and work engagement: Three of a kind or three different kinds of employee well-being?</w:t>
      </w:r>
      <w:r>
        <w:t xml:space="preserve"> </w:t>
      </w:r>
      <w:r>
        <w:rPr>
          <w:i/>
        </w:rPr>
        <w:t xml:space="preserve">Applied Psychology</w:t>
      </w:r>
      <w:r>
        <w:t xml:space="preserve">,</w:t>
      </w:r>
      <w:r>
        <w:t xml:space="preserve"> </w:t>
      </w:r>
      <w:r>
        <w:rPr>
          <w:i/>
        </w:rPr>
        <w:t xml:space="preserve">57</w:t>
      </w:r>
      <w:r>
        <w:t xml:space="preserve">(2), 173–203.</w:t>
      </w:r>
    </w:p>
    <w:bookmarkEnd w:id="89"/>
    <w:bookmarkStart w:id="90" w:name="ref-schaufeli_conceptualization_2010"/>
    <w:p>
      <w:pPr>
        <w:pStyle w:val="Literaturverzeichnis"/>
      </w:pPr>
      <w:r>
        <w:t xml:space="preserve">Schaufeli, W., &amp; Bakker, A. (2010). The conceptualization and measurement of work engagement. In W. Schaufeli, A. Bakker, &amp; M. Leiter (Eds.),</w:t>
      </w:r>
      <w:r>
        <w:t xml:space="preserve"> </w:t>
      </w:r>
      <w:r>
        <w:rPr>
          <w:i/>
        </w:rPr>
        <w:t xml:space="preserve">Work engagement: A handbook of essential theory and research</w:t>
      </w:r>
      <w:r>
        <w:t xml:space="preserve"> </w:t>
      </w:r>
      <w:r>
        <w:t xml:space="preserve">(pp. 10–24). New York: Psychology Press.</w:t>
      </w:r>
    </w:p>
    <w:bookmarkEnd w:id="90"/>
    <w:bookmarkStart w:id="91" w:name="ref-shaw2005engagement"/>
    <w:p>
      <w:pPr>
        <w:pStyle w:val="Literaturverzeichnis"/>
      </w:pPr>
      <w:r>
        <w:t xml:space="preserve">Shaw, K. (2005). An engagement strategy process for communicators.</w:t>
      </w:r>
      <w:r>
        <w:t xml:space="preserve"> </w:t>
      </w:r>
      <w:r>
        <w:rPr>
          <w:i/>
        </w:rPr>
        <w:t xml:space="preserve">Strategic Communication Management</w:t>
      </w:r>
      <w:r>
        <w:t xml:space="preserve">,</w:t>
      </w:r>
      <w:r>
        <w:t xml:space="preserve"> </w:t>
      </w:r>
      <w:r>
        <w:rPr>
          <w:i/>
        </w:rPr>
        <w:t xml:space="preserve">9</w:t>
      </w:r>
      <w:r>
        <w:t xml:space="preserve">(3), 26.</w:t>
      </w:r>
    </w:p>
    <w:bookmarkEnd w:id="91"/>
    <w:bookmarkStart w:id="93" w:name="ref-R-apaTables"/>
    <w:p>
      <w:pPr>
        <w:pStyle w:val="Literaturverzeichnis"/>
      </w:pPr>
      <w:r>
        <w:t xml:space="preserve">Stanley, D. (2021).</w:t>
      </w:r>
      <w:r>
        <w:t xml:space="preserve"> </w:t>
      </w:r>
      <w:r>
        <w:rPr>
          <w:i/>
        </w:rPr>
        <w:t xml:space="preserve">apaTables: Create american psychological association (APA) style tables</w:t>
      </w:r>
      <w:r>
        <w:t xml:space="preserve">. Retrieved from</w:t>
      </w:r>
      <w:r>
        <w:t xml:space="preserve"> </w:t>
      </w:r>
      <w:hyperlink r:id="rId92">
        <w:r>
          <w:rPr>
            <w:rStyle w:val="Hyperlink"/>
          </w:rPr>
          <w:t xml:space="preserve">https://CRAN.R-project.org/package=apaTables</w:t>
        </w:r>
      </w:hyperlink>
    </w:p>
    <w:bookmarkEnd w:id="93"/>
    <w:bookmarkStart w:id="94" w:name="ref-staw_employee_1994"/>
    <w:p>
      <w:pPr>
        <w:pStyle w:val="Literaturverzeichnis"/>
      </w:pPr>
      <w:r>
        <w:t xml:space="preserve">Staw, B. M., Sutton, R. I., &amp; Pelled, L. H. (1994). Employee positive emotion and favorable outcomes at the workplace.</w:t>
      </w:r>
      <w:r>
        <w:t xml:space="preserve"> </w:t>
      </w:r>
      <w:r>
        <w:rPr>
          <w:i/>
        </w:rPr>
        <w:t xml:space="preserve">Organization Science</w:t>
      </w:r>
      <w:r>
        <w:t xml:space="preserve">,</w:t>
      </w:r>
      <w:r>
        <w:t xml:space="preserve"> </w:t>
      </w:r>
      <w:r>
        <w:rPr>
          <w:i/>
        </w:rPr>
        <w:t xml:space="preserve">5</w:t>
      </w:r>
      <w:r>
        <w:t xml:space="preserve">(1), 51–71.</w:t>
      </w:r>
    </w:p>
    <w:bookmarkEnd w:id="94"/>
    <w:bookmarkStart w:id="95" w:name="ref-taris2017burnout"/>
    <w:p>
      <w:pPr>
        <w:pStyle w:val="Literaturverzeichnis"/>
      </w:pPr>
      <w:r>
        <w:t xml:space="preserve">Taris, T. W., Ybema, J. F., &amp; Beek, I. van. (2017). Burnout and engagement: Identical twins or just close relatives?</w:t>
      </w:r>
      <w:r>
        <w:t xml:space="preserve"> </w:t>
      </w:r>
      <w:r>
        <w:rPr>
          <w:i/>
        </w:rPr>
        <w:t xml:space="preserve">Burnout Research</w:t>
      </w:r>
      <w:r>
        <w:t xml:space="preserve">,</w:t>
      </w:r>
      <w:r>
        <w:t xml:space="preserve"> </w:t>
      </w:r>
      <w:r>
        <w:rPr>
          <w:i/>
        </w:rPr>
        <w:t xml:space="preserve">5</w:t>
      </w:r>
      <w:r>
        <w:t xml:space="preserve">, 3–11.</w:t>
      </w:r>
    </w:p>
    <w:bookmarkEnd w:id="95"/>
    <w:bookmarkStart w:id="96" w:name="ref-timms2012burnt"/>
    <w:p>
      <w:pPr>
        <w:pStyle w:val="Literaturverzeichnis"/>
      </w:pPr>
      <w:r>
        <w:t xml:space="preserve">Timms, C., Brough, P., &amp; Graham, D. (2012). Burnt-out but engaged: The co-existence of psychological burnout and engagement.</w:t>
      </w:r>
      <w:r>
        <w:t xml:space="preserve"> </w:t>
      </w:r>
      <w:r>
        <w:rPr>
          <w:i/>
        </w:rPr>
        <w:t xml:space="preserve">Journal of Educational Administration</w:t>
      </w:r>
      <w:r>
        <w:t xml:space="preserve">,</w:t>
      </w:r>
      <w:r>
        <w:t xml:space="preserve"> </w:t>
      </w:r>
      <w:r>
        <w:rPr>
          <w:i/>
        </w:rPr>
        <w:t xml:space="preserve">50</w:t>
      </w:r>
      <w:r>
        <w:t xml:space="preserve">(3), 327–345.</w:t>
      </w:r>
    </w:p>
    <w:bookmarkEnd w:id="96"/>
    <w:bookmarkStart w:id="98" w:name="ref-R-ggplot2"/>
    <w:p>
      <w:pPr>
        <w:pStyle w:val="Literaturverzeichnis"/>
      </w:pPr>
      <w:r>
        <w:t xml:space="preserve">Wickham, H. (2016).</w:t>
      </w:r>
      <w:r>
        <w:t xml:space="preserve"> </w:t>
      </w:r>
      <w:r>
        <w:rPr>
          <w:i/>
        </w:rPr>
        <w:t xml:space="preserve">ggplot2: Elegant graphics for data analysis</w:t>
      </w:r>
      <w:r>
        <w:t xml:space="preserve">. Springer-Verlag New York. Retrieved from</w:t>
      </w:r>
      <w:r>
        <w:t xml:space="preserve"> </w:t>
      </w:r>
      <w:hyperlink r:id="rId97">
        <w:r>
          <w:rPr>
            <w:rStyle w:val="Hyperlink"/>
          </w:rPr>
          <w:t xml:space="preserve">https://ggplot2.tidyverse.org</w:t>
        </w:r>
      </w:hyperlink>
    </w:p>
    <w:bookmarkEnd w:id="98"/>
    <w:bookmarkStart w:id="100" w:name="ref-R-stringr"/>
    <w:p>
      <w:pPr>
        <w:pStyle w:val="Literaturverzeichnis"/>
      </w:pPr>
      <w:r>
        <w:t xml:space="preserve">Wickham, H. (2019).</w:t>
      </w:r>
      <w:r>
        <w:t xml:space="preserve"> </w:t>
      </w:r>
      <w:r>
        <w:rPr>
          <w:i/>
        </w:rPr>
        <w:t xml:space="preserve">Stringr: Simple, consistent wrappers for common string operations</w:t>
      </w:r>
      <w:r>
        <w:t xml:space="preserve">. Retrieved from</w:t>
      </w:r>
      <w:r>
        <w:t xml:space="preserve"> </w:t>
      </w:r>
      <w:hyperlink r:id="rId99">
        <w:r>
          <w:rPr>
            <w:rStyle w:val="Hyperlink"/>
          </w:rPr>
          <w:t xml:space="preserve">https://CRAN.R-project.org/package=stringr</w:t>
        </w:r>
      </w:hyperlink>
    </w:p>
    <w:bookmarkEnd w:id="100"/>
    <w:bookmarkStart w:id="102" w:name="ref-R-forcats"/>
    <w:p>
      <w:pPr>
        <w:pStyle w:val="Literaturverzeichnis"/>
      </w:pPr>
      <w:r>
        <w:t xml:space="preserve">Wickham, H. (2021a).</w:t>
      </w:r>
      <w:r>
        <w:t xml:space="preserve"> </w:t>
      </w:r>
      <w:r>
        <w:rPr>
          <w:i/>
        </w:rPr>
        <w:t xml:space="preserve">Forcats: Tools for working with categorical variables (factors)</w:t>
      </w:r>
      <w:r>
        <w:t xml:space="preserve">. Retrieved from</w:t>
      </w:r>
      <w:r>
        <w:t xml:space="preserve"> </w:t>
      </w:r>
      <w:hyperlink r:id="rId101">
        <w:r>
          <w:rPr>
            <w:rStyle w:val="Hyperlink"/>
          </w:rPr>
          <w:t xml:space="preserve">https://CRAN.R-project.org/package=forcats</w:t>
        </w:r>
      </w:hyperlink>
    </w:p>
    <w:bookmarkEnd w:id="102"/>
    <w:bookmarkStart w:id="104" w:name="ref-R-tidyr"/>
    <w:p>
      <w:pPr>
        <w:pStyle w:val="Literaturverzeichnis"/>
      </w:pPr>
      <w:r>
        <w:t xml:space="preserve">Wickham, H. (2021b).</w:t>
      </w:r>
      <w:r>
        <w:t xml:space="preserve"> </w:t>
      </w:r>
      <w:r>
        <w:rPr>
          <w:i/>
        </w:rPr>
        <w:t xml:space="preserve">Tidyr: Tidy messy data</w:t>
      </w:r>
      <w:r>
        <w:t xml:space="preserve">. Retrieved from</w:t>
      </w:r>
      <w:r>
        <w:t xml:space="preserve"> </w:t>
      </w:r>
      <w:hyperlink r:id="rId103">
        <w:r>
          <w:rPr>
            <w:rStyle w:val="Hyperlink"/>
          </w:rPr>
          <w:t xml:space="preserve">https://CRAN.R-project.org/package=tidyr</w:t>
        </w:r>
      </w:hyperlink>
    </w:p>
    <w:bookmarkEnd w:id="104"/>
    <w:bookmarkStart w:id="106" w:name="ref-R-tidyverse"/>
    <w:p>
      <w:pPr>
        <w:pStyle w:val="Literaturverzeichnis"/>
      </w:pPr>
      <w:r>
        <w:t xml:space="preserve">Wickham, H., Averick, M., Bryan, J., Chang, W., McGowan, L. D., François, R., … Yutani, H. (2019). Welcome to the</w:t>
      </w:r>
      <w:r>
        <w:t xml:space="preserve"> </w:t>
      </w:r>
      <w:r>
        <w:t xml:space="preserve">tidyverse</w:t>
      </w:r>
      <w:r>
        <w:t xml:space="preserve">.</w:t>
      </w:r>
      <w:r>
        <w:t xml:space="preserve"> </w:t>
      </w:r>
      <w:r>
        <w:rPr>
          <w:i/>
        </w:rPr>
        <w:t xml:space="preserve">Journal of Open Source Software</w:t>
      </w:r>
      <w:r>
        <w:t xml:space="preserve">,</w:t>
      </w:r>
      <w:r>
        <w:t xml:space="preserve"> </w:t>
      </w:r>
      <w:r>
        <w:rPr>
          <w:i/>
        </w:rPr>
        <w:t xml:space="preserve">4</w:t>
      </w:r>
      <w:r>
        <w:t xml:space="preserve">(43), 1686.</w:t>
      </w:r>
      <w:r>
        <w:t xml:space="preserve"> </w:t>
      </w:r>
      <w:hyperlink r:id="rId105">
        <w:r>
          <w:rPr>
            <w:rStyle w:val="Hyperlink"/>
          </w:rPr>
          <w:t xml:space="preserve">https://doi.org/10.21105/joss.01686</w:t>
        </w:r>
      </w:hyperlink>
    </w:p>
    <w:bookmarkEnd w:id="106"/>
    <w:bookmarkStart w:id="108" w:name="ref-R-dplyr"/>
    <w:p>
      <w:pPr>
        <w:pStyle w:val="Literaturverzeichnis"/>
      </w:pPr>
      <w:r>
        <w:t xml:space="preserve">Wickham, H., François, R., Henry, L., &amp; Müller, K. (2021).</w:t>
      </w:r>
      <w:r>
        <w:t xml:space="preserve"> </w:t>
      </w:r>
      <w:r>
        <w:rPr>
          <w:i/>
        </w:rPr>
        <w:t xml:space="preserve">Dplyr: A grammar of data manipulation</w:t>
      </w:r>
      <w:r>
        <w:t xml:space="preserve">. Retrieved from</w:t>
      </w:r>
      <w:r>
        <w:t xml:space="preserve"> </w:t>
      </w:r>
      <w:hyperlink r:id="rId107">
        <w:r>
          <w:rPr>
            <w:rStyle w:val="Hyperlink"/>
          </w:rPr>
          <w:t xml:space="preserve">https://CRAN.R-project.org/package=dplyr</w:t>
        </w:r>
      </w:hyperlink>
    </w:p>
    <w:bookmarkEnd w:id="108"/>
    <w:bookmarkStart w:id="110" w:name="ref-R-readr"/>
    <w:p>
      <w:pPr>
        <w:pStyle w:val="Literaturverzeichnis"/>
      </w:pPr>
      <w:r>
        <w:t xml:space="preserve">Wickham, H., &amp; Hester, J. (2020).</w:t>
      </w:r>
      <w:r>
        <w:t xml:space="preserve"> </w:t>
      </w:r>
      <w:r>
        <w:rPr>
          <w:i/>
        </w:rPr>
        <w:t xml:space="preserve">Readr: Read rectangular text data</w:t>
      </w:r>
      <w:r>
        <w:t xml:space="preserve">. Retrieved from</w:t>
      </w:r>
      <w:r>
        <w:t xml:space="preserve"> </w:t>
      </w:r>
      <w:hyperlink r:id="rId109">
        <w:r>
          <w:rPr>
            <w:rStyle w:val="Hyperlink"/>
          </w:rPr>
          <w:t xml:space="preserve">https://CRAN.R-project.org/package=readr</w:t>
        </w:r>
      </w:hyperlink>
    </w:p>
    <w:bookmarkEnd w:id="110"/>
    <w:bookmarkStart w:id="112" w:name="ref-R-DT"/>
    <w:p>
      <w:pPr>
        <w:pStyle w:val="Literaturverzeichnis"/>
      </w:pPr>
      <w:r>
        <w:t xml:space="preserve">Xie, Y., Cheng, J., &amp; Tan, X. (2021).</w:t>
      </w:r>
      <w:r>
        <w:t xml:space="preserve"> </w:t>
      </w:r>
      <w:r>
        <w:rPr>
          <w:i/>
        </w:rPr>
        <w:t xml:space="preserve">DT: A wrapper of the JavaScript library ’DataTables’</w:t>
      </w:r>
      <w:r>
        <w:t xml:space="preserve">. Retrieved from</w:t>
      </w:r>
      <w:r>
        <w:t xml:space="preserve"> </w:t>
      </w:r>
      <w:hyperlink r:id="rId111">
        <w:r>
          <w:rPr>
            <w:rStyle w:val="Hyperlink"/>
          </w:rPr>
          <w:t xml:space="preserve">https://CRAN.R-project.org/package=DT</w:t>
        </w:r>
      </w:hyperlink>
    </w:p>
    <w:bookmarkEnd w:id="112"/>
    <w:bookmarkStart w:id="114" w:name="ref-R-kableExtra"/>
    <w:p>
      <w:pPr>
        <w:pStyle w:val="Literaturverzeichnis"/>
      </w:pPr>
      <w:r>
        <w:t xml:space="preserve">Zhu, H. (2021).</w:t>
      </w:r>
      <w:r>
        <w:t xml:space="preserve"> </w:t>
      </w:r>
      <w:r>
        <w:rPr>
          <w:i/>
        </w:rPr>
        <w:t xml:space="preserve">kableExtra: Construct complex table with ’kable’ and pipe syntax</w:t>
      </w:r>
      <w:r>
        <w:t xml:space="preserve">. Retrieved from</w:t>
      </w:r>
      <w:r>
        <w:t xml:space="preserve"> </w:t>
      </w:r>
      <w:hyperlink r:id="rId113">
        <w:r>
          <w:rPr>
            <w:rStyle w:val="Hyperlink"/>
          </w:rPr>
          <w:t xml:space="preserve">https://CRAN.R-project.org/package=kableExtra</w:t>
        </w:r>
      </w:hyperlink>
    </w:p>
    <w:bookmarkEnd w:id="114"/>
    <w:bookmarkEnd w:id="115"/>
    <w:bookmarkEnd w:id="116"/>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unotentext"/>
      </w:pPr>
      <w:r>
        <w:rPr>
          <w:rStyle w:val="Funotenzeichen"/>
        </w:rPr>
        <w:footnoteRef/>
      </w:r>
      <w:r>
        <w:t xml:space="preserve"> </w:t>
      </w:r>
      <w:r>
        <w:t xml:space="preserve">Probably put a table in here highlighting certain modification indices (with a key to intended factor-item association). Look at</w:t>
      </w:r>
      <w:r>
        <w:t xml:space="preserve"> </w:t>
      </w:r>
      <w:r>
        <w:t xml:space="preserve">“</w:t>
      </w:r>
      <w:r>
        <w:t xml:space="preserve">modincides1</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BIFACTOR ENGAGEMENT</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BIFACTOR ENGAGEMENT</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hyperlink" Id="rId111" Target="https://CRAN.R-project.org/package=DT" TargetMode="External" /><Relationship Type="http://schemas.openxmlformats.org/officeDocument/2006/relationships/hyperlink" Id="rId92" Target="https://CRAN.R-project.org/package=apaTables" TargetMode="External" /><Relationship Type="http://schemas.openxmlformats.org/officeDocument/2006/relationships/hyperlink" Id="rId107" Target="https://CRAN.R-project.org/package=dplyr" TargetMode="External" /><Relationship Type="http://schemas.openxmlformats.org/officeDocument/2006/relationships/hyperlink" Id="rId101" Target="https://CRAN.R-project.org/package=forcats" TargetMode="External" /><Relationship Type="http://schemas.openxmlformats.org/officeDocument/2006/relationships/hyperlink" Id="rId113" Target="https://CRAN.R-project.org/package=kableExtra" TargetMode="External" /><Relationship Type="http://schemas.openxmlformats.org/officeDocument/2006/relationships/hyperlink" Id="rId69" Target="https://CRAN.R-project.org/package=labourR" TargetMode="External" /><Relationship Type="http://schemas.openxmlformats.org/officeDocument/2006/relationships/hyperlink" Id="rId41" Target="https://CRAN.R-project.org/package=magrittr" TargetMode="External" /><Relationship Type="http://schemas.openxmlformats.org/officeDocument/2006/relationships/hyperlink" Id="rId59" Target="https://CRAN.R-project.org/package=purrr" TargetMode="External" /><Relationship Type="http://schemas.openxmlformats.org/officeDocument/2006/relationships/hyperlink" Id="rId109" Target="https://CRAN.R-project.org/package=readr" TargetMode="External" /><Relationship Type="http://schemas.openxmlformats.org/officeDocument/2006/relationships/hyperlink" Id="rId54" Target="https://CRAN.R-project.org/package=sem" TargetMode="External" /><Relationship Type="http://schemas.openxmlformats.org/officeDocument/2006/relationships/hyperlink" Id="rId50" Target="https://CRAN.R-project.org/package=semPlot" TargetMode="External" /><Relationship Type="http://schemas.openxmlformats.org/officeDocument/2006/relationships/hyperlink" Id="rId99" Target="https://CRAN.R-project.org/package=stringr" TargetMode="External" /><Relationship Type="http://schemas.openxmlformats.org/officeDocument/2006/relationships/hyperlink" Id="rId78" Target="https://CRAN.R-project.org/package=tibble" TargetMode="External" /><Relationship Type="http://schemas.openxmlformats.org/officeDocument/2006/relationships/hyperlink" Id="rId103" Target="https://CRAN.R-project.org/package=tidyr" TargetMode="External" /><Relationship Type="http://schemas.openxmlformats.org/officeDocument/2006/relationships/hyperlink" Id="rId72" Target="https://doi.org/10.1016/S1479-3555(03)03003-8" TargetMode="External" /><Relationship Type="http://schemas.openxmlformats.org/officeDocument/2006/relationships/hyperlink" Id="rId67" Target="https://doi.org/10.1016/j.ijhm.2008.06.001" TargetMode="External" /><Relationship Type="http://schemas.openxmlformats.org/officeDocument/2006/relationships/hyperlink" Id="rId65" Target="https://doi.org/10.1027/1016-9040/a000364" TargetMode="External" /><Relationship Type="http://schemas.openxmlformats.org/officeDocument/2006/relationships/hyperlink" Id="rId52" Target="https://doi.org/10.1177/103841118402200406" TargetMode="External" /><Relationship Type="http://schemas.openxmlformats.org/officeDocument/2006/relationships/hyperlink" Id="rId48" Target="https://doi.org/10.1177/105960119101600204" TargetMode="External" /><Relationship Type="http://schemas.openxmlformats.org/officeDocument/2006/relationships/hyperlink" Id="rId105" Target="https://doi.org/10.21105/joss.01686" TargetMode="External" /><Relationship Type="http://schemas.openxmlformats.org/officeDocument/2006/relationships/hyperlink" Id="rId97" Target="https://ggplot2.tidyverse.org" TargetMode="External" /><Relationship Type="http://schemas.openxmlformats.org/officeDocument/2006/relationships/hyperlink" Id="rId39" Target="https://github.com/crsh/papaja" TargetMode="External" /><Relationship Type="http://schemas.openxmlformats.org/officeDocument/2006/relationships/hyperlink" Id="rId80" Target="https://www.R-project.org/" TargetMode="External" /><Relationship Type="http://schemas.openxmlformats.org/officeDocument/2006/relationships/hyperlink" Id="rId83" Target="https://www.jstatsoft.org/v48/i02/" TargetMode="External" /><Relationship Type="http://schemas.openxmlformats.org/officeDocument/2006/relationships/hyperlink" Id="rId20" Target="mailto:russellm5@montclair.edu" TargetMode="External" /></Relationships>
</file>

<file path=word/_rels/footnotes.xml.rels><?xml version="1.0" encoding="UTF-8"?>
<Relationships xmlns="http://schemas.openxmlformats.org/package/2006/relationships"><Relationship Type="http://schemas.openxmlformats.org/officeDocument/2006/relationships/hyperlink" Id="rId111" Target="https://CRAN.R-project.org/package=DT" TargetMode="External" /><Relationship Type="http://schemas.openxmlformats.org/officeDocument/2006/relationships/hyperlink" Id="rId92" Target="https://CRAN.R-project.org/package=apaTables" TargetMode="External" /><Relationship Type="http://schemas.openxmlformats.org/officeDocument/2006/relationships/hyperlink" Id="rId107" Target="https://CRAN.R-project.org/package=dplyr" TargetMode="External" /><Relationship Type="http://schemas.openxmlformats.org/officeDocument/2006/relationships/hyperlink" Id="rId101" Target="https://CRAN.R-project.org/package=forcats" TargetMode="External" /><Relationship Type="http://schemas.openxmlformats.org/officeDocument/2006/relationships/hyperlink" Id="rId113" Target="https://CRAN.R-project.org/package=kableExtra" TargetMode="External" /><Relationship Type="http://schemas.openxmlformats.org/officeDocument/2006/relationships/hyperlink" Id="rId69" Target="https://CRAN.R-project.org/package=labourR" TargetMode="External" /><Relationship Type="http://schemas.openxmlformats.org/officeDocument/2006/relationships/hyperlink" Id="rId41" Target="https://CRAN.R-project.org/package=magrittr" TargetMode="External" /><Relationship Type="http://schemas.openxmlformats.org/officeDocument/2006/relationships/hyperlink" Id="rId59" Target="https://CRAN.R-project.org/package=purrr" TargetMode="External" /><Relationship Type="http://schemas.openxmlformats.org/officeDocument/2006/relationships/hyperlink" Id="rId109" Target="https://CRAN.R-project.org/package=readr" TargetMode="External" /><Relationship Type="http://schemas.openxmlformats.org/officeDocument/2006/relationships/hyperlink" Id="rId54" Target="https://CRAN.R-project.org/package=sem" TargetMode="External" /><Relationship Type="http://schemas.openxmlformats.org/officeDocument/2006/relationships/hyperlink" Id="rId50" Target="https://CRAN.R-project.org/package=semPlot" TargetMode="External" /><Relationship Type="http://schemas.openxmlformats.org/officeDocument/2006/relationships/hyperlink" Id="rId99" Target="https://CRAN.R-project.org/package=stringr" TargetMode="External" /><Relationship Type="http://schemas.openxmlformats.org/officeDocument/2006/relationships/hyperlink" Id="rId78" Target="https://CRAN.R-project.org/package=tibble" TargetMode="External" /><Relationship Type="http://schemas.openxmlformats.org/officeDocument/2006/relationships/hyperlink" Id="rId103" Target="https://CRAN.R-project.org/package=tidyr" TargetMode="External" /><Relationship Type="http://schemas.openxmlformats.org/officeDocument/2006/relationships/hyperlink" Id="rId72" Target="https://doi.org/10.1016/S1479-3555(03)03003-8" TargetMode="External" /><Relationship Type="http://schemas.openxmlformats.org/officeDocument/2006/relationships/hyperlink" Id="rId67" Target="https://doi.org/10.1016/j.ijhm.2008.06.001" TargetMode="External" /><Relationship Type="http://schemas.openxmlformats.org/officeDocument/2006/relationships/hyperlink" Id="rId65" Target="https://doi.org/10.1027/1016-9040/a000364" TargetMode="External" /><Relationship Type="http://schemas.openxmlformats.org/officeDocument/2006/relationships/hyperlink" Id="rId52" Target="https://doi.org/10.1177/103841118402200406" TargetMode="External" /><Relationship Type="http://schemas.openxmlformats.org/officeDocument/2006/relationships/hyperlink" Id="rId48" Target="https://doi.org/10.1177/105960119101600204" TargetMode="External" /><Relationship Type="http://schemas.openxmlformats.org/officeDocument/2006/relationships/hyperlink" Id="rId105" Target="https://doi.org/10.21105/joss.01686" TargetMode="External" /><Relationship Type="http://schemas.openxmlformats.org/officeDocument/2006/relationships/hyperlink" Id="rId97" Target="https://ggplot2.tidyverse.org" TargetMode="External" /><Relationship Type="http://schemas.openxmlformats.org/officeDocument/2006/relationships/hyperlink" Id="rId39" Target="https://github.com/crsh/papaja" TargetMode="External" /><Relationship Type="http://schemas.openxmlformats.org/officeDocument/2006/relationships/hyperlink" Id="rId80" Target="https://www.R-project.org/" TargetMode="External" /><Relationship Type="http://schemas.openxmlformats.org/officeDocument/2006/relationships/hyperlink" Id="rId83" Target="https://www.jstatsoft.org/v48/i02/" TargetMode="External" /><Relationship Type="http://schemas.openxmlformats.org/officeDocument/2006/relationships/hyperlink" Id="rId20" Target="mailto:russellm5@montclai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an Intentional BiFactor Engagement Measure</dc:title>
  <dc:creator/>
  <cp:keywords/>
  <dcterms:created xsi:type="dcterms:W3CDTF">2021-10-05T17:16:28Z</dcterms:created>
  <dcterms:modified xsi:type="dcterms:W3CDTF">2021-10-05T17:16:28Z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
  </property>
  <property fmtid="{D5CDD505-2E9C-101B-9397-08002B2CF9AE}" pid="5" name="classoption">
    <vt:lpwstr>man</vt:lpwstr>
  </property>
  <property fmtid="{D5CDD505-2E9C-101B-9397-08002B2CF9AE}" pid="6" name="csl">
    <vt:lpwstr>C:\Users\morga\Documents\R\win-library\4.1\papaja\rmd\apa6.csl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BiFactor Engagement</vt:lpwstr>
  </property>
  <property fmtid="{D5CDD505-2E9C-101B-9397-08002B2CF9AE}" pid="16" name="tablelist">
    <vt:lpwstr>no</vt:lpwstr>
  </property>
  <property fmtid="{D5CDD505-2E9C-101B-9397-08002B2CF9AE}" pid="17" name="wordcount">
    <vt:lpwstr>X</vt:lpwstr>
  </property>
</Properties>
</file>