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reconcile these two approaches.</w:t>
      </w:r>
    </w:p>
    <w:p>
      <w:pPr>
        <w:pStyle w:val="Textkrper"/>
      </w:pPr>
      <w:r>
        <w:rPr>
          <w:iCs/>
          <w:i/>
        </w:rPr>
        <w:t xml:space="preserve">Keywords:</w:t>
      </w:r>
      <w:r>
        <w:t xml:space="preserve"> </w:t>
      </w:r>
      <w:r>
        <w:t xml:space="preserve">Engagement, bifactor analysis</w:t>
      </w:r>
    </w:p>
    <w:p>
      <w:pPr>
        <w:pStyle w:val="Textkrper"/>
      </w:pPr>
      <w:r>
        <w:rPr>
          <w:iCs/>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literatures in the early 1990s</w:t>
      </w:r>
      <w:r>
        <w:t xml:space="preserve"> </w:t>
      </w:r>
      <w:r>
        <w:t xml:space="preserve">(Kahn, 1990)</w:t>
      </w:r>
      <w:r>
        <w:t xml:space="preserve">. The evolution of the construct can perhaps be considered through the lens of semi-distinct lines of research focused on: 1) personal engagement, 2) burnout/engagement, 3) work engagement, and 4) employee engagement.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The current project is most closely aligned with the</w:t>
      </w:r>
      <w:r>
        <w:t xml:space="preserve"> </w:t>
      </w:r>
      <w:r>
        <w:t xml:space="preserve">“</w:t>
      </w:r>
      <w:r>
        <w:t xml:space="preserve">work engagement</w:t>
      </w:r>
      <w:r>
        <w:t xml:space="preserve">”</w:t>
      </w:r>
      <w:r>
        <w:t xml:space="preserve"> </w:t>
      </w:r>
      <w:r>
        <w:t xml:space="preserve">tradition. The most commonly cited definition of work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w:t>
      </w:r>
    </w:p>
    <w:p>
      <w:pPr>
        <w:pStyle w:val="Textkrper"/>
      </w:pPr>
      <w:r>
        <w:t xml:space="preserve">There is a large body of evidence supporting the relationships between work engagement and organizational outcomes, including those which are performance based (Simpson, 2008). Which is likely one reason why, despite some lack of consensus around the construct itself, that work engagement has maintained its status as an important indicator of an organization’s overall health.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engagement-model"/>
    <w:p>
      <w:pPr>
        <w:pStyle w:val="berschrift2"/>
      </w:pPr>
      <w:r>
        <w:rPr>
          <w:rStyle w:val="SectionNumber"/>
        </w:rPr>
        <w:t xml:space="preserve">0.1</w:t>
      </w:r>
      <w:r>
        <w:tab/>
      </w:r>
      <w:r>
        <w:t xml:space="preserve">Engagement Model</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1"/>
    <w:bookmarkStart w:id="22" w:name="attitudinal-model"/>
    <w:p>
      <w:pPr>
        <w:pStyle w:val="berschrift2"/>
      </w:pPr>
      <w:r>
        <w:rPr>
          <w:rStyle w:val="SectionNumber"/>
        </w:rPr>
        <w:t xml:space="preserve">0.2</w:t>
      </w:r>
      <w:r>
        <w:tab/>
      </w:r>
      <w:r>
        <w:t xml:space="preserve">Attitudinal Model</w:t>
      </w:r>
    </w:p>
    <w:p>
      <w:pPr>
        <w:pStyle w:val="FirstParagraph"/>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Cs/>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2"/>
    <w:bookmarkStart w:id="23" w:name="bifactor-structures"/>
    <w:p>
      <w:pPr>
        <w:pStyle w:val="berschrift2"/>
      </w:pPr>
      <w:r>
        <w:rPr>
          <w:rStyle w:val="SectionNumber"/>
        </w:rPr>
        <w:t xml:space="preserve">0.3</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substantive and attitudinal models have non-mediated but overlapping effects on each variable.</w:t>
      </w:r>
    </w:p>
    <w:bookmarkEnd w:id="23"/>
    <w:bookmarkStart w:id="34" w:name="methods"/>
    <w:p>
      <w:pPr>
        <w:pStyle w:val="berschrift1"/>
      </w:pPr>
      <w:r>
        <w:rPr>
          <w:rStyle w:val="SectionNumber"/>
        </w:rPr>
        <w:t xml:space="preserve">1</w:t>
      </w:r>
      <w:r>
        <w:tab/>
      </w:r>
      <w:r>
        <w:t xml:space="preserve">Methods</w:t>
      </w:r>
    </w:p>
    <w:p>
      <w:pPr>
        <w:pStyle w:val="FirstParagraph"/>
      </w:pPr>
      <w:r>
        <w:t xml:space="preserve">Based on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5"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4"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(e.g., each item was sorted</w:t>
      </w:r>
      <w:r>
        <w:t xml:space="preserve"> </w:t>
      </w:r>
      <w:r>
        <w:rPr>
          <w:iCs/>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4"/>
    <w:bookmarkEnd w:id="25"/>
    <w:bookmarkStart w:id="26"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40.59 (SD = 13.69).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Cs/>
          <w:i/>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6"/>
    <w:bookmarkStart w:id="33" w:name="experimental-conditions"/>
    <w:p>
      <w:pPr>
        <w:pStyle w:val="berschrift2"/>
      </w:pPr>
      <w:r>
        <w:rPr>
          <w:rStyle w:val="SectionNumber"/>
        </w:rPr>
        <w:t xml:space="preserve">1.3</w:t>
      </w:r>
      <w:r>
        <w:tab/>
      </w:r>
      <w:r>
        <w:t xml:space="preserve">Experimental conditions</w:t>
      </w:r>
    </w:p>
    <w:p>
      <w:pPr>
        <w:pStyle w:val="FirstParagraph"/>
      </w:pPr>
      <w:r>
        <w:t xml:space="preserve">In addition to an intentional bifactor structure, we wanted to also introduce experimental conditions regarding the effort to obtain final scale definitions. One team of scale reductionists therefore focused on corrected item-total correlations while the other based final scale definitions on CFA modification indices.</w:t>
      </w:r>
    </w:p>
    <w:bookmarkStart w:id="27" w:name="corrected-item-total-correlations"/>
    <w:p>
      <w:pPr>
        <w:pStyle w:val="berschrift3"/>
      </w:pPr>
      <w:r>
        <w:rPr>
          <w:rStyle w:val="SectionNumber"/>
        </w:rPr>
        <w:t xml:space="preserve">1.3.1</w:t>
      </w:r>
      <w:r>
        <w:tab/>
      </w:r>
      <w:r>
        <w:t xml:space="preserve">Corrected item-total correlations.</w:t>
      </w:r>
    </w:p>
    <w:p>
      <w:pPr>
        <w:pStyle w:val="FirstParagraph"/>
      </w:pPr>
      <w:r>
        <w:t xml:space="preserve">For each set of four items per substantive-attitudinal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7"/>
    <w:bookmarkStart w:id="28"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Cs/>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8"/>
    <w:bookmarkStart w:id="32"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Cs/>
          <w:i/>
        </w:rPr>
        <w:t xml:space="preserve">Attitudinal structure modification indices (36 item analysis)</w:t>
      </w:r>
    </w:p>
    <w:tbl>
      <w:tblPr>
        <w:tblStyle w:val="Table"/>
        <w:tblW w:type="pct" w:w="0.0"/>
        <w:tblLook w:firstRow="1" w:lastRow="0" w:firstColumn="0" w:lastColumn="0" w:noHBand="0" w:noVBand="0" w:val="0020"/>
      </w:tblPr>
      <w:tblGrid/>
      <w:tr>
        <w:tc>
          <w:p>
            <w:pPr>
              <w:pStyle w:val="Compact"/>
              <w:jc w:val="left"/>
            </w:pPr>
            <w:r>
              <w:t xml:space="preserve">Element 1</w:t>
            </w:r>
          </w:p>
        </w:tc>
        <w:tc>
          <w:p>
            <w:pPr>
              <w:pStyle w:val="Compact"/>
              <w:jc w:val="left"/>
            </w:pPr>
            <w:r>
              <w:t xml:space="preserve">Element 2</w:t>
            </w:r>
          </w:p>
        </w:tc>
        <w:tc>
          <w:p>
            <w:pPr>
              <w:pStyle w:val="Compact"/>
              <w:jc w:val="left"/>
            </w:pPr>
            <w:r>
              <w:t xml:space="preserve">Modification Index</w:t>
            </w:r>
          </w:p>
        </w:tc>
        <w:tc>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Bifactor measurement model</w:t>
      </w:r>
    </w:p>
    <w:p>
      <w:pPr>
        <w:pStyle w:val="Textkrper"/>
      </w:pPr>
      <w:r>
        <w:t xml:space="preserve">Table 2:</w:t>
      </w:r>
    </w:p>
    <w:p>
      <w:pPr>
        <w:pStyle w:val="TableCaption"/>
      </w:pPr>
      <w:r>
        <w:rPr>
          <w:iCs/>
          <w:i/>
        </w:rPr>
        <w:t xml:space="preserve">Summary fit statistics (18 item final proposed scale definitions)</w:t>
      </w:r>
    </w:p>
    <w:tbl>
      <w:tblPr>
        <w:tblStyle w:val="Table"/>
        <w:tblW w:type="pct" w:w="0.0"/>
        <w:tblLook w:firstRow="1" w:lastRow="0" w:firstColumn="0" w:lastColumn="0" w:noHBand="0" w:noVBand="0" w:val="0020"/>
      </w:tblPr>
      <w:tblGrid/>
      <w:tr>
        <w:tc>
          <w:p>
            <w:pPr>
              <w:pStyle w:val="Compact"/>
              <w:jc w:val="left"/>
            </w:pPr>
            <w:r>
              <w:t xml:space="preserve">model</w:t>
            </w:r>
          </w:p>
        </w:tc>
        <w:tc>
          <w:p>
            <w:pPr>
              <w:pStyle w:val="Compact"/>
              <w:jc w:val="left"/>
            </w:pPr>
            <w:r>
              <w:t xml:space="preserve">Chi Square</w:t>
            </w:r>
          </w:p>
        </w:tc>
        <w:tc>
          <w:p>
            <w:pPr>
              <w:pStyle w:val="Compact"/>
              <w:jc w:val="left"/>
            </w:pPr>
            <w:r>
              <w:t xml:space="preserve">df</w:t>
            </w:r>
          </w:p>
        </w:tc>
        <w:tc>
          <w:p>
            <w:pPr>
              <w:pStyle w:val="Compact"/>
              <w:jc w:val="left"/>
            </w:pPr>
            <w:r>
              <w:t xml:space="preserve">RMSEA</w:t>
            </w:r>
          </w:p>
        </w:tc>
        <w:tc>
          <w:p>
            <w:pPr>
              <w:pStyle w:val="Compact"/>
              <w:jc w:val="left"/>
            </w:pPr>
            <w:r>
              <w:t xml:space="preserve">SRMR</w:t>
            </w:r>
          </w:p>
        </w:tc>
        <w:tc>
          <w:p>
            <w:pPr>
              <w:pStyle w:val="Compact"/>
              <w:jc w:val="left"/>
            </w:pPr>
            <w:r>
              <w:t xml:space="preserve">CFI</w:t>
            </w:r>
          </w:p>
        </w:tc>
        <w:tc>
          <w:p>
            <w:pPr>
              <w:pStyle w:val="Compact"/>
              <w:jc w:val="left"/>
            </w:pPr>
            <w:r>
              <w:t xml:space="preserve">TLI</w:t>
            </w:r>
          </w:p>
        </w:tc>
        <w:tc>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2"/>
    <w:bookmarkEnd w:id="33"/>
    <w:bookmarkEnd w:id="34"/>
    <w:bookmarkStart w:id="36" w:name="results"/>
    <w:p>
      <w:pPr>
        <w:pStyle w:val="berschrift1"/>
      </w:pPr>
      <w:r>
        <w:rPr>
          <w:rStyle w:val="SectionNumber"/>
        </w:rPr>
        <w:t xml:space="preserve">2</w:t>
      </w:r>
      <w:r>
        <w:tab/>
      </w:r>
      <w:r>
        <w:t xml:space="preserve">Results</w:t>
      </w:r>
    </w:p>
    <w:p>
      <w:pPr>
        <w:pStyle w:val="FirstParagraph"/>
      </w:pPr>
      <w:r>
        <w:t xml:space="preserve">We used R [Version 4.1.1;</w:t>
      </w:r>
      <w:r>
        <w:t xml:space="preserve"> </w:t>
      </w:r>
      <w:r>
        <w:t xml:space="preserve">R Core Team (2021)</w:t>
      </w:r>
      <w:r>
        <w:t xml:space="preserve">] and the R-packages</w:t>
      </w:r>
      <w:r>
        <w:t xml:space="preserve"> </w:t>
      </w:r>
      <w:r>
        <w:rPr>
          <w:iCs/>
          <w:i/>
        </w:rPr>
        <w:t xml:space="preserve">apaTables</w:t>
      </w:r>
      <w:r>
        <w:t xml:space="preserve"> </w:t>
      </w:r>
      <w:r>
        <w:t xml:space="preserve">[Version 2.0.8;</w:t>
      </w:r>
      <w:r>
        <w:t xml:space="preserve"> </w:t>
      </w:r>
      <w:r>
        <w:t xml:space="preserve">Stanley (2021)</w:t>
      </w:r>
      <w:r>
        <w:t xml:space="preserve">],</w:t>
      </w:r>
      <w:r>
        <w:t xml:space="preserve"> </w:t>
      </w:r>
      <w:r>
        <w:rPr>
          <w:iCs/>
          <w:i/>
        </w:rPr>
        <w:t xml:space="preserve">dplyr</w:t>
      </w:r>
      <w:r>
        <w:t xml:space="preserve"> </w:t>
      </w:r>
      <w:r>
        <w:t xml:space="preserve">[Version 1.0.7;</w:t>
      </w:r>
      <w:r>
        <w:t xml:space="preserve"> </w:t>
      </w:r>
      <w:r>
        <w:t xml:space="preserve">Wickham et al. (2021)</w:t>
      </w:r>
      <w:r>
        <w:t xml:space="preserve">],</w:t>
      </w:r>
      <w:r>
        <w:t xml:space="preserve"> </w:t>
      </w:r>
      <w:r>
        <w:rPr>
          <w:iCs/>
          <w:i/>
        </w:rPr>
        <w:t xml:space="preserve">DT</w:t>
      </w:r>
      <w:r>
        <w:t xml:space="preserve"> </w:t>
      </w:r>
      <w:r>
        <w:t xml:space="preserve">[Version 0.19;</w:t>
      </w:r>
      <w:r>
        <w:t xml:space="preserve"> </w:t>
      </w:r>
      <w:r>
        <w:t xml:space="preserve">Xie et al.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kableExtra</w:t>
      </w:r>
      <w:r>
        <w:t xml:space="preserve"> </w:t>
      </w:r>
      <w:r>
        <w:t xml:space="preserve">[Version 1.3.4;</w:t>
      </w:r>
      <w:r>
        <w:t xml:space="preserve"> </w:t>
      </w:r>
      <w:r>
        <w:t xml:space="preserve">Zhu (2021)</w:t>
      </w:r>
      <w:r>
        <w:t xml:space="preserve">],</w:t>
      </w:r>
      <w:r>
        <w:t xml:space="preserve"> </w:t>
      </w:r>
      <w:r>
        <w:rPr>
          <w:iCs/>
          <w:i/>
        </w:rPr>
        <w:t xml:space="preserve">labourR</w:t>
      </w:r>
      <w:r>
        <w:t xml:space="preserve"> </w:t>
      </w:r>
      <w:r>
        <w:t xml:space="preserve">[Version 1.0.0;</w:t>
      </w:r>
      <w:r>
        <w:t xml:space="preserve"> </w:t>
      </w:r>
      <w:r>
        <w:t xml:space="preserve">Kouretsis et al. (2020)</w:t>
      </w:r>
      <w:r>
        <w:t xml:space="preserve">],</w:t>
      </w:r>
      <w:r>
        <w:t xml:space="preserve"> </w:t>
      </w:r>
      <w:r>
        <w:rPr>
          <w:iCs/>
          <w:i/>
        </w:rPr>
        <w:t xml:space="preserve">lavaan</w:t>
      </w:r>
      <w:r>
        <w:t xml:space="preserve"> </w:t>
      </w:r>
      <w:r>
        <w:t xml:space="preserve">[Version 0.6.9;</w:t>
      </w:r>
      <w:r>
        <w:t xml:space="preserve"> </w:t>
      </w:r>
      <w:r>
        <w:t xml:space="preserve">Rosseel (2012)</w:t>
      </w:r>
      <w:r>
        <w:t xml:space="preserve">],</w:t>
      </w:r>
      <w:r>
        <w:t xml:space="preserve"> </w:t>
      </w:r>
      <w:r>
        <w:rPr>
          <w:iCs/>
          <w:i/>
        </w:rPr>
        <w:t xml:space="preserve">magrittr</w:t>
      </w:r>
      <w:r>
        <w:t xml:space="preserve"> </w:t>
      </w:r>
      <w:r>
        <w:t xml:space="preserve">[Version 2.0.1;</w:t>
      </w:r>
      <w:r>
        <w:t xml:space="preserve"> </w:t>
      </w:r>
      <w:r>
        <w:t xml:space="preserve">Bache and Wickham (2020)</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readr</w:t>
      </w:r>
      <w:r>
        <w:t xml:space="preserve"> </w:t>
      </w:r>
      <w:r>
        <w:t xml:space="preserve">[Version 2.0.1;</w:t>
      </w:r>
      <w:r>
        <w:t xml:space="preserve"> </w:t>
      </w:r>
      <w:r>
        <w:t xml:space="preserve">Wickham and Hester (2020)</w:t>
      </w:r>
      <w:r>
        <w:t xml:space="preserve">],</w:t>
      </w:r>
      <w:r>
        <w:t xml:space="preserve"> </w:t>
      </w:r>
      <w:r>
        <w:rPr>
          <w:iCs/>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Cs/>
          <w:i/>
        </w:rPr>
        <w:t xml:space="preserve">semPlot</w:t>
      </w:r>
      <w:r>
        <w:t xml:space="preserve"> </w:t>
      </w:r>
      <w:r>
        <w:t xml:space="preserve">[Version 1.1.2;</w:t>
      </w:r>
      <w:r>
        <w:t xml:space="preserve"> </w:t>
      </w:r>
      <w:r>
        <w:t xml:space="preserve">Epskamp (2019)</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3.1.4;</w:t>
      </w:r>
      <w:r>
        <w:t xml:space="preserve"> </w:t>
      </w:r>
      <w:r>
        <w:t xml:space="preserve">Müller and Wickham (2021)</w:t>
      </w:r>
      <w:r>
        <w:t xml:space="preserve">],</w:t>
      </w:r>
      <w:r>
        <w:t xml:space="preserve"> </w:t>
      </w:r>
      <w:r>
        <w:rPr>
          <w:iCs/>
          <w:i/>
        </w:rPr>
        <w:t xml:space="preserve">tidyr</w:t>
      </w:r>
      <w:r>
        <w:t xml:space="preserve"> </w:t>
      </w:r>
      <w:r>
        <w:t xml:space="preserve">[Version 1.1.3;</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Cs/>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val="0020"/>
      </w:tblPr>
      <w:tblGrid/>
      <w:tr>
        <w:tc>
          <w:p>
            <w:pPr>
              <w:pStyle w:val="Compact"/>
              <w:jc w:val="left"/>
            </w:pPr>
            <w:r>
              <w:t xml:space="preserve">Substantive</w:t>
            </w:r>
          </w:p>
        </w:tc>
        <w:tc>
          <w:p>
            <w:pPr>
              <w:pStyle w:val="Compact"/>
              <w:jc w:val="left"/>
            </w:pPr>
            <w:r>
              <w:t xml:space="preserve">Attitudinal</w:t>
            </w:r>
          </w:p>
        </w:tc>
        <w:tc>
          <w:p>
            <w:pPr>
              <w:pStyle w:val="Compact"/>
              <w:jc w:val="left"/>
            </w:pPr>
            <w:r>
              <w:t xml:space="preserve">Corrected.Item.Total.Definition</w:t>
            </w:r>
          </w:p>
        </w:tc>
        <w:tc>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5"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w:t>
      </w:r>
    </w:p>
    <w:p>
      <w:pPr>
        <w:pStyle w:val="Blocktext"/>
      </w:pPr>
      <w:r>
        <w:t xml:space="preserve">For KULAS to do: two sections</w:t>
      </w:r>
      <w:r>
        <w:t xml:space="preserve"> </w:t>
      </w:r>
      <w:r>
        <w:t xml:space="preserve">1) 6x6 correlation matrix between scale scores</w:t>
      </w:r>
      <w:r>
        <w:t xml:space="preserve"> </w:t>
      </w:r>
      <w:r>
        <w:t xml:space="preserve">2) corrected item-total correlations</w:t>
      </w:r>
    </w:p>
    <w:p>
      <w:pPr>
        <w:pStyle w:val="FirstParagraph"/>
      </w:pPr>
      <w:r>
        <w:t xml:space="preserve">Table 4:</w:t>
      </w:r>
    </w:p>
    <w:p>
      <w:pPr>
        <w:pStyle w:val="TableCaption"/>
      </w:pPr>
      <w:r>
        <w:t xml:space="preserve">**</w:t>
      </w:r>
    </w:p>
    <w:tbl>
      <w:tblPr>
        <w:tblStyle w:val="Table"/>
        <w:tblW w:type="pct" w:w="0.0"/>
        <w:tblLook w:firstRow="1" w:lastRow="0" w:firstColumn="0" w:lastColumn="0" w:noHBand="0" w:noVBand="0" w:val="0020"/>
      </w:tblPr>
      <w:tblGrid/>
      <w:tr>
        <w:tc>
          <w:p>
            <w:pPr>
              <w:pStyle w:val="Compact"/>
              <w:jc w:val="left"/>
            </w:pPr>
            <w:r>
              <w:t xml:space="preserve">Number</w:t>
            </w:r>
          </w:p>
        </w:tc>
        <w:tc>
          <w:p>
            <w:pPr>
              <w:pStyle w:val="Compact"/>
              <w:jc w:val="left"/>
            </w:pPr>
            <w:r>
              <w:t xml:space="preserve">Item.text</w:t>
            </w:r>
          </w:p>
        </w:tc>
        <w:tc>
          <w:p>
            <w:pPr>
              <w:pStyle w:val="Compact"/>
              <w:jc w:val="left"/>
            </w:pPr>
            <w:r>
              <w:t xml:space="preserve">Dimension.1</w:t>
            </w:r>
          </w:p>
        </w:tc>
        <w:tc>
          <w:p>
            <w:pPr>
              <w:pStyle w:val="Compact"/>
              <w:jc w:val="left"/>
            </w:pPr>
            <w:r>
              <w:t xml:space="preserve">Dimension.2</w:t>
            </w:r>
          </w:p>
        </w:tc>
        <w:tc>
          <w:p>
            <w:pPr>
              <w:pStyle w:val="Compact"/>
              <w:jc w:val="left"/>
            </w:pPr>
            <w:r>
              <w:t xml:space="preserve">Bifactor</w:t>
            </w:r>
          </w:p>
        </w:tc>
        <w:tc>
          <w:p>
            <w:pPr>
              <w:pStyle w:val="Compact"/>
              <w:jc w:val="left"/>
            </w:pPr>
            <w:r>
              <w:t xml:space="preserve">Substantive</w:t>
            </w:r>
          </w:p>
        </w:tc>
        <w:tc>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bl>
    <w:bookmarkEnd w:id="35"/>
    <w:bookmarkEnd w:id="36"/>
    <w:bookmarkStart w:id="37"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7"/>
    <w:bookmarkStart w:id="92" w:name="references"/>
    <w:p>
      <w:pPr>
        <w:pStyle w:val="berschrift1"/>
      </w:pPr>
      <w:r>
        <w:rPr>
          <w:rStyle w:val="SectionNumber"/>
        </w:rPr>
        <w:t xml:space="preserve">4</w:t>
      </w:r>
      <w:r>
        <w:tab/>
      </w:r>
      <w:r>
        <w:t xml:space="preserve">References</w:t>
      </w:r>
    </w:p>
    <w:bookmarkStart w:id="91" w:name="refs"/>
    <w:bookmarkStart w:id="39"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38">
        <w:r>
          <w:rPr>
            <w:rStyle w:val="Hyperlink"/>
          </w:rPr>
          <w:t xml:space="preserve">https://github.com/crsh/papaja</w:t>
        </w:r>
      </w:hyperlink>
    </w:p>
    <w:bookmarkEnd w:id="39"/>
    <w:bookmarkStart w:id="41" w:name="ref-R-magrittr"/>
    <w:p>
      <w:pPr>
        <w:pStyle w:val="Literaturverzeichnis"/>
      </w:pPr>
      <w:r>
        <w:t xml:space="preserve">Bache, S. M., &amp; Wickham, H. (2020).</w:t>
      </w:r>
      <w:r>
        <w:t xml:space="preserve"> </w:t>
      </w:r>
      <w:r>
        <w:rPr>
          <w:iCs/>
          <w:i/>
        </w:rPr>
        <w:t xml:space="preserve">Magrittr: A forward-pipe operator for r</w:t>
      </w:r>
      <w:r>
        <w:t xml:space="preserve">.</w:t>
      </w:r>
      <w:r>
        <w:t xml:space="preserve"> </w:t>
      </w:r>
      <w:hyperlink r:id="rId40">
        <w:r>
          <w:rPr>
            <w:rStyle w:val="Hyperlink"/>
          </w:rPr>
          <w:t xml:space="preserve">https://CRAN.R-project.org/package=magrittr</w:t>
        </w:r>
      </w:hyperlink>
    </w:p>
    <w:bookmarkEnd w:id="41"/>
    <w:bookmarkStart w:id="42" w:name="ref-baumruk2004missing"/>
    <w:p>
      <w:pPr>
        <w:pStyle w:val="Literaturverzeichnis"/>
      </w:pPr>
      <w:r>
        <w:t xml:space="preserve">Baumruk, R. (2004).</w:t>
      </w:r>
      <w:r>
        <w:t xml:space="preserve"> </w:t>
      </w:r>
      <w:r>
        <w:rPr>
          <w:iCs/>
          <w:i/>
        </w:rPr>
        <w:t xml:space="preserve">The missing link: The role of employee engagement in business success</w:t>
      </w:r>
      <w:r>
        <w:t xml:space="preserve">.</w:t>
      </w:r>
      <w:r>
        <w:t xml:space="preserve"> </w:t>
      </w:r>
      <w:r>
        <w:rPr>
          <w:iCs/>
          <w:i/>
        </w:rPr>
        <w:t xml:space="preserve">47</w:t>
      </w:r>
      <w:r>
        <w:t xml:space="preserve">, 48–52.</w:t>
      </w:r>
    </w:p>
    <w:bookmarkEnd w:id="42"/>
    <w:bookmarkStart w:id="44" w:name="ref-R-semPlot"/>
    <w:p>
      <w:pPr>
        <w:pStyle w:val="Literaturverzeichnis"/>
      </w:pPr>
      <w:r>
        <w:t xml:space="preserve">Epskamp, S. (2019).</w:t>
      </w:r>
      <w:r>
        <w:t xml:space="preserve"> </w:t>
      </w:r>
      <w:r>
        <w:rPr>
          <w:iCs/>
          <w:i/>
        </w:rPr>
        <w:t xml:space="preserve">semPlot: Path diagrams and visual analysis of various SEM packages’ output</w:t>
      </w:r>
      <w:r>
        <w:t xml:space="preserve">.</w:t>
      </w:r>
      <w:r>
        <w:t xml:space="preserve"> </w:t>
      </w:r>
      <w:hyperlink r:id="rId43">
        <w:r>
          <w:rPr>
            <w:rStyle w:val="Hyperlink"/>
          </w:rPr>
          <w:t xml:space="preserve">https://CRAN.R-project.org/package=semPlot</w:t>
        </w:r>
      </w:hyperlink>
    </w:p>
    <w:bookmarkEnd w:id="44"/>
    <w:bookmarkStart w:id="46" w:name="ref-R-sem"/>
    <w:p>
      <w:pPr>
        <w:pStyle w:val="Literaturverzeichnis"/>
      </w:pPr>
      <w:r>
        <w:t xml:space="preserve">Fox, J., Nie, Z., &amp; Byrnes, J. (2020).</w:t>
      </w:r>
      <w:r>
        <w:t xml:space="preserve"> </w:t>
      </w:r>
      <w:r>
        <w:rPr>
          <w:iCs/>
          <w:i/>
        </w:rPr>
        <w:t xml:space="preserve">Sem: Structural equation models</w:t>
      </w:r>
      <w:r>
        <w:t xml:space="preserve">.</w:t>
      </w:r>
      <w:r>
        <w:t xml:space="preserve"> </w:t>
      </w:r>
      <w:hyperlink r:id="rId45">
        <w:r>
          <w:rPr>
            <w:rStyle w:val="Hyperlink"/>
          </w:rPr>
          <w:t xml:space="preserve">https://CRAN.R-project.org/package=sem</w:t>
        </w:r>
      </w:hyperlink>
    </w:p>
    <w:bookmarkEnd w:id="46"/>
    <w:bookmarkStart w:id="48" w:name="ref-giordano_exploratory_2020"/>
    <w:p>
      <w:pPr>
        <w:pStyle w:val="Literaturverzeichnis"/>
      </w:pPr>
      <w:r>
        <w:t xml:space="preserve">Giordano, C., Ones, D. S., Waller, N. G., &amp; Stanek, K. C. (2020). Exploratory bifactor measurement models in vocational behavior research.</w:t>
      </w:r>
      <w:r>
        <w:t xml:space="preserve"> </w:t>
      </w:r>
      <w:r>
        <w:rPr>
          <w:iCs/>
          <w:i/>
        </w:rPr>
        <w:t xml:space="preserve">Journal of Vocational Behavior</w:t>
      </w:r>
      <w:r>
        <w:t xml:space="preserve">,</w:t>
      </w:r>
      <w:r>
        <w:t xml:space="preserve"> </w:t>
      </w:r>
      <w:r>
        <w:rPr>
          <w:iCs/>
          <w:i/>
        </w:rPr>
        <w:t xml:space="preserve">120</w:t>
      </w:r>
      <w:r>
        <w:t xml:space="preserve">, 103430.</w:t>
      </w:r>
      <w:r>
        <w:t xml:space="preserve"> </w:t>
      </w:r>
      <w:hyperlink r:id="rId47">
        <w:r>
          <w:rPr>
            <w:rStyle w:val="Hyperlink"/>
          </w:rPr>
          <w:t xml:space="preserve">https://doi.org/10.1016/j.jvb.2020.103430</w:t>
        </w:r>
      </w:hyperlink>
    </w:p>
    <w:bookmarkEnd w:id="48"/>
    <w:bookmarkStart w:id="50" w:name="ref-R-purrr"/>
    <w:p>
      <w:pPr>
        <w:pStyle w:val="Literaturverzeichnis"/>
      </w:pPr>
      <w:r>
        <w:t xml:space="preserve">Henry, L., &amp; Wickham, H. (2020).</w:t>
      </w:r>
      <w:r>
        <w:t xml:space="preserve"> </w:t>
      </w:r>
      <w:r>
        <w:rPr>
          <w:iCs/>
          <w:i/>
        </w:rPr>
        <w:t xml:space="preserve">Purrr: Functional programming tools</w:t>
      </w:r>
      <w:r>
        <w:t xml:space="preserve">.</w:t>
      </w:r>
      <w:r>
        <w:t xml:space="preserve"> </w:t>
      </w:r>
      <w:hyperlink r:id="rId49">
        <w:r>
          <w:rPr>
            <w:rStyle w:val="Hyperlink"/>
          </w:rPr>
          <w:t xml:space="preserve">https://CRAN.R-project.org/package=purrr</w:t>
        </w:r>
      </w:hyperlink>
    </w:p>
    <w:bookmarkEnd w:id="50"/>
    <w:bookmarkStart w:id="51" w:name="ref-kahn1990psychological"/>
    <w:p>
      <w:pPr>
        <w:pStyle w:val="Literaturverzeichnis"/>
      </w:pPr>
      <w:r>
        <w:t xml:space="preserve">Kahn, W. A. (1990).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51"/>
    <w:bookmarkStart w:id="53"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Cs/>
          <w:i/>
        </w:rPr>
        <w:t xml:space="preserve">European Psychologist</w:t>
      </w:r>
      <w:r>
        <w:t xml:space="preserve">,</w:t>
      </w:r>
      <w:r>
        <w:t xml:space="preserve"> </w:t>
      </w:r>
      <w:r>
        <w:rPr>
          <w:iCs/>
          <w:i/>
        </w:rPr>
        <w:t xml:space="preserve">24</w:t>
      </w:r>
      <w:r>
        <w:t xml:space="preserve">(4), 359–374.</w:t>
      </w:r>
      <w:r>
        <w:t xml:space="preserve"> </w:t>
      </w:r>
      <w:hyperlink r:id="rId52">
        <w:r>
          <w:rPr>
            <w:rStyle w:val="Hyperlink"/>
          </w:rPr>
          <w:t xml:space="preserve">https://doi.org/10.1027/1016-9040/a000364</w:t>
        </w:r>
      </w:hyperlink>
    </w:p>
    <w:bookmarkEnd w:id="53"/>
    <w:bookmarkStart w:id="55" w:name="ref-R-labourR"/>
    <w:p>
      <w:pPr>
        <w:pStyle w:val="Literaturverzeichnis"/>
      </w:pPr>
      <w:r>
        <w:t xml:space="preserve">Kouretsis, A., Bampouris, A., Morfiris, P., &amp; Papageorgiou, K. (2020).</w:t>
      </w:r>
      <w:r>
        <w:t xml:space="preserve"> </w:t>
      </w:r>
      <w:r>
        <w:rPr>
          <w:iCs/>
          <w:i/>
        </w:rPr>
        <w:t xml:space="preserve">labourR: Classify multilingual labour market free-text to standardized hierarchical occupations</w:t>
      </w:r>
      <w:r>
        <w:t xml:space="preserve">.</w:t>
      </w:r>
      <w:r>
        <w:t xml:space="preserve"> </w:t>
      </w:r>
      <w:hyperlink r:id="rId54">
        <w:r>
          <w:rPr>
            <w:rStyle w:val="Hyperlink"/>
          </w:rPr>
          <w:t xml:space="preserve">https://CRAN.R-project.org/package=labourR</w:t>
        </w:r>
      </w:hyperlink>
    </w:p>
    <w:bookmarkEnd w:id="55"/>
    <w:bookmarkStart w:id="57"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56">
        <w:r>
          <w:rPr>
            <w:rStyle w:val="Hyperlink"/>
          </w:rPr>
          <w:t xml:space="preserve">https://doi.org/10.13075/ijomeh.1896.00947</w:t>
        </w:r>
      </w:hyperlink>
    </w:p>
    <w:bookmarkEnd w:id="57"/>
    <w:bookmarkStart w:id="59" w:name="ref-R-tibble"/>
    <w:p>
      <w:pPr>
        <w:pStyle w:val="Literaturverzeichnis"/>
      </w:pPr>
      <w:r>
        <w:t xml:space="preserve">Müller, K., &amp; Wickham, H. (2021).</w:t>
      </w:r>
      <w:r>
        <w:t xml:space="preserve"> </w:t>
      </w:r>
      <w:r>
        <w:rPr>
          <w:iCs/>
          <w:i/>
        </w:rPr>
        <w:t xml:space="preserve">Tibble: Simple data frames</w:t>
      </w:r>
      <w:r>
        <w:t xml:space="preserve">.</w:t>
      </w:r>
      <w:r>
        <w:t xml:space="preserve"> </w:t>
      </w:r>
      <w:hyperlink r:id="rId58">
        <w:r>
          <w:rPr>
            <w:rStyle w:val="Hyperlink"/>
          </w:rPr>
          <w:t xml:space="preserve">https://CRAN.R-project.org/package=tibble</w:t>
        </w:r>
      </w:hyperlink>
    </w:p>
    <w:bookmarkEnd w:id="59"/>
    <w:bookmarkStart w:id="61" w:name="ref-R-base"/>
    <w:p>
      <w:pPr>
        <w:pStyle w:val="Literaturverzeichnis"/>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0">
        <w:r>
          <w:rPr>
            <w:rStyle w:val="Hyperlink"/>
          </w:rPr>
          <w:t xml:space="preserve">https://www.R-project.org/</w:t>
        </w:r>
      </w:hyperlink>
    </w:p>
    <w:bookmarkEnd w:id="61"/>
    <w:bookmarkStart w:id="63" w:name="ref-reise_rediscovery_2012"/>
    <w:p>
      <w:pPr>
        <w:pStyle w:val="Literaturverzeichnis"/>
      </w:pPr>
      <w:r>
        <w:t xml:space="preserve">Reise, S. P. (2012). The rediscovery of bifactor measurement models.</w:t>
      </w:r>
      <w:r>
        <w:t xml:space="preserve"> </w:t>
      </w:r>
      <w:r>
        <w:rPr>
          <w:iCs/>
          <w:i/>
        </w:rPr>
        <w:t xml:space="preserve">Multivariate Behavioral Research</w:t>
      </w:r>
      <w:r>
        <w:t xml:space="preserve">,</w:t>
      </w:r>
      <w:r>
        <w:t xml:space="preserve"> </w:t>
      </w:r>
      <w:r>
        <w:rPr>
          <w:iCs/>
          <w:i/>
        </w:rPr>
        <w:t xml:space="preserve">47</w:t>
      </w:r>
      <w:r>
        <w:t xml:space="preserve">(5), 667–696.</w:t>
      </w:r>
      <w:r>
        <w:t xml:space="preserve"> </w:t>
      </w:r>
      <w:hyperlink r:id="rId62">
        <w:r>
          <w:rPr>
            <w:rStyle w:val="Hyperlink"/>
          </w:rPr>
          <w:t xml:space="preserve">https://doi.org/10.1080/00273171.2012.715555</w:t>
        </w:r>
      </w:hyperlink>
    </w:p>
    <w:bookmarkEnd w:id="63"/>
    <w:bookmarkStart w:id="64" w:name="ref-rosenberg_cognitive_1960"/>
    <w:p>
      <w:pPr>
        <w:pStyle w:val="Literaturverzeichnis"/>
      </w:pPr>
      <w:r>
        <w:t xml:space="preserve">Rosenberg, M. J. (1960). Cognitive, affective, and behavioral components of attitudes. In</w:t>
      </w:r>
      <w:r>
        <w:t xml:space="preserve"> </w:t>
      </w:r>
      <w:r>
        <w:rPr>
          <w:iCs/>
          <w:i/>
        </w:rPr>
        <w:t xml:space="preserve">Attitude organization and change</w:t>
      </w:r>
      <w:r>
        <w:t xml:space="preserve">.</w:t>
      </w:r>
    </w:p>
    <w:bookmarkEnd w:id="64"/>
    <w:bookmarkStart w:id="66"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65">
        <w:r>
          <w:rPr>
            <w:rStyle w:val="Hyperlink"/>
          </w:rPr>
          <w:t xml:space="preserve">https://www.jstatsoft.org/v48/i02/</w:t>
        </w:r>
      </w:hyperlink>
    </w:p>
    <w:bookmarkEnd w:id="66"/>
    <w:bookmarkStart w:id="67"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67"/>
    <w:bookmarkStart w:id="68" w:name="ref-shaw2005engagement"/>
    <w:p>
      <w:pPr>
        <w:pStyle w:val="Literaturverzeichnis"/>
      </w:pPr>
      <w:r>
        <w:t xml:space="preserve">Shaw, K. (2005). An engagement strategy process for communicators.</w:t>
      </w:r>
      <w:r>
        <w:t xml:space="preserve"> </w:t>
      </w:r>
      <w:r>
        <w:rPr>
          <w:iCs/>
          <w:i/>
        </w:rPr>
        <w:t xml:space="preserve">Strategic Communication Management</w:t>
      </w:r>
      <w:r>
        <w:t xml:space="preserve">,</w:t>
      </w:r>
      <w:r>
        <w:t xml:space="preserve"> </w:t>
      </w:r>
      <w:r>
        <w:rPr>
          <w:iCs/>
          <w:i/>
        </w:rPr>
        <w:t xml:space="preserve">9</w:t>
      </w:r>
      <w:r>
        <w:t xml:space="preserve">(3), 26.</w:t>
      </w:r>
    </w:p>
    <w:bookmarkEnd w:id="68"/>
    <w:bookmarkStart w:id="70" w:name="ref-R-apaTables"/>
    <w:p>
      <w:pPr>
        <w:pStyle w:val="Literaturverzeichnis"/>
      </w:pPr>
      <w:r>
        <w:t xml:space="preserve">Stanley, D. (2021).</w:t>
      </w:r>
      <w:r>
        <w:t xml:space="preserve"> </w:t>
      </w:r>
      <w:r>
        <w:rPr>
          <w:iCs/>
          <w:i/>
        </w:rPr>
        <w:t xml:space="preserve">apaTables: Create american psychological association (APA) style tables</w:t>
      </w:r>
      <w:r>
        <w:t xml:space="preserve">.</w:t>
      </w:r>
      <w:r>
        <w:t xml:space="preserve"> </w:t>
      </w:r>
      <w:hyperlink r:id="rId69">
        <w:r>
          <w:rPr>
            <w:rStyle w:val="Hyperlink"/>
          </w:rPr>
          <w:t xml:space="preserve">https://CRAN.R-project.org/package=apaTables</w:t>
        </w:r>
      </w:hyperlink>
    </w:p>
    <w:bookmarkEnd w:id="70"/>
    <w:bookmarkStart w:id="72"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71">
        <w:r>
          <w:rPr>
            <w:rStyle w:val="Hyperlink"/>
          </w:rPr>
          <w:t xml:space="preserve">https://ggplot2.tidyverse.org</w:t>
        </w:r>
      </w:hyperlink>
    </w:p>
    <w:bookmarkEnd w:id="72"/>
    <w:bookmarkStart w:id="74"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73">
        <w:r>
          <w:rPr>
            <w:rStyle w:val="Hyperlink"/>
          </w:rPr>
          <w:t xml:space="preserve">https://CRAN.R-project.org/package=stringr</w:t>
        </w:r>
      </w:hyperlink>
    </w:p>
    <w:bookmarkEnd w:id="74"/>
    <w:bookmarkStart w:id="76" w:name="ref-R-forcats"/>
    <w:p>
      <w:pPr>
        <w:pStyle w:val="Literaturverzeichnis"/>
      </w:pPr>
      <w:r>
        <w:t xml:space="preserve">Wickham, H. (2021a).</w:t>
      </w:r>
      <w:r>
        <w:t xml:space="preserve"> </w:t>
      </w:r>
      <w:r>
        <w:rPr>
          <w:iCs/>
          <w:i/>
        </w:rPr>
        <w:t xml:space="preserve">Forcats: Tools for working with categorical variables (factors)</w:t>
      </w:r>
      <w:r>
        <w:t xml:space="preserve">.</w:t>
      </w:r>
      <w:r>
        <w:t xml:space="preserve"> </w:t>
      </w:r>
      <w:hyperlink r:id="rId75">
        <w:r>
          <w:rPr>
            <w:rStyle w:val="Hyperlink"/>
          </w:rPr>
          <w:t xml:space="preserve">https://CRAN.R-project.org/package=forcats</w:t>
        </w:r>
      </w:hyperlink>
    </w:p>
    <w:bookmarkEnd w:id="76"/>
    <w:bookmarkStart w:id="78" w:name="ref-R-tidyr"/>
    <w:p>
      <w:pPr>
        <w:pStyle w:val="Literaturverzeichnis"/>
      </w:pPr>
      <w:r>
        <w:t xml:space="preserve">Wickham, H. (2021b).</w:t>
      </w:r>
      <w:r>
        <w:t xml:space="preserve"> </w:t>
      </w:r>
      <w:r>
        <w:rPr>
          <w:iCs/>
          <w:i/>
        </w:rPr>
        <w:t xml:space="preserve">Tidyr: Tidy messy data</w:t>
      </w:r>
      <w:r>
        <w:t xml:space="preserve">.</w:t>
      </w:r>
      <w:r>
        <w:t xml:space="preserve"> </w:t>
      </w:r>
      <w:hyperlink r:id="rId77">
        <w:r>
          <w:rPr>
            <w:rStyle w:val="Hyperlink"/>
          </w:rPr>
          <w:t xml:space="preserve">https://CRAN.R-project.org/package=tidyr</w:t>
        </w:r>
      </w:hyperlink>
    </w:p>
    <w:bookmarkEnd w:id="78"/>
    <w:bookmarkStart w:id="80"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9">
        <w:r>
          <w:rPr>
            <w:rStyle w:val="Hyperlink"/>
          </w:rPr>
          <w:t xml:space="preserve">https://doi.org/10.21105/joss.01686</w:t>
        </w:r>
      </w:hyperlink>
    </w:p>
    <w:bookmarkEnd w:id="80"/>
    <w:bookmarkStart w:id="82" w:name="ref-R-dplyr"/>
    <w:p>
      <w:pPr>
        <w:pStyle w:val="Literaturverzeichnis"/>
      </w:pPr>
      <w:r>
        <w:t xml:space="preserve">Wickham, H., François, R., Henry, L., &amp; Müller, K. (2021).</w:t>
      </w:r>
      <w:r>
        <w:t xml:space="preserve"> </w:t>
      </w:r>
      <w:r>
        <w:rPr>
          <w:iCs/>
          <w:i/>
        </w:rPr>
        <w:t xml:space="preserve">Dplyr: A grammar of data manipulation</w:t>
      </w:r>
      <w:r>
        <w:t xml:space="preserve">.</w:t>
      </w:r>
      <w:r>
        <w:t xml:space="preserve"> </w:t>
      </w:r>
      <w:hyperlink r:id="rId81">
        <w:r>
          <w:rPr>
            <w:rStyle w:val="Hyperlink"/>
          </w:rPr>
          <w:t xml:space="preserve">https://CRAN.R-project.org/package=dplyr</w:t>
        </w:r>
      </w:hyperlink>
    </w:p>
    <w:bookmarkEnd w:id="82"/>
    <w:bookmarkStart w:id="84" w:name="ref-R-readr"/>
    <w:p>
      <w:pPr>
        <w:pStyle w:val="Literaturverzeichnis"/>
      </w:pPr>
      <w:r>
        <w:t xml:space="preserve">Wickham, H., &amp; Hester, J. (2020).</w:t>
      </w:r>
      <w:r>
        <w:t xml:space="preserve"> </w:t>
      </w:r>
      <w:r>
        <w:rPr>
          <w:iCs/>
          <w:i/>
        </w:rPr>
        <w:t xml:space="preserve">Readr: Read rectangular text data</w:t>
      </w:r>
      <w:r>
        <w:t xml:space="preserve">.</w:t>
      </w:r>
      <w:r>
        <w:t xml:space="preserve"> </w:t>
      </w:r>
      <w:hyperlink r:id="rId83">
        <w:r>
          <w:rPr>
            <w:rStyle w:val="Hyperlink"/>
          </w:rPr>
          <w:t xml:space="preserve">https://CRAN.R-project.org/package=readr</w:t>
        </w:r>
      </w:hyperlink>
    </w:p>
    <w:bookmarkEnd w:id="84"/>
    <w:bookmarkStart w:id="86"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85">
        <w:r>
          <w:rPr>
            <w:rStyle w:val="Hyperlink"/>
          </w:rPr>
          <w:t xml:space="preserve">https://doi.org/10.3389/fpsyg.2019.02771</w:t>
        </w:r>
      </w:hyperlink>
    </w:p>
    <w:bookmarkEnd w:id="86"/>
    <w:bookmarkStart w:id="88" w:name="ref-R-DT"/>
    <w:p>
      <w:pPr>
        <w:pStyle w:val="Literaturverzeichnis"/>
      </w:pPr>
      <w:r>
        <w:t xml:space="preserve">Xie, Y., Cheng, J., &amp; Tan, X. (2021).</w:t>
      </w:r>
      <w:r>
        <w:t xml:space="preserve"> </w:t>
      </w:r>
      <w:r>
        <w:rPr>
          <w:iCs/>
          <w:i/>
        </w:rPr>
        <w:t xml:space="preserve">DT: A wrapper of the JavaScript library ’DataTables’</w:t>
      </w:r>
      <w:r>
        <w:t xml:space="preserve">.</w:t>
      </w:r>
      <w:r>
        <w:t xml:space="preserve"> </w:t>
      </w:r>
      <w:hyperlink r:id="rId87">
        <w:r>
          <w:rPr>
            <w:rStyle w:val="Hyperlink"/>
          </w:rPr>
          <w:t xml:space="preserve">https://CRAN.R-project.org/package=DT</w:t>
        </w:r>
      </w:hyperlink>
    </w:p>
    <w:bookmarkEnd w:id="88"/>
    <w:bookmarkStart w:id="90" w:name="ref-R-kableExtra"/>
    <w:p>
      <w:pPr>
        <w:pStyle w:val="Literaturverzeichnis"/>
      </w:pPr>
      <w:r>
        <w:t xml:space="preserve">Zhu, H. (2021).</w:t>
      </w:r>
      <w:r>
        <w:t xml:space="preserve"> </w:t>
      </w:r>
      <w:r>
        <w:rPr>
          <w:iCs/>
          <w:i/>
        </w:rPr>
        <w:t xml:space="preserve">kableExtra: Construct complex table with ’kable’ and pipe syntax</w:t>
      </w:r>
      <w:r>
        <w:t xml:space="preserve">.</w:t>
      </w:r>
      <w:r>
        <w:t xml:space="preserve"> </w:t>
      </w:r>
      <w:hyperlink r:id="rId89">
        <w:r>
          <w:rPr>
            <w:rStyle w:val="Hyperlink"/>
          </w:rPr>
          <w:t xml:space="preserve">https://CRAN.R-project.org/package=kableExtra</w:t>
        </w:r>
      </w:hyperlink>
    </w:p>
    <w:bookmarkEnd w:id="90"/>
    <w:bookmarkEnd w:id="91"/>
    <w:bookmarkEnd w:id="9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87" Target="https://CRAN.R-project.org/package=DT" TargetMode="External" /><Relationship Type="http://schemas.openxmlformats.org/officeDocument/2006/relationships/hyperlink" Id="rId69" Target="https://CRAN.R-project.org/package=apaTables" TargetMode="External" /><Relationship Type="http://schemas.openxmlformats.org/officeDocument/2006/relationships/hyperlink" Id="rId81" Target="https://CRAN.R-project.org/package=dplyr" TargetMode="External" /><Relationship Type="http://schemas.openxmlformats.org/officeDocument/2006/relationships/hyperlink" Id="rId75" Target="https://CRAN.R-project.org/package=forcats" TargetMode="External" /><Relationship Type="http://schemas.openxmlformats.org/officeDocument/2006/relationships/hyperlink" Id="rId89" Target="https://CRAN.R-project.org/package=kableExtra" TargetMode="External" /><Relationship Type="http://schemas.openxmlformats.org/officeDocument/2006/relationships/hyperlink" Id="rId54"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3" Target="https://CRAN.R-project.org/package=stringr" TargetMode="External" /><Relationship Type="http://schemas.openxmlformats.org/officeDocument/2006/relationships/hyperlink" Id="rId58"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2" Target="https://doi.org/10.1080/00273171.2012.715555" TargetMode="External" /><Relationship Type="http://schemas.openxmlformats.org/officeDocument/2006/relationships/hyperlink" Id="rId56" Target="https://doi.org/10.13075/ijomeh.1896.00947" TargetMode="External" /><Relationship Type="http://schemas.openxmlformats.org/officeDocument/2006/relationships/hyperlink" Id="rId79" Target="https://doi.org/10.21105/joss.01686" TargetMode="External" /><Relationship Type="http://schemas.openxmlformats.org/officeDocument/2006/relationships/hyperlink" Id="rId85" Target="https://doi.org/10.3389/fpsyg.2019.02771" TargetMode="External" /><Relationship Type="http://schemas.openxmlformats.org/officeDocument/2006/relationships/hyperlink" Id="rId71"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87" Target="https://CRAN.R-project.org/package=DT" TargetMode="External" /><Relationship Type="http://schemas.openxmlformats.org/officeDocument/2006/relationships/hyperlink" Id="rId69" Target="https://CRAN.R-project.org/package=apaTables" TargetMode="External" /><Relationship Type="http://schemas.openxmlformats.org/officeDocument/2006/relationships/hyperlink" Id="rId81" Target="https://CRAN.R-project.org/package=dplyr" TargetMode="External" /><Relationship Type="http://schemas.openxmlformats.org/officeDocument/2006/relationships/hyperlink" Id="rId75" Target="https://CRAN.R-project.org/package=forcats" TargetMode="External" /><Relationship Type="http://schemas.openxmlformats.org/officeDocument/2006/relationships/hyperlink" Id="rId89" Target="https://CRAN.R-project.org/package=kableExtra" TargetMode="External" /><Relationship Type="http://schemas.openxmlformats.org/officeDocument/2006/relationships/hyperlink" Id="rId54"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3" Target="https://CRAN.R-project.org/package=stringr" TargetMode="External" /><Relationship Type="http://schemas.openxmlformats.org/officeDocument/2006/relationships/hyperlink" Id="rId58" Target="https://CRAN.R-project.org/package=tibble" TargetMode="External" /><Relationship Type="http://schemas.openxmlformats.org/officeDocument/2006/relationships/hyperlink" Id="rId77"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2" Target="https://doi.org/10.1080/00273171.2012.715555" TargetMode="External" /><Relationship Type="http://schemas.openxmlformats.org/officeDocument/2006/relationships/hyperlink" Id="rId56" Target="https://doi.org/10.13075/ijomeh.1896.00947" TargetMode="External" /><Relationship Type="http://schemas.openxmlformats.org/officeDocument/2006/relationships/hyperlink" Id="rId79" Target="https://doi.org/10.21105/joss.01686" TargetMode="External" /><Relationship Type="http://schemas.openxmlformats.org/officeDocument/2006/relationships/hyperlink" Id="rId85" Target="https://doi.org/10.3389/fpsyg.2019.02771" TargetMode="External" /><Relationship Type="http://schemas.openxmlformats.org/officeDocument/2006/relationships/hyperlink" Id="rId71"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0"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2021-10-11T02:01:04Z</dcterms:created>
  <dcterms:modified xsi:type="dcterms:W3CDTF">2021-10-11T02:01:04Z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