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bookmarkStart w:id="21" w:name="introduction"/>
    <w:p>
      <w:pPr>
        <w:pStyle w:val="berschrift1"/>
      </w:pPr>
      <w:r>
        <w:rPr>
          <w:rStyle w:val="SectionNumber"/>
        </w:rPr>
        <w:t xml:space="preserve">1</w:t>
      </w:r>
      <w:r>
        <w:tab/>
      </w:r>
      <w:r>
        <w:t xml:space="preserve">Introduction</w:t>
      </w:r>
    </w:p>
    <w:p>
      <w:pPr>
        <w:pStyle w:val="FirstParagraph"/>
      </w:pPr>
      <w:r>
        <w:t xml:space="preserve">The term engagement within the context of work emerged in organizational psychology and business literature in the early 90’s (Khan, 1990). Today, there are four main lines of research focused on engagement: personal engagement, burnout/engagement, work engagement, and employee engagement. These four constructs are defined and measured differently across the literature, making it hard to determine what exactly is being measured when organizations survey their employees to assess</w:t>
      </w:r>
      <w:r>
        <w:t xml:space="preserve"> </w:t>
      </w:r>
      <w:r>
        <w:t xml:space="preserve">“</w:t>
      </w:r>
      <w:r>
        <w:t xml:space="preserve">engagement.</w:t>
      </w:r>
      <w:r>
        <w:t xml:space="preserve">”</w:t>
      </w:r>
      <w:r>
        <w:t xml:space="preserve"> </w:t>
      </w:r>
      <w:r>
        <w:t xml:space="preserve">Work engagement has been defined as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(Schaufeli et al., 2002). Individuals who are engaged in their work are known to have high levels of energy, enthusiasm, and are completely immersed in their work tasks (Bakker et al., 2018). Based on the Schaufeli et al. (2002) definition of engagement we conceptualize engagement as a mental state wherein employees feel energized, are enthusiastic about the content of their work and the things they do, and are so immersed in their work activities that time seems compressed.</w:t>
      </w:r>
    </w:p>
    <w:p>
      <w:pPr>
        <w:pStyle w:val="Textkrper"/>
      </w:pPr>
      <w:r>
        <w:t xml:space="preserve">here is a large body of evidence supporting the relationships between work engagement and organizational outcomes, including those which are performance based (Simpson, 2008). Which is why despite the lack of clarity around the construct, work engagement has emerged as an important component of an organization’s overall health and strategy.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End w:id="21"/>
    <w:bookmarkStart w:id="22" w:name="models"/>
    <w:p>
      <w:pPr>
        <w:pStyle w:val="berschrift1"/>
      </w:pPr>
      <w:r>
        <w:rPr>
          <w:rStyle w:val="SectionNumber"/>
        </w:rPr>
        <w:t xml:space="preserve">2</w:t>
      </w:r>
      <w:r>
        <w:tab/>
      </w:r>
      <w:r>
        <w:t xml:space="preserve">Models</w:t>
      </w:r>
    </w:p>
    <w:p>
      <w:pPr>
        <w:pStyle w:val="FirstParagraph"/>
      </w:pPr>
      <w:r>
        <w:t xml:space="preserve">Like many other constructs within the psychology literature, knowledge on work engagement has been built based on its measurement and linkage to other work outcomes. There are currently many work engagement scales used for either academic or applied purposes (sometimes both), which provide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 (Willmer et al., 2019). One of the main arguments being that the three subscales; vigor, dedication and absorption are closely correlated with each other, making it hard to argue that the three-factor structure is better than the single factor structure to measure work engagement (Kulikowski, 2017).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r>
        <w:t xml:space="preserve"> </w:t>
      </w: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 The tripartite model of attitude emerged from the Yale Communication and Attitude program in the 1950’s. It is a latent variable model based on the assumption that the latent variable elicits three types of responses or manifestations: a persons</w:t>
      </w:r>
      <w:r>
        <w:t xml:space="preserve">’</w:t>
      </w:r>
      <w:r>
        <w:t xml:space="preserve"> </w:t>
      </w:r>
      <w:r>
        <w:t xml:space="preserve">cognitive, affective, and behavioral responses to a specific attitude (Kaiser &amp; Wilson, 2019). Even though it is not specifically a work engagement model, the tripartite model has helped researchers define and deconstruct attitudes to gain a better understanding of individuals’ responses towards specific attitude objects (Kaiser &amp; Wilson, 2019).</w:t>
      </w:r>
    </w:p>
    <w:bookmarkEnd w:id="22"/>
    <w:bookmarkStart w:id="23" w:name="bifactor-structures"/>
    <w:p>
      <w:pPr>
        <w:pStyle w:val="berschrift1"/>
      </w:pPr>
      <w:r>
        <w:rPr>
          <w:rStyle w:val="SectionNumber"/>
        </w:rPr>
        <w:t xml:space="preserve">3</w:t>
      </w:r>
      <w:r>
        <w:tab/>
      </w:r>
      <w:r>
        <w:t xml:space="preserve">Bifactor structures</w:t>
      </w:r>
    </w:p>
    <w:p>
      <w:pPr>
        <w:pStyle w:val="FirstParagraph"/>
      </w:pPr>
      <w:r>
        <w:t xml:space="preserve">Bifactor analysis is part of the exploratory factor analytic domain, and is used to account for variance in observed variables from the effects of latent or general factors (Giordano et al., 2020).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 (Reise, 2012). Additionally, these models can be classified as constrained hierarchical bifactor models and unconstrained non-hierarchical bifactor models (Giordano &amp; Waller, 2020; Giordano et al., 2020). For the purposes of this project, an unconstrained non-hierarchical model is used to determine which group factors represent substantive and attitudinal constructs. The resulting general factors in the non-hierarchical model have a direct (i.e., non-mediated) effect on each variable observed. In this case, each general factor from both substantive and attitudinal models have non-mediated but overlapping effects on each variable.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bookmarkEnd w:id="23"/>
    <w:bookmarkStart w:id="33" w:name="methods"/>
    <w:p>
      <w:pPr>
        <w:pStyle w:val="berschrift1"/>
      </w:pPr>
      <w:r>
        <w:rPr>
          <w:rStyle w:val="SectionNumber"/>
        </w:rPr>
        <w:t xml:space="preserve">4</w:t>
      </w:r>
      <w:r>
        <w:tab/>
      </w:r>
      <w:r>
        <w:t xml:space="preserve">Methods</w:t>
      </w:r>
    </w:p>
    <w:p>
      <w:pPr>
        <w:pStyle w:val="FirstParagraph"/>
      </w:pPr>
      <w:r>
        <w:t xml:space="preserve">Choice of focus on BIC versus AIC discussed in</w:t>
      </w:r>
      <w:r>
        <w:t xml:space="preserve"> </w:t>
      </w:r>
      <w:r>
        <w:t xml:space="preserve">Dziak et al. (2020)</w:t>
      </w:r>
      <w:r>
        <w:t xml:space="preserve">.</w:t>
      </w:r>
    </w:p>
    <w:bookmarkStart w:id="26" w:name="participants"/>
    <w:p>
      <w:pPr>
        <w:pStyle w:val="berschrift2"/>
      </w:pPr>
      <w:r>
        <w:rPr>
          <w:rStyle w:val="SectionNumber"/>
        </w:rPr>
        <w:t xml:space="preserve">4.1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w:t>
      </w:r>
    </w:p>
    <w:p>
      <w:pPr>
        <w:pStyle w:val="Textkrper"/>
      </w:pPr>
      <w:r>
        <w:t xml:space="preserve">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Professional category</w:t>
            </w:r>
          </w:p>
        </w:tc>
        <w:tc>
          <w:tcPr>
            <w:tcBorders>
              <w:bottom w:val="single"/>
            </w:tcBorders>
            <w:vAlign w:val="bottom"/>
          </w:tcPr>
          <w:p>
            <w:pPr>
              <w:pStyle w:val="Compact"/>
              <w:jc w:val="right"/>
            </w:pPr>
            <w:r>
              <w:t xml:space="preserve">Count</w:t>
            </w:r>
          </w:p>
        </w:tc>
      </w:tr>
      <w:tr>
        <w:tc>
          <w:p>
            <w:pPr>
              <w:pStyle w:val="Compact"/>
              <w:jc w:val="left"/>
            </w:pPr>
            <w:r>
              <w:t xml:space="preserve">Clerical Support Workers</w:t>
            </w:r>
          </w:p>
        </w:tc>
        <w:tc>
          <w:p>
            <w:pPr>
              <w:pStyle w:val="Compact"/>
              <w:jc w:val="right"/>
            </w:pPr>
            <w:r>
              <w:t xml:space="preserve">4</w:t>
            </w:r>
          </w:p>
        </w:tc>
      </w:tr>
      <w:tr>
        <w:tc>
          <w:p>
            <w:pPr>
              <w:pStyle w:val="Compact"/>
              <w:jc w:val="left"/>
            </w:pPr>
            <w:r>
              <w:t xml:space="preserve">Craft and related trades workers</w:t>
            </w:r>
          </w:p>
        </w:tc>
        <w:tc>
          <w:p>
            <w:pPr>
              <w:pStyle w:val="Compact"/>
              <w:jc w:val="right"/>
            </w:pPr>
            <w:r>
              <w:t xml:space="preserve">1</w:t>
            </w:r>
          </w:p>
        </w:tc>
      </w:tr>
      <w:tr>
        <w:tc>
          <w:p>
            <w:pPr>
              <w:pStyle w:val="Compact"/>
              <w:jc w:val="left"/>
            </w:pPr>
            <w:r>
              <w:t xml:space="preserve">Managers</w:t>
            </w:r>
          </w:p>
        </w:tc>
        <w:tc>
          <w:p>
            <w:pPr>
              <w:pStyle w:val="Compact"/>
              <w:jc w:val="right"/>
            </w:pPr>
            <w:r>
              <w:t xml:space="preserve">51</w:t>
            </w:r>
          </w:p>
        </w:tc>
      </w:tr>
      <w:tr>
        <w:tc>
          <w:p>
            <w:pPr>
              <w:pStyle w:val="Compact"/>
              <w:jc w:val="left"/>
            </w:pPr>
            <w:r>
              <w:t xml:space="preserve">Plant and machine operators, and assemblers</w:t>
            </w:r>
          </w:p>
        </w:tc>
        <w:tc>
          <w:p>
            <w:pPr>
              <w:pStyle w:val="Compact"/>
              <w:jc w:val="right"/>
            </w:pPr>
            <w:r>
              <w:t xml:space="preserve">3</w:t>
            </w:r>
          </w:p>
        </w:tc>
      </w:tr>
      <w:tr>
        <w:tc>
          <w:p>
            <w:pPr>
              <w:pStyle w:val="Compact"/>
              <w:jc w:val="left"/>
            </w:pPr>
            <w:r>
              <w:t xml:space="preserve">Professionals</w:t>
            </w:r>
          </w:p>
        </w:tc>
        <w:tc>
          <w:p>
            <w:pPr>
              <w:pStyle w:val="Compact"/>
              <w:jc w:val="right"/>
            </w:pPr>
            <w:r>
              <w:t xml:space="preserve">120</w:t>
            </w:r>
          </w:p>
        </w:tc>
      </w:tr>
      <w:tr>
        <w:tc>
          <w:p>
            <w:pPr>
              <w:pStyle w:val="Compact"/>
              <w:jc w:val="left"/>
            </w:pPr>
            <w:r>
              <w:t xml:space="preserve">Service and sales workers</w:t>
            </w:r>
          </w:p>
        </w:tc>
        <w:tc>
          <w:p>
            <w:pPr>
              <w:pStyle w:val="Compact"/>
              <w:jc w:val="right"/>
            </w:pPr>
            <w:r>
              <w:t xml:space="preserve">8</w:t>
            </w:r>
          </w:p>
        </w:tc>
      </w:tr>
      <w:tr>
        <w:tc>
          <w:p>
            <w:pPr>
              <w:pStyle w:val="Compact"/>
              <w:jc w:val="left"/>
            </w:pPr>
            <w:r>
              <w:t xml:space="preserve">Technicians and associate professionals</w:t>
            </w:r>
          </w:p>
        </w:tc>
        <w:tc>
          <w:p>
            <w:pPr>
              <w:pStyle w:val="Compact"/>
              <w:jc w:val="right"/>
            </w:pPr>
            <w:r>
              <w:t xml:space="preserve">62</w:t>
            </w:r>
          </w:p>
        </w:tc>
      </w:tr>
    </w:tbl>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See</w:t>
      </w:r>
      <w:r>
        <w:t xml:space="preserve"> </w:t>
      </w:r>
      <w:r>
        <w:t xml:space="preserve">??</w:t>
      </w:r>
      <w:r>
        <w:t xml:space="preserve">.</w:t>
      </w:r>
    </w:p>
    <w:bookmarkStart w:id="24" w:name="item-generation"/>
    <w:p>
      <w:pPr>
        <w:pStyle w:val="berschrift3"/>
      </w:pPr>
      <w:r>
        <w:rPr>
          <w:rStyle w:val="SectionNumber"/>
        </w:rPr>
        <w:t xml:space="preserve">4.1.1</w:t>
      </w:r>
      <w:r>
        <w:tab/>
      </w:r>
      <w:r>
        <w:t xml:space="preserve">Item generation.</w:t>
      </w:r>
    </w:p>
    <w:p>
      <w:pPr>
        <w:pStyle w:val="FirstParagraph"/>
      </w:pPr>
      <w:r>
        <w:t xml:space="preserve">We generated a set of 50 items for our engagement measure, with the ultimate goal of reducing them to a final set of 18. These items were generated according to a review of extant tripartite engagement measures, as well as</w:t>
      </w:r>
      <w:r>
        <w:t xml:space="preserve"> </w:t>
      </w:r>
      <w:r>
        <w:rPr>
          <w:i/>
        </w:rPr>
        <w:t xml:space="preserve">WHAT RESEARCH DID WE USE FOR ATTITUDINAL WORDING? WAS IT LITERALLY JUST</w:t>
      </w:r>
      <w:r>
        <w:rPr>
          <w:i/>
        </w:rPr>
        <w:t xml:space="preserve"> </w:t>
      </w:r>
      <w:r>
        <w:rPr>
          <w:i/>
        </w:rPr>
        <w:t xml:space="preserve">“</w:t>
      </w:r>
      <w:r>
        <w:rPr>
          <w:i/>
        </w:rPr>
        <w:t xml:space="preserve">I THINK,</w:t>
      </w:r>
      <w:r>
        <w:rPr>
          <w:i/>
        </w:rPr>
        <w:t xml:space="preserve">”</w:t>
      </w:r>
      <w:r>
        <w:rPr>
          <w:i/>
        </w:rPr>
        <w:t xml:space="preserve"> </w:t>
      </w:r>
      <w:r>
        <w:rPr>
          <w:i/>
        </w:rPr>
        <w:t xml:space="preserve">“</w:t>
      </w:r>
      <w:r>
        <w:rPr>
          <w:i/>
        </w:rPr>
        <w:t xml:space="preserve">I FEEL,</w:t>
      </w:r>
      <w:r>
        <w:rPr>
          <w:i/>
        </w:rPr>
        <w:t xml:space="preserve">”</w:t>
      </w:r>
      <w:r>
        <w:rPr>
          <w:i/>
        </w:rPr>
        <w:t xml:space="preserve"> </w:t>
      </w:r>
      <w:r>
        <w:rPr>
          <w:i/>
        </w:rPr>
        <w:t xml:space="preserve">“</w:t>
      </w:r>
      <w:r>
        <w:rPr>
          <w:i/>
        </w:rPr>
        <w:t xml:space="preserve">I DO?</w:t>
      </w:r>
      <w:r>
        <w:rPr>
          <w:i/>
        </w:rPr>
        <w:t xml:space="preserve">”</w:t>
      </w:r>
      <w:r>
        <w:t xml:space="preserve"> </w:t>
      </w:r>
      <w:r>
        <w:t xml:space="preserve">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p>
    <w:p>
      <w:pPr>
        <w:pStyle w:val="Textkrper"/>
      </w:pPr>
      <w:r>
        <w:t xml:space="preserve">Our 3x3 bifactor model produced nine pairs of dimensions (e.g., Vigor-Cognitive, Vigor-Affective, Vigor-Behavioral, etc.). With 36 initial items, this left four items per pair of substantive and attitudinal dimensions.</w:t>
      </w:r>
    </w:p>
    <w:bookmarkEnd w:id="24"/>
    <w:bookmarkStart w:id="25" w:name="X63f3b6ad8af3a322c625b6badad218eb1dd92f9"/>
    <w:p>
      <w:pPr>
        <w:pStyle w:val="berschrift3"/>
      </w:pPr>
      <w:r>
        <w:rPr>
          <w:rStyle w:val="SectionNumber"/>
        </w:rPr>
        <w:t xml:space="preserve">4.1.2</w:t>
      </w:r>
      <w:r>
        <w:tab/>
      </w:r>
      <w:r>
        <w:t xml:space="preserve">Content validation and initial item reduction.</w:t>
      </w:r>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by at least five of seven raters were excluded from further analysis. Students were not aware of the intended dimensions of each item and were presented with the following definitions for sorting:</w:t>
      </w:r>
    </w:p>
    <w:p>
      <w:pPr>
        <w:pStyle w:val="Textkrper"/>
      </w:pPr>
      <w:r>
        <w:t xml:space="preserve">Students were given the following definitions for item sorting. Absorption: Being fully immersed in one’s work, where time passes quickly and one has difficulty detaching from work tasks. Vigor: Experiencing persistent levels of energy, effort, and enthusiasm while working. Dedication: Experiencing pride and challenge in ones work, as well as strong feelings of support from and loyalty toward the organization. Attitudinal: Pertaining to thoughts or general mental processes (for example what someone thinks). Affective: Pertaining to feelings or emotions (for example, how someone feels). Behavioral: Pertaining to acts or actions (for example, what someone does)</w:t>
      </w:r>
    </w:p>
    <w:p>
      <w:pPr>
        <w:pStyle w:val="Blocktext"/>
      </w:pPr>
      <w:r>
        <w:t xml:space="preserve">See table</w:t>
      </w:r>
      <w:r>
        <w:t xml:space="preserve"> </w:t>
      </w:r>
      <w:r>
        <w:rPr>
          <w:i/>
        </w:rPr>
        <w:t xml:space="preserve">X</w:t>
      </w:r>
      <w:r>
        <w:t xml:space="preserve"> </w:t>
      </w:r>
      <w:r>
        <w:t xml:space="preserve">for a full list of items and their respective dimensions.</w:t>
      </w:r>
    </w:p>
    <w:p>
      <w:pPr>
        <w:pStyle w:val="FirstParagraph"/>
      </w:pPr>
      <w:r>
        <w:t xml:space="preserve">Following item sorting, we further reviewed the wording of each item and eliminated all that, upon review, fell outside of the content domain (e.g. </w:t>
      </w:r>
      <w:r>
        <w:t xml:space="preserve">“</w:t>
      </w:r>
      <w:r>
        <w:t xml:space="preserve">I would rather work here than elsewhere</w:t>
      </w:r>
      <w:r>
        <w:t xml:space="preserve">”</w:t>
      </w:r>
      <w:r>
        <w:t xml:space="preserve">), eventually arriving at 36 candidate items.</w:t>
      </w:r>
    </w:p>
    <w:bookmarkEnd w:id="25"/>
    <w:bookmarkEnd w:id="26"/>
    <w:bookmarkStart w:id="31" w:name="procedure"/>
    <w:p>
      <w:pPr>
        <w:pStyle w:val="berschrift2"/>
      </w:pPr>
      <w:r>
        <w:rPr>
          <w:rStyle w:val="SectionNumber"/>
        </w:rPr>
        <w:t xml:space="preserve">4.2</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7" w:name="corrected-item-total-correlations"/>
    <w:p>
      <w:pPr>
        <w:pStyle w:val="berschrift3"/>
      </w:pPr>
      <w:r>
        <w:rPr>
          <w:rStyle w:val="SectionNumber"/>
        </w:rPr>
        <w:t xml:space="preserve">4.2.1</w:t>
      </w:r>
      <w:r>
        <w:tab/>
      </w:r>
      <w:r>
        <w:t xml:space="preserve">Corrected item-total correlations.</w:t>
      </w:r>
    </w:p>
    <w:p>
      <w:pPr>
        <w:pStyle w:val="Blocktext"/>
      </w:pPr>
      <w:r>
        <w:t xml:space="preserve">To Casey: document your process here</w:t>
      </w:r>
    </w:p>
    <w:p>
      <w:pPr>
        <w:pStyle w:val="FirstParagraph"/>
      </w:pPr>
      <w:r>
        <w:t xml:space="preserve">We conducted a correct item-total correlation on our original 36-items set. Base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7"/>
    <w:bookmarkStart w:id="29" w:name="cfa-modification-indices"/>
    <w:p>
      <w:pPr>
        <w:pStyle w:val="berschrift3"/>
      </w:pPr>
      <w:r>
        <w:rPr>
          <w:rStyle w:val="SectionNumber"/>
        </w:rPr>
        <w:t xml:space="preserve">4.2.2</w:t>
      </w:r>
      <w:r>
        <w:tab/>
      </w:r>
      <w:r>
        <w:t xml:space="preserve">CFA Modification Indices.</w:t>
      </w:r>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8"/>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Blocktext"/>
      </w:pPr>
      <w:r>
        <w:t xml:space="preserve">Actually it doesn’t matter that much with only 1 item deletion - probably go ahead and do a few before recheck modification indices</w:t>
      </w:r>
    </w:p>
    <w:bookmarkEnd w:id="29"/>
    <w:bookmarkStart w:id="30" w:name="single-factor-versus-bifactor-approaches"/>
    <w:p>
      <w:pPr>
        <w:pStyle w:val="berschrift3"/>
      </w:pPr>
      <w:r>
        <w:rPr>
          <w:rStyle w:val="SectionNumber"/>
        </w:rPr>
        <w:t xml:space="preserve">4.2.3</w:t>
      </w:r>
      <w:r>
        <w:tab/>
      </w:r>
      <w:r>
        <w:t xml:space="preserve">Single factor versus bifactor approaches.</w:t>
      </w:r>
    </w:p>
    <w:p>
      <w:pPr>
        <w:pStyle w:val="Blocktext"/>
      </w:pPr>
      <w:r>
        <w:t xml:space="preserve">Casey this is where you come in</w:t>
      </w:r>
    </w:p>
    <w:bookmarkEnd w:id="30"/>
    <w:bookmarkEnd w:id="31"/>
    <w:bookmarkStart w:id="32" w:name="data-analysis"/>
    <w:p>
      <w:pPr>
        <w:pStyle w:val="berschrift2"/>
      </w:pPr>
      <w:r>
        <w:rPr>
          <w:rStyle w:val="SectionNumber"/>
        </w:rPr>
        <w:t xml:space="preserve">4.3</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our analyses.</w:t>
      </w:r>
    </w:p>
    <w:bookmarkEnd w:id="32"/>
    <w:bookmarkEnd w:id="33"/>
    <w:bookmarkStart w:id="38" w:name="results"/>
    <w:p>
      <w:pPr>
        <w:pStyle w:val="berschrift1"/>
      </w:pPr>
      <w:r>
        <w:rPr>
          <w:rStyle w:val="SectionNumber"/>
        </w:rPr>
        <w:t xml:space="preserve">5</w:t>
      </w:r>
      <w:r>
        <w:tab/>
      </w:r>
      <w:r>
        <w:t xml:space="preserve">Results</w:t>
      </w:r>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Start w:id="37" w:name="study-2"/>
    <w:p>
      <w:pPr>
        <w:pStyle w:val="berschrift2"/>
      </w:pPr>
      <w:r>
        <w:rPr>
          <w:rStyle w:val="SectionNumber"/>
        </w:rPr>
        <w:t xml:space="preserve">5.1</w:t>
      </w:r>
      <w:r>
        <w:tab/>
      </w:r>
      <w:r>
        <w:t xml:space="preserve">Study 2</w:t>
      </w:r>
    </w:p>
    <w:p>
      <w:pPr>
        <w:pStyle w:val="FirstParagraph"/>
      </w:pPr>
      <w:r>
        <w:t xml:space="preserve">Construct validation was acccomplished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7"/>
    <w:bookmarkEnd w:id="38"/>
    <w:bookmarkStart w:id="39" w:name="discussion"/>
    <w:p>
      <w:pPr>
        <w:pStyle w:val="berschrift1"/>
      </w:pPr>
      <w:r>
        <w:rPr>
          <w:rStyle w:val="SectionNumber"/>
        </w:rPr>
        <w:t xml:space="preserve">6</w:t>
      </w:r>
      <w:r>
        <w:tab/>
      </w:r>
      <w:r>
        <w:t xml:space="preserve">Discussion</w:t>
      </w:r>
    </w:p>
    <w:p>
      <w:pPr>
        <w:pStyle w:val="FirstParagraph"/>
      </w:pPr>
      <w:r>
        <w:t xml:space="preserve">The purpose of this study was to present two divergent approaches for constructing scales that simultaneously probe the substantive and attitudinal factor structures of employee engagement. Toward this end, we propose two similar scale definitions</w:t>
      </w:r>
    </w:p>
    <w:p>
      <w:pPr>
        <w:pStyle w:val="Textkrper"/>
      </w:pPr>
      <w:r>
        <w:t xml:space="preserve">Our next endeavor will be to establish convergent and discriminant validity of the scales.</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r>
        <w:t xml:space="preserve"> </w:t>
      </w:r>
      <w:r>
        <w:t xml:space="preserve">Secondly, we more generally advance the use of bifactor analysis as an alternative approach to testing and comparing structural models of constructs. Rather than</w:t>
      </w:r>
      <w:r>
        <w:t xml:space="preserve"> </w:t>
      </w: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39"/>
    <w:bookmarkStart w:id="87" w:name="references"/>
    <w:p>
      <w:pPr>
        <w:pStyle w:val="berschrift1"/>
      </w:pPr>
      <w:r>
        <w:rPr>
          <w:rStyle w:val="SectionNumber"/>
        </w:rPr>
        <w:t xml:space="preserve">7</w:t>
      </w:r>
      <w:r>
        <w:tab/>
      </w:r>
      <w:r>
        <w:t xml:space="preserve">References</w:t>
      </w:r>
    </w:p>
    <w:bookmarkStart w:id="86" w:name="refs"/>
    <w:bookmarkStart w:id="41"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0">
        <w:r>
          <w:rPr>
            <w:rStyle w:val="Hyperlink"/>
          </w:rPr>
          <w:t xml:space="preserve">https://github.com/crsh/papaja</w:t>
        </w:r>
      </w:hyperlink>
    </w:p>
    <w:bookmarkEnd w:id="41"/>
    <w:bookmarkStart w:id="43"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2">
        <w:r>
          <w:rPr>
            <w:rStyle w:val="Hyperlink"/>
          </w:rPr>
          <w:t xml:space="preserve">https://CRAN.R-project.org/package=magrittr</w:t>
        </w:r>
      </w:hyperlink>
    </w:p>
    <w:bookmarkEnd w:id="43"/>
    <w:bookmarkStart w:id="44"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4"/>
    <w:bookmarkStart w:id="45"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5"/>
    <w:bookmarkStart w:id="47"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6">
        <w:r>
          <w:rPr>
            <w:rStyle w:val="Hyperlink"/>
          </w:rPr>
          <w:t xml:space="preserve">https://CRAN.R-project.org/package=semPlot</w:t>
        </w:r>
      </w:hyperlink>
    </w:p>
    <w:bookmarkEnd w:id="47"/>
    <w:bookmarkStart w:id="49"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8">
        <w:r>
          <w:rPr>
            <w:rStyle w:val="Hyperlink"/>
          </w:rPr>
          <w:t xml:space="preserve">https://CRAN.R-project.org/package=sem</w:t>
        </w:r>
      </w:hyperlink>
    </w:p>
    <w:bookmarkEnd w:id="49"/>
    <w:bookmarkStart w:id="51"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0">
        <w:r>
          <w:rPr>
            <w:rStyle w:val="Hyperlink"/>
          </w:rPr>
          <w:t xml:space="preserve">https://CRAN.R-project.org/package=purrr</w:t>
        </w:r>
      </w:hyperlink>
    </w:p>
    <w:bookmarkEnd w:id="51"/>
    <w:bookmarkStart w:id="52"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52"/>
    <w:bookmarkStart w:id="53"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3"/>
    <w:bookmarkStart w:id="55"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54">
        <w:r>
          <w:rPr>
            <w:rStyle w:val="Hyperlink"/>
          </w:rPr>
          <w:t xml:space="preserve">https://CRAN.R-project.org/package=labourR</w:t>
        </w:r>
      </w:hyperlink>
    </w:p>
    <w:bookmarkEnd w:id="55"/>
    <w:bookmarkStart w:id="56" w:name="ref-kulikowski2017we"/>
    <w:p>
      <w:pPr>
        <w:pStyle w:val="Literaturverzeichnis"/>
      </w:pPr>
      <w:r>
        <w:t xml:space="preserve">Kulikowski, K. (2017).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56"/>
    <w:bookmarkStart w:id="58"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57">
        <w:r>
          <w:rPr>
            <w:rStyle w:val="Hyperlink"/>
          </w:rPr>
          <w:t xml:space="preserve">https://CRAN.R-project.org/package=tibble</w:t>
        </w:r>
      </w:hyperlink>
    </w:p>
    <w:bookmarkEnd w:id="58"/>
    <w:bookmarkStart w:id="60"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59">
        <w:r>
          <w:rPr>
            <w:rStyle w:val="Hyperlink"/>
          </w:rPr>
          <w:t xml:space="preserve">https://www.R-project.org/</w:t>
        </w:r>
      </w:hyperlink>
    </w:p>
    <w:bookmarkEnd w:id="60"/>
    <w:bookmarkStart w:id="61"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61"/>
    <w:bookmarkStart w:id="63"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62">
        <w:r>
          <w:rPr>
            <w:rStyle w:val="Hyperlink"/>
          </w:rPr>
          <w:t xml:space="preserve">https://www.jstatsoft.org/v48/i02/</w:t>
        </w:r>
      </w:hyperlink>
    </w:p>
    <w:bookmarkEnd w:id="63"/>
    <w:bookmarkStart w:id="64"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64"/>
    <w:bookmarkStart w:id="65"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65"/>
    <w:bookmarkStart w:id="67"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66">
        <w:r>
          <w:rPr>
            <w:rStyle w:val="Hyperlink"/>
          </w:rPr>
          <w:t xml:space="preserve">https://CRAN.R-project.org/package=apaTables</w:t>
        </w:r>
      </w:hyperlink>
    </w:p>
    <w:bookmarkEnd w:id="67"/>
    <w:bookmarkStart w:id="69"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68">
        <w:r>
          <w:rPr>
            <w:rStyle w:val="Hyperlink"/>
          </w:rPr>
          <w:t xml:space="preserve">https://ggplot2.tidyverse.org</w:t>
        </w:r>
      </w:hyperlink>
    </w:p>
    <w:bookmarkEnd w:id="69"/>
    <w:bookmarkStart w:id="71"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70">
        <w:r>
          <w:rPr>
            <w:rStyle w:val="Hyperlink"/>
          </w:rPr>
          <w:t xml:space="preserve">https://CRAN.R-project.org/package=stringr</w:t>
        </w:r>
      </w:hyperlink>
    </w:p>
    <w:bookmarkEnd w:id="71"/>
    <w:bookmarkStart w:id="73"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72">
        <w:r>
          <w:rPr>
            <w:rStyle w:val="Hyperlink"/>
          </w:rPr>
          <w:t xml:space="preserve">https://CRAN.R-project.org/package=forcats</w:t>
        </w:r>
      </w:hyperlink>
    </w:p>
    <w:bookmarkEnd w:id="73"/>
    <w:bookmarkStart w:id="75" w:name="ref-R-tidyr"/>
    <w:p>
      <w:pPr>
        <w:pStyle w:val="Literaturverzeichnis"/>
      </w:pPr>
      <w:r>
        <w:t xml:space="preserve">Wickham, H. (2021b).</w:t>
      </w:r>
      <w:r>
        <w:t xml:space="preserve"> </w:t>
      </w:r>
      <w:r>
        <w:rPr>
          <w:i/>
        </w:rPr>
        <w:t xml:space="preserve">Tidyr: Tidy messy data</w:t>
      </w:r>
      <w:r>
        <w:t xml:space="preserve">.</w:t>
      </w:r>
      <w:r>
        <w:t xml:space="preserve"> </w:t>
      </w:r>
      <w:hyperlink r:id="rId74">
        <w:r>
          <w:rPr>
            <w:rStyle w:val="Hyperlink"/>
          </w:rPr>
          <w:t xml:space="preserve">https://CRAN.R-project.org/package=tidyr</w:t>
        </w:r>
      </w:hyperlink>
    </w:p>
    <w:bookmarkEnd w:id="75"/>
    <w:bookmarkStart w:id="77"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76">
        <w:r>
          <w:rPr>
            <w:rStyle w:val="Hyperlink"/>
          </w:rPr>
          <w:t xml:space="preserve">https://doi.org/10.21105/joss.01686</w:t>
        </w:r>
      </w:hyperlink>
    </w:p>
    <w:bookmarkEnd w:id="77"/>
    <w:bookmarkStart w:id="79"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78">
        <w:r>
          <w:rPr>
            <w:rStyle w:val="Hyperlink"/>
          </w:rPr>
          <w:t xml:space="preserve">https://CRAN.R-project.org/package=dplyr</w:t>
        </w:r>
      </w:hyperlink>
    </w:p>
    <w:bookmarkEnd w:id="79"/>
    <w:bookmarkStart w:id="81"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80">
        <w:r>
          <w:rPr>
            <w:rStyle w:val="Hyperlink"/>
          </w:rPr>
          <w:t xml:space="preserve">https://CRAN.R-project.org/package=readr</w:t>
        </w:r>
      </w:hyperlink>
    </w:p>
    <w:bookmarkEnd w:id="81"/>
    <w:bookmarkStart w:id="83"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82">
        <w:r>
          <w:rPr>
            <w:rStyle w:val="Hyperlink"/>
          </w:rPr>
          <w:t xml:space="preserve">https://CRAN.R-project.org/package=DT</w:t>
        </w:r>
      </w:hyperlink>
    </w:p>
    <w:bookmarkEnd w:id="83"/>
    <w:bookmarkStart w:id="85"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84">
        <w:r>
          <w:rPr>
            <w:rStyle w:val="Hyperlink"/>
          </w:rPr>
          <w:t xml:space="preserve">https://CRAN.R-project.org/package=kableExtra</w:t>
        </w:r>
      </w:hyperlink>
    </w:p>
    <w:bookmarkEnd w:id="85"/>
    <w:bookmarkEnd w:id="86"/>
    <w:bookmarkEnd w:id="8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82" Target="https://CRAN.R-project.org/package=DT" TargetMode="External" /><Relationship Type="http://schemas.openxmlformats.org/officeDocument/2006/relationships/hyperlink" Id="rId66" Target="https://CRAN.R-project.org/package=apaTables" TargetMode="External" /><Relationship Type="http://schemas.openxmlformats.org/officeDocument/2006/relationships/hyperlink" Id="rId78" Target="https://CRAN.R-project.org/package=dplyr" TargetMode="External" /><Relationship Type="http://schemas.openxmlformats.org/officeDocument/2006/relationships/hyperlink" Id="rId72" Target="https://CRAN.R-project.org/package=forcats" TargetMode="External" /><Relationship Type="http://schemas.openxmlformats.org/officeDocument/2006/relationships/hyperlink" Id="rId84" Target="https://CRAN.R-project.org/package=kableExtra" TargetMode="External" /><Relationship Type="http://schemas.openxmlformats.org/officeDocument/2006/relationships/hyperlink" Id="rId54"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0"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70" Target="https://CRAN.R-project.org/package=stringr" TargetMode="External" /><Relationship Type="http://schemas.openxmlformats.org/officeDocument/2006/relationships/hyperlink" Id="rId57" Target="https://CRAN.R-project.org/package=tibble" TargetMode="External" /><Relationship Type="http://schemas.openxmlformats.org/officeDocument/2006/relationships/hyperlink" Id="rId74" Target="https://CRAN.R-project.org/package=tidyr" TargetMode="External" /><Relationship Type="http://schemas.openxmlformats.org/officeDocument/2006/relationships/hyperlink" Id="rId76" Target="https://doi.org/10.21105/joss.01686" TargetMode="External" /><Relationship Type="http://schemas.openxmlformats.org/officeDocument/2006/relationships/hyperlink" Id="rId68"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59" Target="https://www.R-project.org/" TargetMode="External" /><Relationship Type="http://schemas.openxmlformats.org/officeDocument/2006/relationships/hyperlink" Id="rId62"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82" Target="https://CRAN.R-project.org/package=DT" TargetMode="External" /><Relationship Type="http://schemas.openxmlformats.org/officeDocument/2006/relationships/hyperlink" Id="rId66" Target="https://CRAN.R-project.org/package=apaTables" TargetMode="External" /><Relationship Type="http://schemas.openxmlformats.org/officeDocument/2006/relationships/hyperlink" Id="rId78" Target="https://CRAN.R-project.org/package=dplyr" TargetMode="External" /><Relationship Type="http://schemas.openxmlformats.org/officeDocument/2006/relationships/hyperlink" Id="rId72" Target="https://CRAN.R-project.org/package=forcats" TargetMode="External" /><Relationship Type="http://schemas.openxmlformats.org/officeDocument/2006/relationships/hyperlink" Id="rId84" Target="https://CRAN.R-project.org/package=kableExtra" TargetMode="External" /><Relationship Type="http://schemas.openxmlformats.org/officeDocument/2006/relationships/hyperlink" Id="rId54"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0"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70" Target="https://CRAN.R-project.org/package=stringr" TargetMode="External" /><Relationship Type="http://schemas.openxmlformats.org/officeDocument/2006/relationships/hyperlink" Id="rId57" Target="https://CRAN.R-project.org/package=tibble" TargetMode="External" /><Relationship Type="http://schemas.openxmlformats.org/officeDocument/2006/relationships/hyperlink" Id="rId74" Target="https://CRAN.R-project.org/package=tidyr" TargetMode="External" /><Relationship Type="http://schemas.openxmlformats.org/officeDocument/2006/relationships/hyperlink" Id="rId76" Target="https://doi.org/10.21105/joss.01686" TargetMode="External" /><Relationship Type="http://schemas.openxmlformats.org/officeDocument/2006/relationships/hyperlink" Id="rId68"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59" Target="https://www.R-project.org/" TargetMode="External" /><Relationship Type="http://schemas.openxmlformats.org/officeDocument/2006/relationships/hyperlink" Id="rId62"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2021-10-06T16:50:10Z</dcterms:created>
  <dcterms:modified xsi:type="dcterms:W3CDTF">2021-10-06T16:50:10Z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