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Intended</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Title: 85 characters;</w:t>
      </w:r>
      <w:r>
        <w:t xml:space="preserve"> </w:t>
      </w:r>
      <w:r>
        <w:t xml:space="preserve">Abstract: 600 characters</w:t>
      </w:r>
      <w:r>
        <w:t xml:space="preserve"> </w:t>
      </w:r>
      <w:r>
        <w:t xml:space="preserve">Word count: 3,000 words</w:t>
      </w:r>
      <w:r>
        <w:t xml:space="preserve"> </w:t>
      </w:r>
      <w:r>
        <w:t xml:space="preserve">Remove names</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should be considered of interest to Industrial and Organizational Psychologists.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Intended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personal engagement, and 4) employee engagement, and 4) burnout.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w:t>
      </w:r>
      <w:r>
        <w:t xml:space="preserve">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
        </w:rPr>
        <w:t xml:space="preserve">work</w:t>
      </w:r>
      <w:r>
        <w:t xml:space="preserve">, whereas employee engagement may also include the relationship with the</w:t>
      </w:r>
      <w:r>
        <w:t xml:space="preserve"> </w:t>
      </w:r>
      <w:r>
        <w:rPr>
          <w:i/>
        </w:rPr>
        <w:t xml:space="preserve">organization</w:t>
      </w:r>
      <w:r>
        <w:t xml:space="preserve">.</w:t>
      </w:r>
      <w:r>
        <w:t xml:space="preserve">”</w:t>
      </w:r>
    </w:p>
    <w:p>
      <w:pPr>
        <w:pStyle w:val="Textkrper"/>
      </w:pPr>
      <w:r>
        <w:t xml:space="preserve">The current project is most closely aligned with the</w:t>
      </w:r>
      <w:r>
        <w:t xml:space="preserve"> </w:t>
      </w:r>
      <w:r>
        <w:rPr>
          <w:i/>
        </w:rPr>
        <w:t xml:space="preserve">work engagement</w:t>
      </w:r>
      <w:r>
        <w:t xml:space="preserve"> </w:t>
      </w:r>
      <w:r>
        <w:t xml:space="preserve">tradition, whose most frequently-cited definition of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p. 74].</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w:t>
      </w:r>
      <w:r>
        <w:t xml:space="preserve"> </w:t>
      </w:r>
      <w:r>
        <w:t xml:space="preserve">(Schaufeli &amp; Bakker, 2003)</w:t>
      </w:r>
      <w:r>
        <w:t xml:space="preserve">. More recently, more sophisticated factor analysis found that a single factor did not adequately explain variance in both burnout and engagement, suggesting that they are nomologically distinct</w:t>
      </w:r>
      <w:r>
        <w:t xml:space="preserve"> </w:t>
      </w:r>
      <w:r>
        <w:t xml:space="preserve">(Trógolo et al., 2020)</w:t>
      </w:r>
      <w:r>
        <w:t xml:space="preserve">. We also align with the claim that burnout and engagement are related but separable constructs and do not explicitly explore their relationship in this study.</w:t>
      </w:r>
    </w:p>
    <w:bookmarkStart w:id="21" w:name="why-engagement"/>
    <w:p>
      <w:pPr>
        <w:pStyle w:val="berschrift2"/>
      </w:pPr>
      <w:r>
        <w:rPr>
          <w:rStyle w:val="SectionNumber"/>
        </w:rPr>
        <w:t xml:space="preserve">0.1</w:t>
      </w:r>
      <w:r>
        <w:tab/>
      </w:r>
      <w:r>
        <w:t xml:space="preserve">Why engagement?</w:t>
      </w:r>
    </w:p>
    <w:p>
      <w:pPr>
        <w:pStyle w:val="FirstParagraph"/>
      </w:pPr>
      <w:r>
        <w:t xml:space="preserve">Even in the presence of rampant disagreement about the nature of engagement, interest in the construct still abounds. This is likely fueled in large part by its relationships with many other desirable workplace constructs. At the employee level, engagement has been found to relate to organizational commitment</w:t>
      </w:r>
      <w:r>
        <w:t xml:space="preserve"> </w:t>
      </w:r>
      <w:r>
        <w:t xml:space="preserve">(Hanaysha, 2016)</w:t>
      </w:r>
      <w:r>
        <w:t xml:space="preserve">, job satisfaction</w:t>
      </w:r>
      <w:r>
        <w:t xml:space="preserve"> </w:t>
      </w:r>
      <w:r>
        <w:t xml:space="preserve">(Alarcon &amp; Edwards, 2011)</w:t>
      </w:r>
      <w:r>
        <w:t xml:space="preserve">, and job performance</w:t>
      </w:r>
      <w:r>
        <w:t xml:space="preserve"> </w:t>
      </w:r>
      <w:r>
        <w:t xml:space="preserve">(Rich et al., 2010)</w:t>
      </w:r>
      <w:r>
        <w:t xml:space="preserve">. Some lines of study also frame engagement as a positive counterpoint to workaholism</w:t>
      </w:r>
      <w:r>
        <w:t xml:space="preserve">(Caesens et al., 2014)</w:t>
      </w:r>
      <w:r>
        <w:t xml:space="preserve">, particularly in an occupational health context</w:t>
      </w:r>
      <w:r>
        <w:t xml:space="preserve"> </w:t>
      </w:r>
      <w:r>
        <w:t xml:space="preserve">(Girardi et al., 2019)</w:t>
      </w:r>
      <w:r>
        <w:t xml:space="preserve">. Such research testifies not only to the value of engagement as both an predictor and outcome in itself, but also to the enthusiasm of academics and practitioners for further understanding the role engagement at work. In light of this, it is all the more important to better understand the structure of this construct to support future research.</w:t>
      </w:r>
    </w:p>
    <w:p>
      <w:pPr>
        <w:pStyle w:val="Blocktext"/>
      </w:pPr>
      <w:r>
        <w:t xml:space="preserve">old paragraph</w:t>
      </w:r>
    </w:p>
    <w:p>
      <w:pPr>
        <w:pStyle w:val="Blocktext"/>
      </w:pPr>
      <w:r>
        <w:t xml:space="preserve">Across the literature appear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our-proposed-model-of-engagement"/>
    <w:p>
      <w:pPr>
        <w:pStyle w:val="berschrift2"/>
      </w:pPr>
      <w:r>
        <w:rPr>
          <w:rStyle w:val="SectionNumber"/>
        </w:rPr>
        <w:t xml:space="preserve">0.2</w:t>
      </w:r>
      <w:r>
        <w:tab/>
      </w:r>
      <w:r>
        <w:t xml:space="preserve">Our Proposed Model of Engagement</w:t>
      </w:r>
    </w:p>
    <w:p>
      <w:pPr>
        <w:pStyle w:val="Blocktext"/>
      </w:pPr>
      <w:r>
        <w:t xml:space="preserve">KULAS: Bifactor as method to clean up sub-scale associations</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2017a)</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bookmarkEnd w:id="22"/>
    <w:bookmarkStart w:id="23" w:name="engagement-as-an-attitude"/>
    <w:p>
      <w:pPr>
        <w:pStyle w:val="berschrift2"/>
      </w:pPr>
      <w:r>
        <w:rPr>
          <w:rStyle w:val="SectionNumber"/>
        </w:rPr>
        <w:t xml:space="preserve">0.3</w:t>
      </w:r>
      <w:r>
        <w:tab/>
      </w:r>
      <w:r>
        <w:t xml:space="preserve">Engagement as an attitude</w:t>
      </w:r>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bookmarkEnd w:id="23"/>
    <w:bookmarkStart w:id="24" w:name="bifactor-structures"/>
    <w:p>
      <w:pPr>
        <w:pStyle w:val="berschrift2"/>
      </w:pPr>
      <w:r>
        <w:rPr>
          <w:rStyle w:val="SectionNumber"/>
        </w:rPr>
        <w:t xml:space="preserve">0.4</w:t>
      </w:r>
      <w:r>
        <w:tab/>
      </w:r>
      <w:r>
        <w:t xml:space="preserve">Bifactor structures</w:t>
      </w:r>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bookmarkEnd w:id="24"/>
    <w:bookmarkStart w:id="35" w:name="methods"/>
    <w:p>
      <w:pPr>
        <w:pStyle w:val="berschrift1"/>
      </w:pPr>
      <w:r>
        <w:rPr>
          <w:rStyle w:val="SectionNumber"/>
        </w:rPr>
        <w:t xml:space="preserve">1</w:t>
      </w:r>
      <w:r>
        <w:tab/>
      </w:r>
      <w:r>
        <w:t xml:space="preserve">Methods</w:t>
      </w:r>
    </w:p>
    <w:p>
      <w:pPr>
        <w:pStyle w:val="FirstParagraph"/>
      </w:pPr>
      <w:r>
        <w:t xml:space="preserve">Informed by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bookmarkStart w:id="26" w:name="item-generation"/>
    <w:p>
      <w:pPr>
        <w:pStyle w:val="berschrift2"/>
      </w:pPr>
      <w:r>
        <w:rPr>
          <w:rStyle w:val="SectionNumber"/>
        </w:rPr>
        <w:t xml:space="preserve">1.1</w:t>
      </w:r>
      <w:r>
        <w:tab/>
      </w:r>
      <w:r>
        <w:t xml:space="preserve">Item generation</w:t>
      </w:r>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bookmarkStart w:id="25" w:name="X63f3b6ad8af3a322c625b6badad218eb1dd92f9"/>
    <w:p>
      <w:pPr>
        <w:pStyle w:val="berschrift3"/>
      </w:pPr>
      <w:r>
        <w:rPr>
          <w:rStyle w:val="SectionNumber"/>
        </w:rPr>
        <w:t xml:space="preserve">1.1.1</w:t>
      </w:r>
      <w:r>
        <w:tab/>
      </w:r>
      <w:r>
        <w:t xml:space="preserve">Content validation and initial item reduction.</w:t>
      </w:r>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bookmarkEnd w:id="25"/>
    <w:bookmarkEnd w:id="26"/>
    <w:bookmarkStart w:id="27" w:name="participants"/>
    <w:p>
      <w:pPr>
        <w:pStyle w:val="berschrift2"/>
      </w:pPr>
      <w:r>
        <w:rPr>
          <w:rStyle w:val="SectionNumber"/>
        </w:rPr>
        <w:t xml:space="preserve">1.2</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40.38 (SD = 13.27).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End w:id="27"/>
    <w:bookmarkStart w:id="34" w:name="scale-development-conditions"/>
    <w:p>
      <w:pPr>
        <w:pStyle w:val="berschrift2"/>
      </w:pPr>
      <w:r>
        <w:rPr>
          <w:rStyle w:val="SectionNumber"/>
        </w:rPr>
        <w:t xml:space="preserve">1.3</w:t>
      </w:r>
      <w:r>
        <w:tab/>
      </w:r>
      <w:r>
        <w:t xml:space="preserve">Scale development</w:t>
      </w:r>
      <w:r>
        <w:t xml:space="preserve"> </w:t>
      </w:r>
      <w:r>
        <w:t xml:space="preserve">“</w:t>
      </w:r>
      <w:r>
        <w:t xml:space="preserve">conditions</w:t>
      </w:r>
      <w:r>
        <w:t xml:space="preserve">”</w:t>
      </w:r>
    </w:p>
    <w:p>
      <w:pPr>
        <w:pStyle w:val="FirstParagraph"/>
      </w:pPr>
      <w:r>
        <w:t xml:space="preserve">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bookmarkStart w:id="28" w:name="corrected-item-total-correlations"/>
    <w:p>
      <w:pPr>
        <w:pStyle w:val="berschrift3"/>
      </w:pPr>
      <w:r>
        <w:rPr>
          <w:rStyle w:val="SectionNumber"/>
        </w:rPr>
        <w:t xml:space="preserve">1.3.1</w:t>
      </w:r>
      <w:r>
        <w:tab/>
      </w:r>
      <w:r>
        <w:t xml:space="preserve">Corrected item-total correlations.</w:t>
      </w:r>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bookmarkEnd w:id="28"/>
    <w:bookmarkStart w:id="29" w:name="cfa-modification-indices"/>
    <w:p>
      <w:pPr>
        <w:pStyle w:val="berschrift3"/>
      </w:pPr>
      <w:r>
        <w:rPr>
          <w:rStyle w:val="SectionNumber"/>
        </w:rPr>
        <w:t xml:space="preserve">1.3.2</w:t>
      </w:r>
      <w:r>
        <w:tab/>
      </w:r>
      <w:r>
        <w:t xml:space="preserve">CFA Modification Indices.</w:t>
      </w:r>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bookmarkEnd w:id="29"/>
    <w:bookmarkStart w:id="33" w:name="final-scale-definitions"/>
    <w:p>
      <w:pPr>
        <w:pStyle w:val="berschrift3"/>
      </w:pPr>
      <w:r>
        <w:rPr>
          <w:rStyle w:val="SectionNumber"/>
        </w:rPr>
        <w:t xml:space="preserve">1.3.3</w:t>
      </w:r>
      <w:r>
        <w:tab/>
      </w:r>
      <w:r>
        <w:t xml:space="preserve">Final scale definitions.</w:t>
      </w:r>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Textkrper"/>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final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End w:id="33"/>
    <w:bookmarkEnd w:id="34"/>
    <w:bookmarkEnd w:id="35"/>
    <w:bookmarkStart w:id="37" w:name="results"/>
    <w:p>
      <w:pPr>
        <w:pStyle w:val="berschrift1"/>
      </w:pPr>
      <w:r>
        <w:rPr>
          <w:rStyle w:val="SectionNumber"/>
        </w:rPr>
        <w:t xml:space="preserve">2</w:t>
      </w:r>
      <w:r>
        <w:tab/>
      </w:r>
      <w:r>
        <w:t xml:space="preserve">Results</w:t>
      </w:r>
    </w:p>
    <w:p>
      <w:pPr>
        <w:pStyle w:val="FirstParagraph"/>
      </w:pPr>
      <w:r>
        <w:t xml:space="preserve">We used R [Version 4.1.2;</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2.0.2;</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Textkrper"/>
      </w:pPr>
      <w:r>
        <w:t xml:space="preserve">Table 3:</w:t>
      </w:r>
    </w:p>
    <w:p>
      <w:pPr>
        <w:pStyle w:val="TableCaption"/>
      </w:pPr>
      <w:r>
        <w:rPr>
          <w:i/>
        </w:rPr>
        <w:t xml:space="preserve">Final proposed scale definitions (derived via attendance to corrected item-total correlations or CFA modification indices)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Item_1=</w:t>
            </w:r>
            <w:r>
              <w:rPr>
                <w:rStyle w:val="VerbatimChar"/>
              </w:rPr>
              <w:t xml:space="preserve">Iâ€™m able to concentrate on my work without distractions.</w:t>
            </w:r>
            <w:r>
              <w:t xml:space="preserve">,</w:t>
            </w:r>
          </w:p>
        </w:tc>
        <w:tc>
          <w:p>
            <w:pPr>
              <w:pStyle w:val="Compact"/>
              <w:jc w:val="left"/>
            </w:pPr>
            <w:r>
              <w:t xml:space="preserve">  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Item_3=</w:t>
            </w:r>
            <w:r>
              <w:rPr>
                <w:rStyle w:val="VerbatimChar"/>
              </w:rPr>
              <w:t xml:space="preserve">Time passes quickly while Iâ€™m working.</w:t>
            </w:r>
            <w:r>
              <w:t xml:space="preserve">,</w:t>
            </w:r>
          </w:p>
        </w:tc>
        <w:tc>
          <w:p>
            <w:pPr>
              <w:pStyle w:val="Compact"/>
              <w:jc w:val="left"/>
            </w:pPr>
            <w:r>
              <w:t xml:space="preserve">  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Item_5=</w:t>
            </w:r>
            <w:r>
              <w:rPr>
                <w:rStyle w:val="VerbatimChar"/>
              </w:rPr>
              <w:t xml:space="preserve">I enjoy thinking about work even when Iâ€™m not at work.</w:t>
            </w:r>
            <w:r>
              <w:t xml:space="preserve">,</w:t>
            </w:r>
          </w:p>
        </w:tc>
        <w:tc>
          <w:p>
            <w:pPr>
              <w:pStyle w:val="Compact"/>
              <w:jc w:val="left"/>
            </w:pPr>
            <w:r>
              <w:t xml:space="preserve">  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Item_8=</w:t>
            </w:r>
            <w:r>
              <w:rPr>
                <w:rStyle w:val="VerbatimChar"/>
              </w:rPr>
              <w:t xml:space="preserve">I love starting my workday.</w:t>
            </w:r>
            <w:r>
              <w:t xml:space="preserve">,</w:t>
            </w:r>
          </w:p>
        </w:tc>
        <w:tc>
          <w:p>
            <w:pPr>
              <w:pStyle w:val="Compact"/>
              <w:jc w:val="left"/>
            </w:pPr>
            <w:r>
              <w:t xml:space="preserve">  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Item_10=</w:t>
            </w:r>
            <w:r>
              <w:rPr>
                <w:rStyle w:val="VerbatimChar"/>
              </w:rPr>
              <w:t xml:space="preserve">I have to be reminded to take breaks while Iâ€™m at work.</w:t>
            </w:r>
            <w:r>
              <w:t xml:space="preserve">,</w:t>
            </w:r>
          </w:p>
        </w:tc>
        <w:tc>
          <w:p>
            <w:pPr>
              <w:pStyle w:val="Compact"/>
              <w:jc w:val="left"/>
            </w:pPr>
            <w:r>
              <w:t xml:space="preserve">  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Item_9=</w:t>
            </w:r>
            <w:r>
              <w:rPr>
                <w:rStyle w:val="VerbatimChar"/>
              </w:rPr>
              <w:t xml:space="preserve">I devote more time than is expected of me.</w:t>
            </w:r>
            <w:r>
              <w:t xml:space="preserve">,</w:t>
            </w:r>
          </w:p>
        </w:tc>
        <w:tc>
          <w:p>
            <w:pPr>
              <w:pStyle w:val="Compact"/>
              <w:jc w:val="left"/>
            </w:pPr>
            <w:r>
              <w:t xml:space="preserve">  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Item_13=</w:t>
            </w:r>
            <w:r>
              <w:rPr>
                <w:rStyle w:val="VerbatimChar"/>
              </w:rPr>
              <w:t xml:space="preserve">I devote my full attention to my work tasks throughout the day.</w:t>
            </w:r>
            <w:r>
              <w:t xml:space="preserve">,</w:t>
            </w:r>
          </w:p>
        </w:tc>
        <w:tc>
          <w:p>
            <w:pPr>
              <w:pStyle w:val="Compact"/>
              <w:jc w:val="left"/>
            </w:pPr>
            <w:r>
              <w:t xml:space="preserve">  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Item_16=</w:t>
            </w:r>
            <w:r>
              <w:rPr>
                <w:rStyle w:val="VerbatimChar"/>
              </w:rPr>
              <w:t xml:space="preserve">Iâ€™m able to maintain good levels of energy throughout the workday.</w:t>
            </w:r>
            <w:r>
              <w:t xml:space="preserve">,</w:t>
            </w:r>
          </w:p>
        </w:tc>
        <w:tc>
          <w:p>
            <w:pPr>
              <w:pStyle w:val="Compact"/>
              <w:jc w:val="left"/>
            </w:pPr>
            <w:r>
              <w:t xml:space="preserve">  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Item_17=</w:t>
            </w:r>
            <w:r>
              <w:rPr>
                <w:rStyle w:val="VerbatimChar"/>
              </w:rPr>
              <w:t xml:space="preserve">I enjoy spending time completing my job tasks.</w:t>
            </w:r>
            <w:r>
              <w:t xml:space="preserve">,</w:t>
            </w:r>
          </w:p>
        </w:tc>
        <w:tc>
          <w:p>
            <w:pPr>
              <w:pStyle w:val="Compact"/>
              <w:jc w:val="left"/>
            </w:pPr>
            <w:r>
              <w:t xml:space="preserve">  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Item_18=</w:t>
            </w:r>
            <w:r>
              <w:rPr>
                <w:rStyle w:val="VerbatimChar"/>
              </w:rPr>
              <w:t xml:space="preserve">Most days I feel enthusiastic about starting my work day.</w:t>
            </w:r>
            <w:r>
              <w:t xml:space="preserve">,</w:t>
            </w:r>
          </w:p>
        </w:tc>
        <w:tc>
          <w:p>
            <w:pPr>
              <w:pStyle w:val="Compact"/>
              <w:jc w:val="left"/>
            </w:pPr>
            <w:r>
              <w:t xml:space="preserve">  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Item_23=</w:t>
            </w:r>
            <w:r>
              <w:rPr>
                <w:rStyle w:val="VerbatimChar"/>
              </w:rPr>
              <w:t xml:space="preserve">I try my best to perform well at work.</w:t>
            </w:r>
            <w:r>
              <w:t xml:space="preserve">,</w:t>
            </w:r>
          </w:p>
        </w:tc>
        <w:tc>
          <w:p>
            <w:pPr>
              <w:pStyle w:val="Compact"/>
              <w:jc w:val="left"/>
            </w:pPr>
            <w:r>
              <w:t xml:space="preserve">  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Item_22=</w:t>
            </w:r>
            <w:r>
              <w:rPr>
                <w:rStyle w:val="VerbatimChar"/>
              </w:rPr>
              <w:t xml:space="preserve">I express enthusiasm for my job while at work.</w:t>
            </w:r>
            <w:r>
              <w:t xml:space="preserve">,</w:t>
            </w:r>
          </w:p>
        </w:tc>
        <w:tc>
          <w:p>
            <w:pPr>
              <w:pStyle w:val="Compact"/>
              <w:jc w:val="left"/>
            </w:pPr>
            <w:r>
              <w:t xml:space="preserve">  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Item_26=</w:t>
            </w:r>
            <w:r>
              <w:rPr>
                <w:rStyle w:val="VerbatimChar"/>
              </w:rPr>
              <w:t xml:space="preserve">I believe this company cares about my career goals.</w:t>
            </w:r>
            <w:r>
              <w:t xml:space="preserve">,</w:t>
            </w:r>
          </w:p>
        </w:tc>
        <w:tc>
          <w:p>
            <w:pPr>
              <w:pStyle w:val="Compact"/>
              <w:jc w:val="left"/>
            </w:pPr>
            <w:r>
              <w:t xml:space="preserve">  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Item_25=</w:t>
            </w:r>
            <w:r>
              <w:rPr>
                <w:rStyle w:val="VerbatimChar"/>
              </w:rPr>
              <w:t xml:space="preserve">I plan my future with this company.</w:t>
            </w:r>
            <w:r>
              <w:t xml:space="preserve">,</w:t>
            </w:r>
          </w:p>
        </w:tc>
        <w:tc>
          <w:p>
            <w:pPr>
              <w:pStyle w:val="Compact"/>
              <w:jc w:val="left"/>
            </w:pPr>
            <w:r>
              <w:t xml:space="preserve">  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Item_31=</w:t>
            </w:r>
            <w:r>
              <w:rPr>
                <w:rStyle w:val="VerbatimChar"/>
              </w:rPr>
              <w:t xml:space="preserve">I feel proud of my accomplishments within this organization.</w:t>
            </w:r>
            <w:r>
              <w:t xml:space="preserve">,</w:t>
            </w:r>
          </w:p>
        </w:tc>
        <w:tc>
          <w:p>
            <w:pPr>
              <w:pStyle w:val="Compact"/>
              <w:jc w:val="left"/>
            </w:pPr>
            <w:r>
              <w:t xml:space="preserve">  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Item_32=</w:t>
            </w:r>
            <w:r>
              <w:rPr>
                <w:rStyle w:val="VerbatimChar"/>
              </w:rPr>
              <w:t xml:space="preserve">My job makes me feel like Iâ€™m part of something meaningful.</w:t>
            </w:r>
            <w:r>
              <w:t xml:space="preserve">,</w:t>
            </w:r>
          </w:p>
        </w:tc>
        <w:tc>
          <w:p>
            <w:pPr>
              <w:pStyle w:val="Compact"/>
              <w:jc w:val="left"/>
            </w:pPr>
            <w:r>
              <w:t xml:space="preserve">  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Item_33=</w:t>
            </w:r>
            <w:r>
              <w:rPr>
                <w:rStyle w:val="VerbatimChar"/>
              </w:rPr>
              <w:t xml:space="preserve">I make valued contributions to the organization.</w:t>
            </w:r>
            <w:r>
              <w:t xml:space="preserve">,</w:t>
            </w:r>
          </w:p>
        </w:tc>
        <w:tc>
          <w:p>
            <w:pPr>
              <w:pStyle w:val="Compact"/>
              <w:jc w:val="left"/>
            </w:pPr>
            <w:r>
              <w:t xml:space="preserve">  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Item_35=</w:t>
            </w:r>
            <w:r>
              <w:rPr>
                <w:rStyle w:val="VerbatimChar"/>
              </w:rPr>
              <w:t xml:space="preserve">I speak positively about this organization to others.</w:t>
            </w:r>
            <w:r>
              <w:t xml:space="preserve">,</w:t>
            </w:r>
          </w:p>
        </w:tc>
        <w:tc>
          <w:p>
            <w:pPr>
              <w:pStyle w:val="Compact"/>
              <w:jc w:val="left"/>
            </w:pPr>
            <w:r>
              <w:t xml:space="preserve">  Item_35=</w:t>
            </w:r>
            <w:r>
              <w:rPr>
                <w:rStyle w:val="VerbatimChar"/>
              </w:rPr>
              <w:t xml:space="preserve">I speak positively about this organization to others.</w:t>
            </w:r>
            <w:r>
              <w:t xml:space="preserve">,</w:t>
            </w:r>
          </w:p>
        </w:tc>
      </w:tr>
    </w:tbl>
    <w:bookmarkStart w:id="36" w:name="final-scale-definitions-1"/>
    <w:p>
      <w:pPr>
        <w:pStyle w:val="berschrift2"/>
      </w:pPr>
      <w:r>
        <w:rPr>
          <w:rStyle w:val="SectionNumber"/>
        </w:rPr>
        <w:t xml:space="preserve">2.1</w:t>
      </w:r>
      <w:r>
        <w:tab/>
      </w:r>
      <w:r>
        <w:t xml:space="preserve">Final scale definitions</w:t>
      </w:r>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 Final scale</w:t>
      </w:r>
      <w:r>
        <w:t xml:space="preserve"> </w:t>
      </w:r>
      <m:oMath>
        <m:r>
          <m:t>α</m:t>
        </m:r>
      </m:oMath>
      <w:r>
        <w:t xml:space="preserve">’s were 0.66 (Absorption), 0.71 (Dedication), 0.65 (Vigor), 0.59 (Affect), 0.74 (Cognition), and 0.63 (Behavior). Correlations among unit-weighted scale aggregates are presented in Table XX.</w:t>
      </w:r>
    </w:p>
    <w:p>
      <w:pPr>
        <w:pStyle w:val="Textkrper"/>
      </w:pPr>
      <w:r>
        <w:t xml:space="preserve">Table 4:</w:t>
      </w:r>
    </w:p>
    <w:p>
      <w:pPr>
        <w:pStyle w:val="TableCaption"/>
      </w:pPr>
      <w:r>
        <w:rPr>
          <w:i/>
        </w:rPr>
        <w:t xml:space="preserve">Unit-weighted scale intercorrelations (all conditions).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Absorption</w:t>
            </w:r>
          </w:p>
        </w:tc>
        <w:tc>
          <w:p>
            <w:pPr>
              <w:pStyle w:val="Compact"/>
              <w:jc w:val="left"/>
            </w:pPr>
            <w:r>
              <w:t xml:space="preserve">-</w:t>
            </w:r>
          </w:p>
        </w:tc>
        <w:tc>
          <w:p/>
        </w:tc>
        <w:tc>
          <w:p/>
        </w:tc>
        <w:tc>
          <w:p/>
        </w:tc>
        <w:tc>
          <w:p/>
        </w:tc>
        <w:tc>
          <w:p>
            <w:pPr>
              <w:pStyle w:val="Compact"/>
              <w:jc w:val="left"/>
            </w:pPr>
            <w:r>
              <w:t xml:space="preserve">4.15</w:t>
            </w:r>
          </w:p>
        </w:tc>
        <w:tc>
          <w:p>
            <w:pPr>
              <w:pStyle w:val="Compact"/>
              <w:jc w:val="left"/>
            </w:pPr>
            <w:r>
              <w:t xml:space="preserve">0.76</w:t>
            </w:r>
          </w:p>
        </w:tc>
      </w:tr>
      <w:tr>
        <w:tc>
          <w:p>
            <w:pPr>
              <w:pStyle w:val="Compact"/>
              <w:jc w:val="left"/>
            </w:pPr>
            <w:r>
              <w:t xml:space="preserve">2. Vigor</w:t>
            </w:r>
          </w:p>
        </w:tc>
        <w:tc>
          <w:p>
            <w:pPr>
              <w:pStyle w:val="Compact"/>
              <w:jc w:val="left"/>
            </w:pPr>
            <w:r>
              <w:t xml:space="preserve">.48***</w:t>
            </w:r>
          </w:p>
        </w:tc>
        <w:tc>
          <w:p>
            <w:pPr>
              <w:pStyle w:val="Compact"/>
              <w:jc w:val="left"/>
            </w:pPr>
            <w:r>
              <w:t xml:space="preserve">-</w:t>
            </w:r>
          </w:p>
        </w:tc>
        <w:tc>
          <w:p/>
        </w:tc>
        <w:tc>
          <w:p/>
        </w:tc>
        <w:tc>
          <w:p/>
        </w:tc>
        <w:tc>
          <w:p>
            <w:pPr>
              <w:pStyle w:val="Compact"/>
              <w:jc w:val="left"/>
            </w:pPr>
            <w:r>
              <w:t xml:space="preserve">4.49</w:t>
            </w:r>
          </w:p>
        </w:tc>
        <w:tc>
          <w:p>
            <w:pPr>
              <w:pStyle w:val="Compact"/>
              <w:jc w:val="left"/>
            </w:pPr>
            <w:r>
              <w:t xml:space="preserve">0.72</w:t>
            </w:r>
          </w:p>
        </w:tc>
      </w:tr>
      <w:tr>
        <w:tc>
          <w:p>
            <w:pPr>
              <w:pStyle w:val="Compact"/>
              <w:jc w:val="left"/>
            </w:pPr>
            <w:r>
              <w:t xml:space="preserve">3. Dedication</w:t>
            </w:r>
          </w:p>
        </w:tc>
        <w:tc>
          <w:p>
            <w:pPr>
              <w:pStyle w:val="Compact"/>
              <w:jc w:val="left"/>
            </w:pPr>
            <w:r>
              <w:t xml:space="preserve">.66***</w:t>
            </w:r>
          </w:p>
        </w:tc>
        <w:tc>
          <w:p>
            <w:pPr>
              <w:pStyle w:val="Compact"/>
              <w:jc w:val="left"/>
            </w:pPr>
            <w:r>
              <w:t xml:space="preserve">.56***</w:t>
            </w:r>
          </w:p>
        </w:tc>
        <w:tc>
          <w:p>
            <w:pPr>
              <w:pStyle w:val="Compact"/>
              <w:jc w:val="left"/>
            </w:pPr>
            <w:r>
              <w:t xml:space="preserve">-</w:t>
            </w:r>
          </w:p>
        </w:tc>
        <w:tc>
          <w:p/>
        </w:tc>
        <w:tc>
          <w:p/>
        </w:tc>
        <w:tc>
          <w:p>
            <w:pPr>
              <w:pStyle w:val="Compact"/>
              <w:jc w:val="left"/>
            </w:pPr>
            <w:r>
              <w:t xml:space="preserve">3.97</w:t>
            </w:r>
          </w:p>
        </w:tc>
        <w:tc>
          <w:p>
            <w:pPr>
              <w:pStyle w:val="Compact"/>
              <w:jc w:val="left"/>
            </w:pPr>
            <w:r>
              <w:t xml:space="preserve">0.87</w:t>
            </w:r>
          </w:p>
        </w:tc>
      </w:tr>
      <w:tr>
        <w:tc>
          <w:p>
            <w:pPr>
              <w:pStyle w:val="Compact"/>
              <w:jc w:val="left"/>
            </w:pPr>
            <w:r>
              <w:t xml:space="preserve">4. Affect</w:t>
            </w:r>
          </w:p>
        </w:tc>
        <w:tc>
          <w:p>
            <w:pPr>
              <w:pStyle w:val="Compact"/>
              <w:jc w:val="left"/>
            </w:pPr>
            <w:r>
              <w:t xml:space="preserve">.71***</w:t>
            </w:r>
          </w:p>
        </w:tc>
        <w:tc>
          <w:p>
            <w:pPr>
              <w:pStyle w:val="Compact"/>
              <w:jc w:val="left"/>
            </w:pPr>
            <w:r>
              <w:t xml:space="preserve">.75***</w:t>
            </w:r>
          </w:p>
        </w:tc>
        <w:tc>
          <w:p>
            <w:pPr>
              <w:pStyle w:val="Compact"/>
              <w:jc w:val="left"/>
            </w:pPr>
            <w:r>
              <w:t xml:space="preserve">.74***</w:t>
            </w:r>
          </w:p>
        </w:tc>
        <w:tc>
          <w:p>
            <w:pPr>
              <w:pStyle w:val="Compact"/>
              <w:jc w:val="left"/>
            </w:pPr>
            <w:r>
              <w:t xml:space="preserve">-</w:t>
            </w:r>
          </w:p>
        </w:tc>
        <w:tc>
          <w:p/>
        </w:tc>
        <w:tc>
          <w:p>
            <w:pPr>
              <w:pStyle w:val="Compact"/>
              <w:jc w:val="left"/>
            </w:pPr>
            <w:r>
              <w:t xml:space="preserve">3.72</w:t>
            </w:r>
          </w:p>
        </w:tc>
        <w:tc>
          <w:p>
            <w:pPr>
              <w:pStyle w:val="Compact"/>
              <w:jc w:val="left"/>
            </w:pPr>
            <w:r>
              <w:t xml:space="preserve">0.81</w:t>
            </w:r>
          </w:p>
        </w:tc>
      </w:tr>
      <w:tr>
        <w:tc>
          <w:p>
            <w:pPr>
              <w:pStyle w:val="Compact"/>
              <w:jc w:val="left"/>
            </w:pPr>
            <w:r>
              <w:t xml:space="preserve">5. Cognition</w:t>
            </w:r>
          </w:p>
        </w:tc>
        <w:tc>
          <w:p>
            <w:pPr>
              <w:pStyle w:val="Compact"/>
              <w:jc w:val="left"/>
            </w:pPr>
            <w:r>
              <w:t xml:space="preserve">.75***</w:t>
            </w:r>
          </w:p>
        </w:tc>
        <w:tc>
          <w:p>
            <w:pPr>
              <w:pStyle w:val="Compact"/>
              <w:jc w:val="left"/>
            </w:pPr>
            <w:r>
              <w:t xml:space="preserve">.63***</w:t>
            </w:r>
          </w:p>
        </w:tc>
        <w:tc>
          <w:p>
            <w:pPr>
              <w:pStyle w:val="Compact"/>
              <w:jc w:val="left"/>
            </w:pPr>
            <w:r>
              <w:t xml:space="preserve">.86***</w:t>
            </w:r>
          </w:p>
        </w:tc>
        <w:tc>
          <w:p>
            <w:pPr>
              <w:pStyle w:val="Compact"/>
              <w:jc w:val="left"/>
            </w:pPr>
            <w:r>
              <w:t xml:space="preserve">.65***</w:t>
            </w:r>
          </w:p>
        </w:tc>
        <w:tc>
          <w:p>
            <w:pPr>
              <w:pStyle w:val="Compact"/>
              <w:jc w:val="left"/>
            </w:pPr>
            <w:r>
              <w:t xml:space="preserve">-</w:t>
            </w:r>
          </w:p>
        </w:tc>
        <w:tc>
          <w:p>
            <w:pPr>
              <w:pStyle w:val="Compact"/>
              <w:jc w:val="left"/>
            </w:pPr>
            <w:r>
              <w:t xml:space="preserve">4.25</w:t>
            </w:r>
          </w:p>
        </w:tc>
        <w:tc>
          <w:p>
            <w:pPr>
              <w:pStyle w:val="Compact"/>
              <w:jc w:val="left"/>
            </w:pPr>
            <w:r>
              <w:t xml:space="preserve">0.82</w:t>
            </w:r>
          </w:p>
        </w:tc>
      </w:tr>
      <w:tr>
        <w:tc>
          <w:p>
            <w:pPr>
              <w:pStyle w:val="Compact"/>
              <w:jc w:val="left"/>
            </w:pPr>
            <w:r>
              <w:t xml:space="preserve">6. Behavior</w:t>
            </w:r>
          </w:p>
        </w:tc>
        <w:tc>
          <w:p>
            <w:pPr>
              <w:pStyle w:val="Compact"/>
              <w:jc w:val="left"/>
            </w:pPr>
            <w:r>
              <w:t xml:space="preserve">.72***</w:t>
            </w:r>
          </w:p>
        </w:tc>
        <w:tc>
          <w:p>
            <w:pPr>
              <w:pStyle w:val="Compact"/>
              <w:jc w:val="left"/>
            </w:pPr>
            <w:r>
              <w:t xml:space="preserve">.65***</w:t>
            </w:r>
          </w:p>
        </w:tc>
        <w:tc>
          <w:p>
            <w:pPr>
              <w:pStyle w:val="Compact"/>
              <w:jc w:val="left"/>
            </w:pPr>
            <w:r>
              <w:t xml:space="preserve">.71***</w:t>
            </w:r>
          </w:p>
        </w:tc>
        <w:tc>
          <w:p>
            <w:pPr>
              <w:pStyle w:val="Compact"/>
              <w:jc w:val="left"/>
            </w:pPr>
            <w:r>
              <w:t xml:space="preserve">.53***</w:t>
            </w:r>
          </w:p>
        </w:tc>
        <w:tc>
          <w:p>
            <w:pPr>
              <w:pStyle w:val="Compact"/>
              <w:jc w:val="left"/>
            </w:pPr>
            <w:r>
              <w:t xml:space="preserve">.61***</w:t>
            </w:r>
          </w:p>
        </w:tc>
        <w:tc>
          <w:p>
            <w:pPr>
              <w:pStyle w:val="Compact"/>
              <w:jc w:val="left"/>
            </w:pPr>
            <w:r>
              <w:t xml:space="preserve">4.64</w:t>
            </w:r>
          </w:p>
        </w:tc>
        <w:tc>
          <w:p>
            <w:pPr>
              <w:pStyle w:val="Compact"/>
              <w:jc w:val="left"/>
            </w:pPr>
            <w:r>
              <w:t xml:space="preserve">0.69</w:t>
            </w:r>
          </w:p>
        </w:tc>
      </w:tr>
    </w:tbl>
    <w:p>
      <w:pPr>
        <w:pStyle w:val="Compact"/>
      </w:pPr>
      <w:r>
        <w:rPr>
          <w:i/>
        </w:rPr>
        <w:t xml:space="preserve">Note.</w:t>
      </w:r>
      <w:r>
        <w:t xml:space="preserve"> </w:t>
      </w:r>
      <w:r>
        <w:t xml:space="preserve">* p &lt; 0.05; ** p &lt; 0.01; *** p &lt; 0.001</w:t>
      </w:r>
    </w:p>
    <w:p>
      <w:pPr>
        <w:pStyle w:val="Textkrper"/>
      </w:pPr>
      <w:r>
        <w:t xml:space="preserve"> </w:t>
      </w:r>
    </w:p>
    <w:p>
      <w:pPr>
        <w:pStyle w:val="Blocktext"/>
      </w:pPr>
      <w:r>
        <w:t xml:space="preserve">For KULAS to do: two sections 1) 6x6 correlation matrix between scale scores 2) corrected item-total correlations</w:t>
      </w:r>
    </w:p>
    <w:p>
      <w:pPr>
        <w:pStyle w:val="FirstParagraph"/>
      </w:pPr>
      <w:r>
        <w:t xml:space="preserve">Table 5:</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r>
    </w:tbl>
    <w:bookmarkEnd w:id="36"/>
    <w:bookmarkEnd w:id="37"/>
    <w:bookmarkStart w:id="38" w:name="discussion"/>
    <w:p>
      <w:pPr>
        <w:pStyle w:val="berschrift1"/>
      </w:pPr>
      <w:r>
        <w:rPr>
          <w:rStyle w:val="SectionNumber"/>
        </w:rPr>
        <w:t xml:space="preserve">3</w:t>
      </w:r>
      <w:r>
        <w:tab/>
      </w:r>
      <w:r>
        <w:t xml:space="preserve">Discussion</w:t>
      </w:r>
    </w:p>
    <w:p>
      <w:pPr>
        <w:numPr>
          <w:ilvl w:val="0"/>
          <w:numId w:val="1001"/>
        </w:numPr>
        <w:pStyle w:val="Compact"/>
      </w:pPr>
      <w:r>
        <w:t xml:space="preserve">methodological: bifactor structure</w:t>
      </w:r>
    </w:p>
    <w:p>
      <w:pPr>
        <w:numPr>
          <w:ilvl w:val="0"/>
          <w:numId w:val="1001"/>
        </w:numPr>
        <w:pStyle w:val="Compact"/>
      </w:pPr>
      <w:r>
        <w:t xml:space="preserve">practical: public domain; scalable to 2 aggreggations</w:t>
      </w:r>
    </w:p>
    <w:p>
      <w:pPr>
        <w:numPr>
          <w:ilvl w:val="0"/>
          <w:numId w:val="1001"/>
        </w:numPr>
        <w:pStyle w:val="Compact"/>
      </w:pPr>
      <w:r>
        <w:t xml:space="preserve">theoretical: possibly explains high inter-scale correlations reported on other measures</w:t>
      </w:r>
    </w:p>
    <w:p>
      <w:pPr>
        <w:pStyle w:val="FirstParagraph"/>
      </w:pPr>
      <w:r>
        <w:t xml:space="preserve">The purpose of this study was to document the development of an intentionally complex bifactor measure of engagement. To add an additional element of interest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have a much larger technical report that documents the information in this paper as well as broader explorations of instrument criterion- and construct-validation and that technical report is currently published as an open-access document. Our items also intentionally carry no copyright and are freely available to any researcher or practitioner interested in the topic of engagment.</w:t>
      </w:r>
    </w:p>
    <w:p>
      <w:pPr>
        <w:pStyle w:val="Textkrper"/>
      </w:pPr>
      <w:r>
        <w:t xml:space="preserve">Our research contributes to theory in three key ways. Firstly, it introduces a novel measure of engagement, developed in English and available for free, that will allow future researchers to probe the tripartite attitudinal structure of the construct while at the same time measuring the more</w:t>
      </w:r>
      <w:r>
        <w:t xml:space="preserve"> </w:t>
      </w:r>
      <w:r>
        <w:t xml:space="preserve">“</w:t>
      </w:r>
      <w:r>
        <w:t xml:space="preserve">traditional</w:t>
      </w:r>
      <w:r>
        <w:t xml:space="preserve">”</w:t>
      </w:r>
      <w:r>
        <w:t xml:space="preserve"> </w:t>
      </w:r>
      <w:r>
        <w:t xml:space="preserve">structure. To our knowledge, ours is the only engagement scale that probes the specific attitudinal dimensions of engagement.</w:t>
      </w:r>
    </w:p>
    <w:p>
      <w:pPr>
        <w:pStyle w:val="Textkrper"/>
      </w:pPr>
      <w:r>
        <w:t xml:space="preserve">Secondly, we more generally advance the use of bifactor analysis as an alternative methodology for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Thirdly, we broaden our theoretical understanding of engagement. The unit-weighted inter-scale correlations exhibit only moderately high association (in the .6-ish range), which is promising and perhaps provides some support for retention of the 3-facet substantive model, which has been criticized for high observed inter-scale associations</w:t>
      </w:r>
      <w:r>
        <w:t xml:space="preserve"> </w:t>
      </w:r>
      <w:r>
        <w:t xml:space="preserve">(e.g., see Kulikowski, 2017b)</w:t>
      </w:r>
      <w:r>
        <w:t xml:space="preserve">. We show that a scale can be internally coherent while simultaneously measuring two different structural models. It is our hope that the success of this approach might evangelize bifactor analysis and the more general approach of consolidating and integrating models rather than parsing them.</w:t>
      </w:r>
    </w:p>
    <w:p>
      <w:r>
        <w:br w:type="page"/>
      </w:r>
    </w:p>
    <w:bookmarkEnd w:id="38"/>
    <w:bookmarkStart w:id="104" w:name="references"/>
    <w:p>
      <w:pPr>
        <w:pStyle w:val="berschrift1"/>
      </w:pPr>
      <w:r>
        <w:rPr>
          <w:rStyle w:val="SectionNumber"/>
        </w:rPr>
        <w:t xml:space="preserve">4</w:t>
      </w:r>
      <w:r>
        <w:tab/>
      </w:r>
      <w:r>
        <w:t xml:space="preserve">References</w:t>
      </w:r>
    </w:p>
    <w:bookmarkStart w:id="103" w:name="refs"/>
    <w:bookmarkStart w:id="39" w:name="ref-alarcon2011relationship"/>
    <w:p>
      <w:pPr>
        <w:pStyle w:val="Literaturverzeichnis"/>
      </w:pPr>
      <w:r>
        <w:t xml:space="preserve">Alarcon, G. M., &amp; Edwards, J. M. (2011). The relationship of engagement, job satisfaction and turnover intentions.</w:t>
      </w:r>
      <w:r>
        <w:t xml:space="preserve"> </w:t>
      </w:r>
      <w:r>
        <w:rPr>
          <w:i/>
        </w:rPr>
        <w:t xml:space="preserve">Stress and Health</w:t>
      </w:r>
      <w:r>
        <w:t xml:space="preserve">,</w:t>
      </w:r>
      <w:r>
        <w:t xml:space="preserve"> </w:t>
      </w:r>
      <w:r>
        <w:rPr>
          <w:i/>
        </w:rPr>
        <w:t xml:space="preserve">27</w:t>
      </w:r>
      <w:r>
        <w:t xml:space="preserve">(3), e294–e298.</w:t>
      </w:r>
    </w:p>
    <w:bookmarkEnd w:id="39"/>
    <w:bookmarkStart w:id="41"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0">
        <w:r>
          <w:rPr>
            <w:rStyle w:val="Hyperlink"/>
          </w:rPr>
          <w:t xml:space="preserve">https://github.com/crsh/papaja</w:t>
        </w:r>
      </w:hyperlink>
    </w:p>
    <w:bookmarkEnd w:id="41"/>
    <w:bookmarkStart w:id="43"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2">
        <w:r>
          <w:rPr>
            <w:rStyle w:val="Hyperlink"/>
          </w:rPr>
          <w:t xml:space="preserve">https://CRAN.R-project.org/package=magrittr</w:t>
        </w:r>
      </w:hyperlink>
    </w:p>
    <w:bookmarkEnd w:id="43"/>
    <w:bookmarkStart w:id="44"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4"/>
    <w:bookmarkStart w:id="45" w:name="ref-caesens2014impact"/>
    <w:p>
      <w:pPr>
        <w:pStyle w:val="Literaturverzeichnis"/>
      </w:pPr>
      <w:r>
        <w:t xml:space="preserve">Caesens, G., Stinglhamber, F., &amp; Luypaert, G. (2014). The impact of work engagement and workaholism on well-being: The role of work-related social support.</w:t>
      </w:r>
      <w:r>
        <w:t xml:space="preserve"> </w:t>
      </w:r>
      <w:r>
        <w:rPr>
          <w:i/>
        </w:rPr>
        <w:t xml:space="preserve">Career Development International</w:t>
      </w:r>
      <w:r>
        <w:t xml:space="preserve">.</w:t>
      </w:r>
    </w:p>
    <w:bookmarkEnd w:id="45"/>
    <w:bookmarkStart w:id="47"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6">
        <w:r>
          <w:rPr>
            <w:rStyle w:val="Hyperlink"/>
          </w:rPr>
          <w:t xml:space="preserve">https://CRAN.R-project.org/package=semPlot</w:t>
        </w:r>
      </w:hyperlink>
    </w:p>
    <w:bookmarkEnd w:id="47"/>
    <w:bookmarkStart w:id="49"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8">
        <w:r>
          <w:rPr>
            <w:rStyle w:val="Hyperlink"/>
          </w:rPr>
          <w:t xml:space="preserve">https://CRAN.R-project.org/package=sem</w:t>
        </w:r>
      </w:hyperlink>
    </w:p>
    <w:bookmarkEnd w:id="49"/>
    <w:bookmarkStart w:id="51"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0">
        <w:r>
          <w:rPr>
            <w:rStyle w:val="Hyperlink"/>
          </w:rPr>
          <w:t xml:space="preserve">https://doi.org/10.1016/j.jvb.2020.103430</w:t>
        </w:r>
      </w:hyperlink>
    </w:p>
    <w:bookmarkEnd w:id="51"/>
    <w:bookmarkStart w:id="52" w:name="ref-girardi2019workaholism"/>
    <w:p>
      <w:pPr>
        <w:pStyle w:val="Literaturverzeichnis"/>
      </w:pPr>
      <w:r>
        <w:t xml:space="preserve">Girardi, D., De Carlo, A., Dal Corso, L., Andreassen, C. S., &amp; Falco, A. (2019). Is workaholism associated with inflammatory response? The moderating role of work engagement.</w:t>
      </w:r>
      <w:r>
        <w:t xml:space="preserve"> </w:t>
      </w:r>
      <w:r>
        <w:rPr>
          <w:i/>
        </w:rPr>
        <w:t xml:space="preserve">TPM-Testing, Psychometrics, Methodology in Applied Psychology</w:t>
      </w:r>
      <w:r>
        <w:t xml:space="preserve">.</w:t>
      </w:r>
    </w:p>
    <w:bookmarkEnd w:id="52"/>
    <w:bookmarkStart w:id="53" w:name="ref-hanaysha2016testing"/>
    <w:p>
      <w:pPr>
        <w:pStyle w:val="Literaturverzeichnis"/>
      </w:pPr>
      <w:r>
        <w:t xml:space="preserve">Hanaysha, J. (2016). Testing the effects of employee engagement, work environment, and organizational learning on organizational commitment.</w:t>
      </w:r>
      <w:r>
        <w:t xml:space="preserve"> </w:t>
      </w:r>
      <w:r>
        <w:rPr>
          <w:i/>
        </w:rPr>
        <w:t xml:space="preserve">Procedia-Social and Behavioral Sciences</w:t>
      </w:r>
      <w:r>
        <w:t xml:space="preserve">,</w:t>
      </w:r>
      <w:r>
        <w:t xml:space="preserve"> </w:t>
      </w:r>
      <w:r>
        <w:rPr>
          <w:i/>
        </w:rPr>
        <w:t xml:space="preserve">229</w:t>
      </w:r>
      <w:r>
        <w:t xml:space="preserve">, 289–297.</w:t>
      </w:r>
    </w:p>
    <w:bookmarkEnd w:id="53"/>
    <w:bookmarkStart w:id="55"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4">
        <w:r>
          <w:rPr>
            <w:rStyle w:val="Hyperlink"/>
          </w:rPr>
          <w:t xml:space="preserve">https://CRAN.R-project.org/package=purrr</w:t>
        </w:r>
      </w:hyperlink>
    </w:p>
    <w:bookmarkEnd w:id="55"/>
    <w:bookmarkStart w:id="56"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6"/>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8"/>
    <w:bookmarkStart w:id="59"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9"/>
    <w:bookmarkStart w:id="61"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3" w:name="ref-kulikowski_we_2017"/>
    <w:p>
      <w:pPr>
        <w:pStyle w:val="Literaturverzeichnis"/>
      </w:pPr>
      <w:r>
        <w:t xml:space="preserve">Kulikowski, K. (2017a).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2">
        <w:r>
          <w:rPr>
            <w:rStyle w:val="Hyperlink"/>
          </w:rPr>
          <w:t xml:space="preserve">https://doi.org/10.13075/ijomeh.1896.00947</w:t>
        </w:r>
      </w:hyperlink>
    </w:p>
    <w:bookmarkEnd w:id="63"/>
    <w:bookmarkStart w:id="64" w:name="ref-kulikowski2017we"/>
    <w:p>
      <w:pPr>
        <w:pStyle w:val="Literaturverzeichnis"/>
      </w:pPr>
      <w:r>
        <w:t xml:space="preserve">Kulikowski, K. (2017b).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4"/>
    <w:bookmarkStart w:id="66"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ich2010job"/>
    <w:p>
      <w:pPr>
        <w:pStyle w:val="Literaturverzeichnis"/>
      </w:pPr>
      <w:r>
        <w:t xml:space="preserve">Rich, B. L., Lepine, J. A., &amp; Crawford, E. R. (2010). Job engagement: Antecedents and effects on job performance.</w:t>
      </w:r>
      <w:r>
        <w:t xml:space="preserve"> </w:t>
      </w:r>
      <w:r>
        <w:rPr>
          <w:i/>
        </w:rPr>
        <w:t xml:space="preserve">Academy of Management Journal</w:t>
      </w:r>
      <w:r>
        <w:t xml:space="preserve">,</w:t>
      </w:r>
      <w:r>
        <w:t xml:space="preserve"> </w:t>
      </w:r>
      <w:r>
        <w:rPr>
          <w:i/>
        </w:rPr>
        <w:t xml:space="preserve">53</w:t>
      </w:r>
      <w:r>
        <w:t xml:space="preserve">(3), 617–635.</w:t>
      </w:r>
    </w:p>
    <w:bookmarkEnd w:id="71"/>
    <w:bookmarkStart w:id="72"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2"/>
    <w:bookmarkStart w:id="74"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3">
        <w:r>
          <w:rPr>
            <w:rStyle w:val="Hyperlink"/>
          </w:rPr>
          <w:t xml:space="preserve">https://www.jstatsoft.org/v48/i02/</w:t>
        </w:r>
      </w:hyperlink>
    </w:p>
    <w:bookmarkEnd w:id="74"/>
    <w:bookmarkStart w:id="75" w:name="ref-schaufeli2013engagement"/>
    <w:p>
      <w:pPr>
        <w:pStyle w:val="Literaturverzeichnis"/>
      </w:pPr>
      <w:r>
        <w:t xml:space="preserve">Schaufeli, W. B. (2013). What is engagement? In</w:t>
      </w:r>
      <w:r>
        <w:t xml:space="preserve"> </w:t>
      </w:r>
      <w:r>
        <w:rPr>
          <w:i/>
        </w:rPr>
        <w:t xml:space="preserve">Employee engagement in theory and practice</w:t>
      </w:r>
      <w:r>
        <w:t xml:space="preserve"> </w:t>
      </w:r>
      <w:r>
        <w:t xml:space="preserve">(pp. 29–49). Routledge.</w:t>
      </w:r>
    </w:p>
    <w:bookmarkEnd w:id="75"/>
    <w:bookmarkStart w:id="76" w:name="ref-schaufeli2003utrecht"/>
    <w:p>
      <w:pPr>
        <w:pStyle w:val="Literaturverzeichnis"/>
      </w:pPr>
      <w:r>
        <w:t xml:space="preserve">Schaufeli, W. B., &amp; Bakker, A. B. (2003). Utrecht work engagement scale: Preliminary manual.</w:t>
      </w:r>
      <w:r>
        <w:t xml:space="preserve"> </w:t>
      </w:r>
      <w:r>
        <w:rPr>
          <w:i/>
        </w:rPr>
        <w:t xml:space="preserve">Occupational Health Psychology Unit, Utrecht University, Utrecht</w:t>
      </w:r>
      <w:r>
        <w:t xml:space="preserve">,</w:t>
      </w:r>
      <w:r>
        <w:t xml:space="preserve"> </w:t>
      </w:r>
      <w:r>
        <w:rPr>
          <w:i/>
        </w:rPr>
        <w:t xml:space="preserve">26</w:t>
      </w:r>
      <w:r>
        <w:t xml:space="preserve">(1), 64–100.</w:t>
      </w:r>
    </w:p>
    <w:bookmarkEnd w:id="76"/>
    <w:bookmarkStart w:id="77"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7"/>
    <w:bookmarkStart w:id="78"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8"/>
    <w:bookmarkStart w:id="79"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9"/>
    <w:bookmarkStart w:id="81"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80">
        <w:r>
          <w:rPr>
            <w:rStyle w:val="Hyperlink"/>
          </w:rPr>
          <w:t xml:space="preserve">https://CRAN.R-project.org/package=apaTables</w:t>
        </w:r>
      </w:hyperlink>
    </w:p>
    <w:bookmarkEnd w:id="81"/>
    <w:bookmarkStart w:id="82" w:name="ref-trogolo2020work"/>
    <w:p>
      <w:pPr>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
        </w:rPr>
        <w:t xml:space="preserve">European Journal of Work and Organizational Psychology</w:t>
      </w:r>
      <w:r>
        <w:t xml:space="preserve">,</w:t>
      </w:r>
      <w:r>
        <w:t xml:space="preserve"> </w:t>
      </w:r>
      <w:r>
        <w:rPr>
          <w:i/>
        </w:rPr>
        <w:t xml:space="preserve">29</w:t>
      </w:r>
      <w:r>
        <w:t xml:space="preserve">(6), 922–937.</w:t>
      </w:r>
    </w:p>
    <w:bookmarkEnd w:id="82"/>
    <w:bookmarkStart w:id="84"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3">
        <w:r>
          <w:rPr>
            <w:rStyle w:val="Hyperlink"/>
          </w:rPr>
          <w:t xml:space="preserve">https://ggplot2.tidyverse.org</w:t>
        </w:r>
      </w:hyperlink>
    </w:p>
    <w:bookmarkEnd w:id="84"/>
    <w:bookmarkStart w:id="86"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5">
        <w:r>
          <w:rPr>
            <w:rStyle w:val="Hyperlink"/>
          </w:rPr>
          <w:t xml:space="preserve">https://CRAN.R-project.org/package=stringr</w:t>
        </w:r>
      </w:hyperlink>
    </w:p>
    <w:bookmarkEnd w:id="86"/>
    <w:bookmarkStart w:id="88"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7">
        <w:r>
          <w:rPr>
            <w:rStyle w:val="Hyperlink"/>
          </w:rPr>
          <w:t xml:space="preserve">https://CRAN.R-project.org/package=forcats</w:t>
        </w:r>
      </w:hyperlink>
    </w:p>
    <w:bookmarkEnd w:id="88"/>
    <w:bookmarkStart w:id="90" w:name="ref-R-tidyr"/>
    <w:p>
      <w:pPr>
        <w:pStyle w:val="Literaturverzeichnis"/>
      </w:pPr>
      <w:r>
        <w:t xml:space="preserve">Wickham, H. (2021b).</w:t>
      </w:r>
      <w:r>
        <w:t xml:space="preserve"> </w:t>
      </w:r>
      <w:r>
        <w:rPr>
          <w:i/>
        </w:rPr>
        <w:t xml:space="preserve">Tidyr: Tidy messy data</w:t>
      </w:r>
      <w:r>
        <w:t xml:space="preserve">.</w:t>
      </w:r>
      <w:r>
        <w:t xml:space="preserve"> </w:t>
      </w:r>
      <w:hyperlink r:id="rId89">
        <w:r>
          <w:rPr>
            <w:rStyle w:val="Hyperlink"/>
          </w:rPr>
          <w:t xml:space="preserve">https://CRAN.R-project.org/package=tidyr</w:t>
        </w:r>
      </w:hyperlink>
    </w:p>
    <w:bookmarkEnd w:id="90"/>
    <w:bookmarkStart w:id="9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91">
        <w:r>
          <w:rPr>
            <w:rStyle w:val="Hyperlink"/>
          </w:rPr>
          <w:t xml:space="preserve">https://doi.org/10.21105/joss.01686</w:t>
        </w:r>
      </w:hyperlink>
    </w:p>
    <w:bookmarkEnd w:id="92"/>
    <w:bookmarkStart w:id="94"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5">
        <w:r>
          <w:rPr>
            <w:rStyle w:val="Hyperlink"/>
          </w:rPr>
          <w:t xml:space="preserve">https://CRAN.R-project.org/package=readr</w:t>
        </w:r>
      </w:hyperlink>
    </w:p>
    <w:bookmarkEnd w:id="96"/>
    <w:bookmarkStart w:id="98"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7">
        <w:r>
          <w:rPr>
            <w:rStyle w:val="Hyperlink"/>
          </w:rPr>
          <w:t xml:space="preserve">https://doi.org/10.3389/fpsyg.2019.02771</w:t>
        </w:r>
      </w:hyperlink>
    </w:p>
    <w:bookmarkEnd w:id="98"/>
    <w:bookmarkStart w:id="100"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9">
        <w:r>
          <w:rPr>
            <w:rStyle w:val="Hyperlink"/>
          </w:rPr>
          <w:t xml:space="preserve">https://CRAN.R-project.org/package=DT</w:t>
        </w:r>
      </w:hyperlink>
    </w:p>
    <w:bookmarkEnd w:id="100"/>
    <w:bookmarkStart w:id="102"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101">
        <w:r>
          <w:rPr>
            <w:rStyle w:val="Hyperlink"/>
          </w:rPr>
          <w:t xml:space="preserve">https://CRAN.R-project.org/package=kableExtra</w:t>
        </w:r>
      </w:hyperlink>
    </w:p>
    <w:bookmarkEnd w:id="102"/>
    <w:bookmarkEnd w:id="103"/>
    <w:bookmarkEnd w:id="10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99" Target="https://CRAN.R-project.org/package=DT" TargetMode="External" /><Relationship Type="http://schemas.openxmlformats.org/officeDocument/2006/relationships/hyperlink" Id="rId80" Target="https://CRAN.R-project.org/package=apaTables" TargetMode="External" /><Relationship Type="http://schemas.openxmlformats.org/officeDocument/2006/relationships/hyperlink" Id="rId93"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101"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4"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5"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91" Target="https://doi.org/10.21105/joss.01686" TargetMode="External" /><Relationship Type="http://schemas.openxmlformats.org/officeDocument/2006/relationships/hyperlink" Id="rId97" Target="https://doi.org/10.3389/fpsyg.2019.02771" TargetMode="External" /><Relationship Type="http://schemas.openxmlformats.org/officeDocument/2006/relationships/hyperlink" Id="rId83"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9" Target="https://CRAN.R-project.org/package=DT" TargetMode="External" /><Relationship Type="http://schemas.openxmlformats.org/officeDocument/2006/relationships/hyperlink" Id="rId80" Target="https://CRAN.R-project.org/package=apaTables" TargetMode="External" /><Relationship Type="http://schemas.openxmlformats.org/officeDocument/2006/relationships/hyperlink" Id="rId93"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101"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4"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5"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91" Target="https://doi.org/10.21105/joss.01686" TargetMode="External" /><Relationship Type="http://schemas.openxmlformats.org/officeDocument/2006/relationships/hyperlink" Id="rId97" Target="https://doi.org/10.3389/fpsyg.2019.02771" TargetMode="External" /><Relationship Type="http://schemas.openxmlformats.org/officeDocument/2006/relationships/hyperlink" Id="rId83"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Intended Bifactor Engagement Measure</dc:title>
  <dc:creator/>
  <cp:keywords/>
  <dcterms:created xsi:type="dcterms:W3CDTF">2022-02-15T12:33:49Z</dcterms:created>
  <dcterms:modified xsi:type="dcterms:W3CDTF">2022-02-15T12:33:49Z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