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1" w:name="introduction"/>
    <w:p>
      <w:pPr>
        <w:pStyle w:val="berschrift1"/>
      </w:pPr>
      <w:r>
        <w:rPr>
          <w:rStyle w:val="SectionNumber"/>
        </w:rPr>
        <w:t xml:space="preserve">1</w:t>
      </w:r>
      <w:r>
        <w:tab/>
      </w:r>
      <w:r>
        <w:t xml:space="preserve">Introduction</w:t>
      </w:r>
    </w:p>
    <w:p>
      <w:pPr>
        <w:pStyle w:val="FirstParagraph"/>
      </w:pPr>
      <w:r>
        <w:t xml:space="preserve">The term engagement within the context of work emerged in organizational psychology and business literature in the early 90’s (@</w:t>
      </w:r>
      <w:r>
        <w:t xml:space="preserve">Kahn (1990)</w:t>
      </w:r>
      <w:r>
        <w:t xml:space="preserve">).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t>
      </w:r>
      <w:r>
        <w:t xml:space="preserve">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 Based on the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There is a large body of evidence supporting the relationships between work engagement and organizational outcomes, including those which are performance based (Simpson, 2008).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models"/>
    <w:p>
      <w:pPr>
        <w:pStyle w:val="berschrift1"/>
      </w:pPr>
      <w:r>
        <w:rPr>
          <w:rStyle w:val="SectionNumber"/>
        </w:rPr>
        <w:t xml:space="preserve">2</w:t>
      </w:r>
      <w:r>
        <w:tab/>
      </w:r>
      <w:r>
        <w:t xml:space="preserve">Models</w:t>
      </w:r>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 (</w:t>
      </w:r>
      <w:r>
        <w:t xml:space="preserve">Willmer et al. (2019)</w:t>
      </w:r>
      <w:r>
        <w:t xml:space="preserve">). One of the main arguments being that the three subscales; vigor, dedication and absorption are closely correlated with each other, making it hard to argue that the three-factor structure is better than the single factor structure to measure work engagement (</w:t>
      </w:r>
      <w:r>
        <w:t xml:space="preserve">Kulikowski (2017a)</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r>
        <w:t xml:space="preserve"> </w:t>
      </w: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w:t>
      </w:r>
      <w:r>
        <w:t xml:space="preserve">Kaiser and Wilson (2019)</w:t>
      </w:r>
      <w:r>
        <w:t xml:space="preserve">). Even though it is not specifically a work engagement model, the tripartite model has helped researchers define and deconstruct attitudes to gain a better understanding of individuals’ responses towards specific attitude objects (</w:t>
      </w:r>
      <w:r>
        <w:t xml:space="preserve">Kaiser and Wilson (2019)</w:t>
      </w:r>
      <w:r>
        <w:t xml:space="preserve">).</w:t>
      </w:r>
    </w:p>
    <w:bookmarkEnd w:id="22"/>
    <w:bookmarkStart w:id="23" w:name="bifactor-structures"/>
    <w:p>
      <w:pPr>
        <w:pStyle w:val="berschrift1"/>
      </w:pPr>
      <w:r>
        <w:rPr>
          <w:rStyle w:val="SectionNumber"/>
        </w:rPr>
        <w:t xml:space="preserve">3</w:t>
      </w:r>
      <w:r>
        <w:tab/>
      </w:r>
      <w:r>
        <w:t xml:space="preserve">Bifactor structures</w:t>
      </w:r>
    </w:p>
    <w:p>
      <w:pPr>
        <w:pStyle w:val="FirstParagraph"/>
      </w:pPr>
      <w:r>
        <w:t xml:space="preserve">Bifactor analysis is part of the exploratory factor analytic domain, and is used to account for variance in observed variables from the effects of latent or general factors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 (</w:t>
      </w:r>
      <w:r>
        <w:t xml:space="preserve">Reise (2012)</w:t>
      </w:r>
      <w:r>
        <w:t xml:space="preserve">). Additionally, these models can be classified as constrained hierarchical bifactor models and unconstrained non-hierarchical bifactor models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effect on each variable observed. In this case, each general factor from both substantive and attitudinal models have non-mediated but overlapping effects on each variable.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2017b)</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bookmarkEnd w:id="23"/>
    <w:bookmarkStart w:id="33" w:name="methods"/>
    <w:p>
      <w:pPr>
        <w:pStyle w:val="berschrift1"/>
      </w:pPr>
      <w:r>
        <w:rPr>
          <w:rStyle w:val="SectionNumber"/>
        </w:rPr>
        <w:t xml:space="preserve">4</w:t>
      </w:r>
      <w:r>
        <w:tab/>
      </w:r>
      <w:r>
        <w:t xml:space="preserve">Methods</w:t>
      </w:r>
    </w:p>
    <w:p>
      <w:pPr>
        <w:pStyle w:val="FirstParagraph"/>
      </w:pPr>
      <w:r>
        <w:t xml:space="preserve">Choice of focus on BIC versus AIC discussed in</w:t>
      </w:r>
      <w:r>
        <w:t xml:space="preserve"> </w:t>
      </w:r>
      <w:r>
        <w:t xml:space="preserve">Dziak et al. (2020)</w:t>
      </w:r>
      <w:r>
        <w:t xml:space="preserve">.</w:t>
      </w:r>
    </w:p>
    <w:bookmarkStart w:id="26" w:name="participants"/>
    <w:p>
      <w:pPr>
        <w:pStyle w:val="berschrift2"/>
      </w:pPr>
      <w:r>
        <w:rPr>
          <w:rStyle w:val="SectionNumber"/>
        </w:rPr>
        <w:t xml:space="preserve">4.1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w:t>
      </w:r>
    </w:p>
    <w:p>
      <w:pPr>
        <w:pStyle w:val="Textkrper"/>
      </w:pPr>
      <w:r>
        <w:t xml:space="preserve">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Professional category</w:t>
            </w:r>
          </w:p>
        </w:tc>
        <w:tc>
          <w:tcPr>
            <w:tcBorders>
              <w:bottom w:val="single"/>
            </w:tcBorders>
            <w:vAlign w:val="bottom"/>
          </w:tcPr>
          <w:p>
            <w:pPr>
              <w:pStyle w:val="Compact"/>
              <w:jc w:val="right"/>
            </w:pPr>
            <w:r>
              <w:t xml:space="preserve">Count</w:t>
            </w:r>
          </w:p>
        </w:tc>
      </w:tr>
      <w:tr>
        <w:tc>
          <w:p>
            <w:pPr>
              <w:pStyle w:val="Compact"/>
              <w:jc w:val="left"/>
            </w:pPr>
            <w:r>
              <w:t xml:space="preserve">Clerical Support Workers</w:t>
            </w:r>
          </w:p>
        </w:tc>
        <w:tc>
          <w:p>
            <w:pPr>
              <w:pStyle w:val="Compact"/>
              <w:jc w:val="right"/>
            </w:pPr>
            <w:r>
              <w:t xml:space="preserve">4</w:t>
            </w:r>
          </w:p>
        </w:tc>
      </w:tr>
      <w:tr>
        <w:tc>
          <w:p>
            <w:pPr>
              <w:pStyle w:val="Compact"/>
              <w:jc w:val="left"/>
            </w:pPr>
            <w:r>
              <w:t xml:space="preserve">Craft and related trades workers</w:t>
            </w:r>
          </w:p>
        </w:tc>
        <w:tc>
          <w:p>
            <w:pPr>
              <w:pStyle w:val="Compact"/>
              <w:jc w:val="right"/>
            </w:pPr>
            <w:r>
              <w:t xml:space="preserve">1</w:t>
            </w:r>
          </w:p>
        </w:tc>
      </w:tr>
      <w:tr>
        <w:tc>
          <w:p>
            <w:pPr>
              <w:pStyle w:val="Compact"/>
              <w:jc w:val="left"/>
            </w:pPr>
            <w:r>
              <w:t xml:space="preserve">Managers</w:t>
            </w:r>
          </w:p>
        </w:tc>
        <w:tc>
          <w:p>
            <w:pPr>
              <w:pStyle w:val="Compact"/>
              <w:jc w:val="right"/>
            </w:pPr>
            <w:r>
              <w:t xml:space="preserve">51</w:t>
            </w:r>
          </w:p>
        </w:tc>
      </w:tr>
      <w:tr>
        <w:tc>
          <w:p>
            <w:pPr>
              <w:pStyle w:val="Compact"/>
              <w:jc w:val="left"/>
            </w:pPr>
            <w:r>
              <w:t xml:space="preserve">Plant and machine operators, and assemblers</w:t>
            </w:r>
          </w:p>
        </w:tc>
        <w:tc>
          <w:p>
            <w:pPr>
              <w:pStyle w:val="Compact"/>
              <w:jc w:val="right"/>
            </w:pPr>
            <w:r>
              <w:t xml:space="preserve">3</w:t>
            </w:r>
          </w:p>
        </w:tc>
      </w:tr>
      <w:tr>
        <w:tc>
          <w:p>
            <w:pPr>
              <w:pStyle w:val="Compact"/>
              <w:jc w:val="left"/>
            </w:pPr>
            <w:r>
              <w:t xml:space="preserve">Professionals</w:t>
            </w:r>
          </w:p>
        </w:tc>
        <w:tc>
          <w:p>
            <w:pPr>
              <w:pStyle w:val="Compact"/>
              <w:jc w:val="right"/>
            </w:pPr>
            <w:r>
              <w:t xml:space="preserve">120</w:t>
            </w:r>
          </w:p>
        </w:tc>
      </w:tr>
      <w:tr>
        <w:tc>
          <w:p>
            <w:pPr>
              <w:pStyle w:val="Compact"/>
              <w:jc w:val="left"/>
            </w:pPr>
            <w:r>
              <w:t xml:space="preserve">Service and sales workers</w:t>
            </w:r>
          </w:p>
        </w:tc>
        <w:tc>
          <w:p>
            <w:pPr>
              <w:pStyle w:val="Compact"/>
              <w:jc w:val="right"/>
            </w:pPr>
            <w:r>
              <w:t xml:space="preserve">8</w:t>
            </w:r>
          </w:p>
        </w:tc>
      </w:tr>
      <w:tr>
        <w:tc>
          <w:p>
            <w:pPr>
              <w:pStyle w:val="Compact"/>
              <w:jc w:val="left"/>
            </w:pPr>
            <w:r>
              <w:t xml:space="preserve">Technicians and associate professionals</w:t>
            </w:r>
          </w:p>
        </w:tc>
        <w:tc>
          <w:p>
            <w:pPr>
              <w:pStyle w:val="Compact"/>
              <w:jc w:val="right"/>
            </w:pPr>
            <w:r>
              <w:t xml:space="preserve">62</w:t>
            </w:r>
          </w:p>
        </w:tc>
      </w:tr>
    </w:tbl>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See</w:t>
      </w:r>
      <w:r>
        <w:t xml:space="preserve"> </w:t>
      </w:r>
      <w:r>
        <w:t xml:space="preserve">??</w:t>
      </w:r>
      <w:r>
        <w:t xml:space="preserve">.</w:t>
      </w:r>
    </w:p>
    <w:bookmarkStart w:id="24" w:name="item-generation"/>
    <w:p>
      <w:pPr>
        <w:pStyle w:val="berschrift3"/>
      </w:pPr>
      <w:r>
        <w:rPr>
          <w:rStyle w:val="SectionNumber"/>
        </w:rPr>
        <w:t xml:space="preserve">4.1.1</w:t>
      </w:r>
      <w:r>
        <w:tab/>
      </w:r>
      <w:r>
        <w:t xml:space="preserve">Item generation.</w:t>
      </w:r>
    </w:p>
    <w:p>
      <w:pPr>
        <w:pStyle w:val="FirstParagraph"/>
      </w:pPr>
      <w:r>
        <w:t xml:space="preserve">We generated a set of 50 items for our engagement measure, with the ultimate goal of reducing them to a final set of 18. These items were generated according to a review of extant tripartite engagement measures, as well as</w:t>
      </w:r>
      <w:r>
        <w:t xml:space="preserve"> </w:t>
      </w:r>
      <w:r>
        <w:rPr>
          <w:i/>
        </w:rPr>
        <w:t xml:space="preserve">WHAT RESEARCH DID WE USE FOR ATTITUDINAL WORDING? WAS IT LITERALLY JUST</w:t>
      </w:r>
      <w:r>
        <w:rPr>
          <w:i/>
        </w:rPr>
        <w:t xml:space="preserve"> </w:t>
      </w:r>
      <w:r>
        <w:rPr>
          <w:i/>
        </w:rPr>
        <w:t xml:space="preserve">“</w:t>
      </w:r>
      <w:r>
        <w:rPr>
          <w:i/>
        </w:rPr>
        <w:t xml:space="preserve">I THINK,</w:t>
      </w:r>
      <w:r>
        <w:rPr>
          <w:i/>
        </w:rPr>
        <w:t xml:space="preserve">”</w:t>
      </w:r>
      <w:r>
        <w:rPr>
          <w:i/>
        </w:rPr>
        <w:t xml:space="preserve"> </w:t>
      </w:r>
      <w:r>
        <w:rPr>
          <w:i/>
        </w:rPr>
        <w:t xml:space="preserve">“</w:t>
      </w:r>
      <w:r>
        <w:rPr>
          <w:i/>
        </w:rPr>
        <w:t xml:space="preserve">I FEEL,</w:t>
      </w:r>
      <w:r>
        <w:rPr>
          <w:i/>
        </w:rPr>
        <w:t xml:space="preserve">”</w:t>
      </w:r>
      <w:r>
        <w:rPr>
          <w:i/>
        </w:rPr>
        <w:t xml:space="preserve"> </w:t>
      </w:r>
      <w:r>
        <w:rPr>
          <w:i/>
        </w:rPr>
        <w:t xml:space="preserve">“</w:t>
      </w:r>
      <w:r>
        <w:rPr>
          <w:i/>
        </w:rPr>
        <w:t xml:space="preserve">I DO?</w:t>
      </w:r>
      <w:r>
        <w:rPr>
          <w:i/>
        </w:rPr>
        <w:t xml:space="preserve">”</w:t>
      </w:r>
      <w:r>
        <w:t xml:space="preserve"> </w:t>
      </w:r>
      <w:r>
        <w:t xml:space="preserve">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p>
    <w:p>
      <w:pPr>
        <w:pStyle w:val="Textkrper"/>
      </w:pPr>
      <w:r>
        <w:t xml:space="preserve">Our 3x3 bifactor model produced nine pairs of dimensions (e.g., Vigor-Cognitive, Vigor-Affective, Vigor-Behavioral, etc.). With 36 initial items, this left four items per pair of substantive and attitudinal dimensions.</w:t>
      </w:r>
    </w:p>
    <w:bookmarkEnd w:id="24"/>
    <w:bookmarkStart w:id="25" w:name="X63f3b6ad8af3a322c625b6badad218eb1dd92f9"/>
    <w:p>
      <w:pPr>
        <w:pStyle w:val="berschrift3"/>
      </w:pPr>
      <w:r>
        <w:rPr>
          <w:rStyle w:val="SectionNumber"/>
        </w:rPr>
        <w:t xml:space="preserve">4.1.2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by at least five of seven raters were excluded from further analysis.</w:t>
      </w:r>
    </w:p>
    <w:p>
      <w:pPr>
        <w:pStyle w:val="Blocktext"/>
      </w:pPr>
      <w:r>
        <w:t xml:space="preserve">See table</w:t>
      </w:r>
      <w:r>
        <w:t xml:space="preserve"> </w:t>
      </w:r>
      <w:r>
        <w:rPr>
          <w:i/>
        </w:rPr>
        <w:t xml:space="preserve">X</w:t>
      </w:r>
      <w:r>
        <w:t xml:space="preserve"> </w:t>
      </w:r>
      <w:r>
        <w:t xml:space="preserve">for a full list of items and their respective dimensions.</w:t>
      </w:r>
    </w:p>
    <w:p>
      <w:pPr>
        <w:pStyle w:val="FirstParagraph"/>
      </w:pPr>
      <w:r>
        <w:t xml:space="preserve">Following item sorting, we further reviewed the wording of each item and eliminated all that, upon review, fell outside of the content domain (e.g. </w:t>
      </w:r>
      <w:r>
        <w:t xml:space="preserve">“</w:t>
      </w:r>
      <w:r>
        <w:t xml:space="preserve">I would rather work here than elsewhere</w:t>
      </w:r>
      <w:r>
        <w:t xml:space="preserve">”</w:t>
      </w:r>
      <w:r>
        <w:t xml:space="preserve">), eventually arriving at 36 candidate items.</w:t>
      </w:r>
    </w:p>
    <w:bookmarkEnd w:id="25"/>
    <w:bookmarkEnd w:id="26"/>
    <w:bookmarkStart w:id="31" w:name="procedure"/>
    <w:p>
      <w:pPr>
        <w:pStyle w:val="berschrift2"/>
      </w:pPr>
      <w:r>
        <w:rPr>
          <w:rStyle w:val="SectionNumber"/>
        </w:rPr>
        <w:t xml:space="preserve">4.2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7" w:name="corrected-item-total-correlations"/>
    <w:p>
      <w:pPr>
        <w:pStyle w:val="berschrift3"/>
      </w:pPr>
      <w:r>
        <w:rPr>
          <w:rStyle w:val="SectionNumber"/>
        </w:rPr>
        <w:t xml:space="preserve">4.2.1</w:t>
      </w:r>
      <w:r>
        <w:tab/>
      </w:r>
      <w:r>
        <w:t xml:space="preserve">Corrected item-total correlations.</w:t>
      </w:r>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7"/>
    <w:bookmarkStart w:id="29" w:name="cfa-modification-indices"/>
    <w:p>
      <w:pPr>
        <w:pStyle w:val="berschrift3"/>
      </w:pPr>
      <w:r>
        <w:rPr>
          <w:rStyle w:val="SectionNumber"/>
        </w:rPr>
        <w:t xml:space="preserve">4.2.2</w:t>
      </w:r>
      <w:r>
        <w:tab/>
      </w:r>
      <w:r>
        <w:t xml:space="preserve">CFA Modification Indices.</w:t>
      </w:r>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8"/>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Blocktext"/>
      </w:pPr>
      <w:r>
        <w:t xml:space="preserve">Actually it doesn’t matter that much with only 1 item deletion - probably go ahead and do a few before recheck modification indices</w:t>
      </w:r>
    </w:p>
    <w:bookmarkEnd w:id="29"/>
    <w:bookmarkStart w:id="30" w:name="single-factor-versus-bifactor-approaches"/>
    <w:p>
      <w:pPr>
        <w:pStyle w:val="berschrift3"/>
      </w:pPr>
      <w:r>
        <w:rPr>
          <w:rStyle w:val="SectionNumber"/>
        </w:rPr>
        <w:t xml:space="preserve">4.2.3</w:t>
      </w:r>
      <w:r>
        <w:tab/>
      </w:r>
      <w:r>
        <w:t xml:space="preserve">Single factor versus bifactor approaches.</w:t>
      </w:r>
    </w:p>
    <w:p>
      <w:pPr>
        <w:pStyle w:val="Blocktext"/>
      </w:pPr>
      <w:r>
        <w:t xml:space="preserve">Casey this is where you come in</w:t>
      </w:r>
    </w:p>
    <w:bookmarkEnd w:id="30"/>
    <w:bookmarkEnd w:id="31"/>
    <w:bookmarkStart w:id="32" w:name="data-analysis"/>
    <w:p>
      <w:pPr>
        <w:pStyle w:val="berschrift2"/>
      </w:pPr>
      <w:r>
        <w:rPr>
          <w:rStyle w:val="SectionNumber"/>
        </w:rPr>
        <w:t xml:space="preserve">4.3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bookmarkEnd w:id="32"/>
    <w:bookmarkEnd w:id="33"/>
    <w:bookmarkStart w:id="39" w:name="results"/>
    <w:p>
      <w:pPr>
        <w:pStyle w:val="berschrift1"/>
      </w:pPr>
      <w:r>
        <w:rPr>
          <w:rStyle w:val="SectionNumber"/>
        </w:rPr>
        <w:t xml:space="preserve">5</w:t>
      </w:r>
      <w:r>
        <w:tab/>
      </w:r>
      <w:r>
        <w:t xml:space="preserve">Results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7" w:name="final-scale-definitions"/>
    <w:p>
      <w:pPr>
        <w:pStyle w:val="berschrift2"/>
      </w:pPr>
      <w:r>
        <w:rPr>
          <w:rStyle w:val="SectionNumber"/>
        </w:rPr>
        <w:t xml:space="preserve">5.1</w:t>
      </w:r>
      <w:r>
        <w:tab/>
      </w:r>
      <w:r>
        <w:t xml:space="preserve">Final scale definitions</w:t>
      </w:r>
    </w:p>
    <w:bookmarkEnd w:id="37"/>
    <w:bookmarkStart w:id="38" w:name="study-2"/>
    <w:p>
      <w:pPr>
        <w:pStyle w:val="berschrift2"/>
      </w:pPr>
      <w:r>
        <w:rPr>
          <w:rStyle w:val="SectionNumber"/>
        </w:rPr>
        <w:t xml:space="preserve">5.2</w:t>
      </w:r>
      <w:r>
        <w:tab/>
      </w:r>
      <w:r>
        <w:t xml:space="preserve">Study 2</w:t>
      </w:r>
    </w:p>
    <w:p>
      <w:pPr>
        <w:pStyle w:val="FirstParagraph"/>
      </w:pPr>
      <w:r>
        <w:t xml:space="preserve">Construct validation was acccomplished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8"/>
    <w:bookmarkEnd w:id="39"/>
    <w:bookmarkStart w:id="40" w:name="discussion"/>
    <w:p>
      <w:pPr>
        <w:pStyle w:val="berschrift1"/>
      </w:pPr>
      <w:r>
        <w:rPr>
          <w:rStyle w:val="SectionNumber"/>
        </w:rPr>
        <w:t xml:space="preserve">6</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 Toward this end, we propose two similar scale definitions</w:t>
      </w:r>
    </w:p>
    <w:p>
      <w:pPr>
        <w:pStyle w:val="Textkrper"/>
      </w:pPr>
      <w:r>
        <w:t xml:space="preserve">Our next endeavor will be to establish convergent and discriminant validity of the scales.</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r>
        <w:t xml:space="preserve"> </w:t>
      </w:r>
      <w:r>
        <w:t xml:space="preserve">Secondly, we more generally advance the use of bifactor analysis as an alternative approach to testing and comparing structural models of constructs. Rather than</w:t>
      </w:r>
      <w:r>
        <w:t xml:space="preserve"> </w:t>
      </w: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40"/>
    <w:bookmarkStart w:id="101" w:name="references"/>
    <w:p>
      <w:pPr>
        <w:pStyle w:val="berschrift1"/>
      </w:pPr>
      <w:r>
        <w:rPr>
          <w:rStyle w:val="SectionNumber"/>
        </w:rPr>
        <w:t xml:space="preserve">7</w:t>
      </w:r>
      <w:r>
        <w:tab/>
      </w:r>
      <w:r>
        <w:t xml:space="preserve">References</w:t>
      </w:r>
    </w:p>
    <w:bookmarkStart w:id="100" w:name="refs"/>
    <w:bookmarkStart w:id="42"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1">
        <w:r>
          <w:rPr>
            <w:rStyle w:val="Hyperlink"/>
          </w:rPr>
          <w:t xml:space="preserve">https://github.com/crsh/papaja</w:t>
        </w:r>
      </w:hyperlink>
    </w:p>
    <w:bookmarkEnd w:id="42"/>
    <w:bookmarkStart w:id="44"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3">
        <w:r>
          <w:rPr>
            <w:rStyle w:val="Hyperlink"/>
          </w:rPr>
          <w:t xml:space="preserve">https://CRAN.R-project.org/package=magrittr</w:t>
        </w:r>
      </w:hyperlink>
    </w:p>
    <w:bookmarkEnd w:id="44"/>
    <w:bookmarkStart w:id="45"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5"/>
    <w:bookmarkStart w:id="46"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6"/>
    <w:bookmarkStart w:id="48"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7">
        <w:r>
          <w:rPr>
            <w:rStyle w:val="Hyperlink"/>
          </w:rPr>
          <w:t xml:space="preserve">https://CRAN.R-project.org/package=semPlot</w:t>
        </w:r>
      </w:hyperlink>
    </w:p>
    <w:bookmarkEnd w:id="48"/>
    <w:bookmarkStart w:id="50"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9">
        <w:r>
          <w:rPr>
            <w:rStyle w:val="Hyperlink"/>
          </w:rPr>
          <w:t xml:space="preserve">https://CRAN.R-project.org/package=sem</w:t>
        </w:r>
      </w:hyperlink>
    </w:p>
    <w:bookmarkEnd w:id="50"/>
    <w:bookmarkStart w:id="52"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1">
        <w:r>
          <w:rPr>
            <w:rStyle w:val="Hyperlink"/>
          </w:rPr>
          <w:t xml:space="preserve">https://doi.org/10.1016/j.jvb.2020.103430</w:t>
        </w:r>
      </w:hyperlink>
    </w:p>
    <w:bookmarkEnd w:id="52"/>
    <w:bookmarkStart w:id="54"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3">
        <w:r>
          <w:rPr>
            <w:rStyle w:val="Hyperlink"/>
          </w:rPr>
          <w:t xml:space="preserve">https://CRAN.R-project.org/package=purrr</w:t>
        </w:r>
      </w:hyperlink>
    </w:p>
    <w:bookmarkEnd w:id="54"/>
    <w:bookmarkStart w:id="55"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5"/>
    <w:bookmarkStart w:id="56"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6"/>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8"/>
    <w:bookmarkStart w:id="59"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9"/>
    <w:bookmarkStart w:id="61"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3" w:name="ref-kulikowski_we_2017"/>
    <w:p>
      <w:pPr>
        <w:pStyle w:val="Literaturverzeichnis"/>
      </w:pPr>
      <w:r>
        <w:t xml:space="preserve">Kulikowski, K. (2017a).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2">
        <w:r>
          <w:rPr>
            <w:rStyle w:val="Hyperlink"/>
          </w:rPr>
          <w:t xml:space="preserve">https://doi.org/10.13075/ijomeh.1896.00947</w:t>
        </w:r>
      </w:hyperlink>
    </w:p>
    <w:bookmarkEnd w:id="63"/>
    <w:bookmarkStart w:id="64" w:name="ref-kulikowski2017we"/>
    <w:p>
      <w:pPr>
        <w:pStyle w:val="Literaturverzeichnis"/>
      </w:pPr>
      <w:r>
        <w:t xml:space="preserve">Kulikowski, K. (2017b).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4"/>
    <w:bookmarkStart w:id="66"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1"/>
    <w:bookmarkStart w:id="7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2">
        <w:r>
          <w:rPr>
            <w:rStyle w:val="Hyperlink"/>
          </w:rPr>
          <w:t xml:space="preserve">https://www.jstatsoft.org/v48/i02/</w:t>
        </w:r>
      </w:hyperlink>
    </w:p>
    <w:bookmarkEnd w:id="73"/>
    <w:bookmarkStart w:id="74"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74"/>
    <w:bookmarkStart w:id="75"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5"/>
    <w:bookmarkStart w:id="76"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6"/>
    <w:bookmarkStart w:id="77"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7"/>
    <w:bookmarkStart w:id="79"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8">
        <w:r>
          <w:rPr>
            <w:rStyle w:val="Hyperlink"/>
          </w:rPr>
          <w:t xml:space="preserve">https://CRAN.R-project.org/package=apaTables</w:t>
        </w:r>
      </w:hyperlink>
    </w:p>
    <w:bookmarkEnd w:id="79"/>
    <w:bookmarkStart w:id="81"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0">
        <w:r>
          <w:rPr>
            <w:rStyle w:val="Hyperlink"/>
          </w:rPr>
          <w:t xml:space="preserve">https://ggplot2.tidyverse.org</w:t>
        </w:r>
      </w:hyperlink>
    </w:p>
    <w:bookmarkEnd w:id="81"/>
    <w:bookmarkStart w:id="83"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2">
        <w:r>
          <w:rPr>
            <w:rStyle w:val="Hyperlink"/>
          </w:rPr>
          <w:t xml:space="preserve">https://CRAN.R-project.org/package=stringr</w:t>
        </w:r>
      </w:hyperlink>
    </w:p>
    <w:bookmarkEnd w:id="83"/>
    <w:bookmarkStart w:id="85"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4">
        <w:r>
          <w:rPr>
            <w:rStyle w:val="Hyperlink"/>
          </w:rPr>
          <w:t xml:space="preserve">https://CRAN.R-project.org/package=forcats</w:t>
        </w:r>
      </w:hyperlink>
    </w:p>
    <w:bookmarkEnd w:id="85"/>
    <w:bookmarkStart w:id="87" w:name="ref-R-tidyr"/>
    <w:p>
      <w:pPr>
        <w:pStyle w:val="Literaturverzeichnis"/>
      </w:pPr>
      <w:r>
        <w:t xml:space="preserve">Wickham, H. (2021b).</w:t>
      </w:r>
      <w:r>
        <w:t xml:space="preserve"> </w:t>
      </w:r>
      <w:r>
        <w:rPr>
          <w:i/>
        </w:rPr>
        <w:t xml:space="preserve">Tidyr: Tidy messy data</w:t>
      </w:r>
      <w:r>
        <w:t xml:space="preserve">.</w:t>
      </w:r>
      <w:r>
        <w:t xml:space="preserve"> </w:t>
      </w:r>
      <w:hyperlink r:id="rId86">
        <w:r>
          <w:rPr>
            <w:rStyle w:val="Hyperlink"/>
          </w:rPr>
          <w:t xml:space="preserve">https://CRAN.R-project.org/package=tidyr</w:t>
        </w:r>
      </w:hyperlink>
    </w:p>
    <w:bookmarkEnd w:id="87"/>
    <w:bookmarkStart w:id="89"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8">
        <w:r>
          <w:rPr>
            <w:rStyle w:val="Hyperlink"/>
          </w:rPr>
          <w:t xml:space="preserve">https://doi.org/10.21105/joss.01686</w:t>
        </w:r>
      </w:hyperlink>
    </w:p>
    <w:bookmarkEnd w:id="89"/>
    <w:bookmarkStart w:id="91"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0">
        <w:r>
          <w:rPr>
            <w:rStyle w:val="Hyperlink"/>
          </w:rPr>
          <w:t xml:space="preserve">https://CRAN.R-project.org/package=dplyr</w:t>
        </w:r>
      </w:hyperlink>
    </w:p>
    <w:bookmarkEnd w:id="91"/>
    <w:bookmarkStart w:id="93"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2">
        <w:r>
          <w:rPr>
            <w:rStyle w:val="Hyperlink"/>
          </w:rPr>
          <w:t xml:space="preserve">https://CRAN.R-project.org/package=readr</w:t>
        </w:r>
      </w:hyperlink>
    </w:p>
    <w:bookmarkEnd w:id="93"/>
    <w:bookmarkStart w:id="95"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4">
        <w:r>
          <w:rPr>
            <w:rStyle w:val="Hyperlink"/>
          </w:rPr>
          <w:t xml:space="preserve">https://doi.org/10.3389/fpsyg.2019.02771</w:t>
        </w:r>
      </w:hyperlink>
    </w:p>
    <w:bookmarkEnd w:id="95"/>
    <w:bookmarkStart w:id="97"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6">
        <w:r>
          <w:rPr>
            <w:rStyle w:val="Hyperlink"/>
          </w:rPr>
          <w:t xml:space="preserve">https://CRAN.R-project.org/package=DT</w:t>
        </w:r>
      </w:hyperlink>
    </w:p>
    <w:bookmarkEnd w:id="97"/>
    <w:bookmarkStart w:id="99"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8">
        <w:r>
          <w:rPr>
            <w:rStyle w:val="Hyperlink"/>
          </w:rPr>
          <w:t xml:space="preserve">https://CRAN.R-project.org/package=kableExtra</w:t>
        </w:r>
      </w:hyperlink>
    </w:p>
    <w:bookmarkEnd w:id="99"/>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2021-10-06T17:10:26Z</dcterms:created>
  <dcterms:modified xsi:type="dcterms:W3CDTF">2021-10-06T17:10:26Z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