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FA5CB6" w14:textId="412C259F" w:rsidR="008B0937" w:rsidRPr="008B0937" w:rsidRDefault="008B0937" w:rsidP="008B0937">
      <w:pPr>
        <w:spacing w:line="256" w:lineRule="auto"/>
        <w:rPr>
          <w:rFonts w:eastAsia="Times New Roman" w:cs="Times New Roman"/>
        </w:rPr>
      </w:pPr>
      <w:r w:rsidRPr="008B0937">
        <w:rPr>
          <w:rFonts w:eastAsia="Times New Roman" w:cs="Times New Roman"/>
          <w:b/>
          <w:bCs/>
          <w:sz w:val="32"/>
          <w:szCs w:val="32"/>
        </w:rPr>
        <w:t>DESCRIPTION</w:t>
      </w:r>
      <w:r w:rsidR="00F30AEA">
        <w:rPr>
          <w:rFonts w:eastAsia="Times New Roman" w:cs="Times New Roman"/>
          <w:b/>
          <w:bCs/>
          <w:sz w:val="32"/>
          <w:szCs w:val="32"/>
        </w:rPr>
        <w:t xml:space="preserve"> / SUMMARY</w:t>
      </w:r>
    </w:p>
    <w:p w14:paraId="3CC37F25" w14:textId="5B09E06E" w:rsidR="008B0937" w:rsidRPr="008B0937" w:rsidRDefault="008B0937" w:rsidP="008B0937">
      <w:pPr>
        <w:spacing w:line="256" w:lineRule="auto"/>
        <w:rPr>
          <w:rFonts w:eastAsia="Times New Roman" w:cs="Times New Roman"/>
        </w:rPr>
      </w:pPr>
      <w:r w:rsidRPr="008B0937">
        <w:rPr>
          <w:rFonts w:eastAsia="Times New Roman" w:cs="Times New Roman"/>
        </w:rPr>
        <w:t>Evaluated if systemic bias exists when an arbitrator de</w:t>
      </w:r>
      <w:r w:rsidR="0049463D">
        <w:rPr>
          <w:rFonts w:eastAsia="Times New Roman" w:cs="Times New Roman"/>
        </w:rPr>
        <w:t>termines</w:t>
      </w:r>
      <w:r w:rsidRPr="008B0937">
        <w:rPr>
          <w:rFonts w:eastAsia="Times New Roman" w:cs="Times New Roman"/>
        </w:rPr>
        <w:t xml:space="preserve"> to overturn or uphold an </w:t>
      </w:r>
      <w:r w:rsidR="0049463D">
        <w:rPr>
          <w:rFonts w:eastAsia="Times New Roman" w:cs="Times New Roman"/>
        </w:rPr>
        <w:t>insurer’s</w:t>
      </w:r>
      <w:r w:rsidRPr="008B0937">
        <w:rPr>
          <w:rFonts w:eastAsia="Times New Roman" w:cs="Times New Roman"/>
        </w:rPr>
        <w:t xml:space="preserve"> rejection </w:t>
      </w:r>
      <w:r w:rsidR="0049463D">
        <w:rPr>
          <w:rFonts w:eastAsia="Times New Roman" w:cs="Times New Roman"/>
        </w:rPr>
        <w:t xml:space="preserve">of </w:t>
      </w:r>
      <w:r w:rsidRPr="008B0937">
        <w:rPr>
          <w:rFonts w:eastAsia="Times New Roman" w:cs="Times New Roman"/>
        </w:rPr>
        <w:t xml:space="preserve">coverage of a medical procedure or health treatment. To test for age bias, this project compares the likelihood of a child (10 years or younger) and </w:t>
      </w:r>
      <w:r w:rsidR="00D4545F">
        <w:rPr>
          <w:rFonts w:eastAsia="Times New Roman" w:cs="Times New Roman"/>
        </w:rPr>
        <w:t xml:space="preserve">older-aged </w:t>
      </w:r>
      <w:r w:rsidRPr="008B0937">
        <w:rPr>
          <w:rFonts w:eastAsia="Times New Roman" w:cs="Times New Roman"/>
        </w:rPr>
        <w:t>patient</w:t>
      </w:r>
      <w:r w:rsidR="00D4545F">
        <w:rPr>
          <w:rFonts w:eastAsia="Times New Roman" w:cs="Times New Roman"/>
        </w:rPr>
        <w:t>’</w:t>
      </w:r>
      <w:r w:rsidR="00F30AEA">
        <w:rPr>
          <w:rFonts w:eastAsia="Times New Roman" w:cs="Times New Roman"/>
        </w:rPr>
        <w:t>s</w:t>
      </w:r>
      <w:r w:rsidRPr="008B0937">
        <w:rPr>
          <w:rFonts w:eastAsia="Times New Roman" w:cs="Times New Roman"/>
        </w:rPr>
        <w:t xml:space="preserve"> denial</w:t>
      </w:r>
      <w:r w:rsidR="00D4545F">
        <w:rPr>
          <w:rFonts w:eastAsia="Times New Roman" w:cs="Times New Roman"/>
        </w:rPr>
        <w:t>s</w:t>
      </w:r>
      <w:r w:rsidRPr="008B0937">
        <w:rPr>
          <w:rFonts w:eastAsia="Times New Roman" w:cs="Times New Roman"/>
        </w:rPr>
        <w:t xml:space="preserve"> of service being overturned during an independent medical review (IMR) in California.</w:t>
      </w:r>
    </w:p>
    <w:p w14:paraId="32F17DCB" w14:textId="4ACF1444" w:rsidR="008B0937" w:rsidRPr="008B0937" w:rsidRDefault="008B0937" w:rsidP="008B0937">
      <w:pPr>
        <w:spacing w:line="256" w:lineRule="auto"/>
        <w:rPr>
          <w:rFonts w:eastAsia="Times New Roman" w:cs="Times New Roman"/>
        </w:rPr>
      </w:pPr>
      <w:r w:rsidRPr="008B0937">
        <w:rPr>
          <w:rFonts w:eastAsia="Times New Roman" w:cs="Times New Roman"/>
        </w:rPr>
        <w:t>Throughout this document, the term “overturn rate” will be used to represent the probability that an insurer’s denial of coverage is rep</w:t>
      </w:r>
      <w:r w:rsidR="00F30AEA">
        <w:rPr>
          <w:rFonts w:eastAsia="Times New Roman" w:cs="Times New Roman"/>
        </w:rPr>
        <w:t>eale</w:t>
      </w:r>
      <w:r w:rsidRPr="008B0937">
        <w:rPr>
          <w:rFonts w:eastAsia="Times New Roman" w:cs="Times New Roman"/>
        </w:rPr>
        <w:t>d during the IMR. Also, “other patient(s)” will represent patients/people who are not children, i.e. older than ten years of age.</w:t>
      </w:r>
    </w:p>
    <w:p w14:paraId="757395EE" w14:textId="77777777" w:rsidR="008B0937" w:rsidRPr="008B0937" w:rsidRDefault="008B0937" w:rsidP="008B0937">
      <w:pPr>
        <w:spacing w:line="256" w:lineRule="auto"/>
        <w:rPr>
          <w:rFonts w:eastAsia="Times New Roman" w:cs="Times New Roman"/>
        </w:rPr>
      </w:pPr>
      <w:r w:rsidRPr="008B0937">
        <w:rPr>
          <w:rFonts w:eastAsia="Times New Roman" w:cs="Times New Roman"/>
        </w:rPr>
        <w:t>The results of the hypothesis testing demonstrate that the probability that the children and other patient’s overturn rates are equal is 2.0%. As the null hypothesis – children and other patient’s overturn rates are equal – is rejected at a 98% confidence interval.</w:t>
      </w:r>
    </w:p>
    <w:p w14:paraId="3266A1C4" w14:textId="77777777" w:rsidR="008B0937" w:rsidRPr="008B0937" w:rsidRDefault="008B0937" w:rsidP="008B0937">
      <w:pPr>
        <w:spacing w:line="256" w:lineRule="auto"/>
        <w:rPr>
          <w:rFonts w:eastAsia="Times New Roman" w:cs="Times New Roman"/>
        </w:rPr>
      </w:pPr>
      <w:r w:rsidRPr="008B0937">
        <w:rPr>
          <w:rFonts w:eastAsia="Times New Roman" w:cs="Times New Roman"/>
        </w:rPr>
        <w:t> </w:t>
      </w:r>
    </w:p>
    <w:p w14:paraId="2658B299" w14:textId="77777777" w:rsidR="008B0937" w:rsidRPr="008B0937" w:rsidRDefault="008B0937" w:rsidP="008B0937">
      <w:pPr>
        <w:spacing w:line="256" w:lineRule="auto"/>
        <w:rPr>
          <w:rFonts w:eastAsia="Times New Roman" w:cs="Times New Roman"/>
        </w:rPr>
      </w:pPr>
      <w:r w:rsidRPr="008B0937">
        <w:rPr>
          <w:rFonts w:eastAsia="Times New Roman" w:cs="Times New Roman"/>
          <w:b/>
          <w:bCs/>
          <w:sz w:val="32"/>
          <w:szCs w:val="32"/>
        </w:rPr>
        <w:t>DATA</w:t>
      </w:r>
    </w:p>
    <w:p w14:paraId="33C85B9E" w14:textId="77777777" w:rsidR="008B0937" w:rsidRPr="008B0937" w:rsidRDefault="008B0937" w:rsidP="008B0937">
      <w:pPr>
        <w:spacing w:line="256" w:lineRule="auto"/>
        <w:rPr>
          <w:rFonts w:eastAsia="Times New Roman" w:cs="Times New Roman"/>
        </w:rPr>
      </w:pPr>
      <w:r w:rsidRPr="008B0937">
        <w:rPr>
          <w:rFonts w:eastAsia="Times New Roman" w:cs="Times New Roman"/>
        </w:rPr>
        <w:t xml:space="preserve">The data </w:t>
      </w:r>
      <w:r w:rsidRPr="008B0937">
        <w:rPr>
          <w:rFonts w:eastAsia="Times New Roman" w:cs="Times New Roman"/>
          <w:color w:val="3B3B3B"/>
        </w:rPr>
        <w:t>is from the California Department of Managed Health Care (DMHC). It contains over 28,000 decisions from IMRs administered by the DMHC since January 1, 2001. An IMR is an independent review of a denied, delayed, or modified health care service that the health plan has determined to be not medically necessary, experimental/investigational, or non-emergent/urgent. If the IMR is decided in an enrollee’s favor, the health plan must authorize the service or treatment requested.</w:t>
      </w:r>
      <w:r w:rsidRPr="008B0937">
        <w:rPr>
          <w:rFonts w:eastAsia="Times New Roman" w:cs="Times New Roman"/>
        </w:rPr>
        <w:t xml:space="preserve"> </w:t>
      </w:r>
    </w:p>
    <w:p w14:paraId="286F938B" w14:textId="77777777" w:rsidR="008B0937" w:rsidRPr="008B0937" w:rsidRDefault="008B0937" w:rsidP="008B0937">
      <w:pPr>
        <w:spacing w:line="256" w:lineRule="auto"/>
        <w:rPr>
          <w:rFonts w:eastAsia="Times New Roman" w:cs="Times New Roman"/>
        </w:rPr>
      </w:pPr>
      <w:r w:rsidRPr="008B0937">
        <w:rPr>
          <w:rFonts w:eastAsia="Times New Roman" w:cs="Times New Roman"/>
        </w:rPr>
        <w:t> </w:t>
      </w:r>
    </w:p>
    <w:p w14:paraId="5B7BF87D" w14:textId="77777777" w:rsidR="008B0937" w:rsidRPr="008B0937" w:rsidRDefault="008B0937" w:rsidP="008B0937">
      <w:pPr>
        <w:spacing w:line="256" w:lineRule="auto"/>
        <w:rPr>
          <w:rFonts w:eastAsia="Times New Roman" w:cs="Times New Roman"/>
        </w:rPr>
      </w:pPr>
      <w:r w:rsidRPr="008B0937">
        <w:rPr>
          <w:rFonts w:eastAsia="Times New Roman" w:cs="Times New Roman"/>
          <w:b/>
          <w:bCs/>
          <w:sz w:val="32"/>
          <w:szCs w:val="32"/>
        </w:rPr>
        <w:t>EDA</w:t>
      </w:r>
    </w:p>
    <w:p w14:paraId="3DF8A7B4" w14:textId="315DBA95" w:rsidR="008B0937" w:rsidRPr="008B0937" w:rsidRDefault="008B0937" w:rsidP="008B0937">
      <w:pPr>
        <w:spacing w:line="256" w:lineRule="auto"/>
        <w:rPr>
          <w:rFonts w:eastAsia="Times New Roman" w:cs="Times New Roman"/>
        </w:rPr>
      </w:pPr>
      <w:r w:rsidRPr="008B0937">
        <w:rPr>
          <w:rFonts w:eastAsia="Times New Roman" w:cs="Times New Roman"/>
        </w:rPr>
        <w:t>In the earlier years of the dataset, we see a gradual increase in the number of annual IMRs and the percentage of IMRs that resulted in an overturn decision is, more or less, constant. Meanwhile, starting in 2014, the number of annual IMRs begin to increase at a significantly greater rate than the one between 2002 and 2012. This increase in IMR is more than likely caused by the</w:t>
      </w:r>
      <w:r w:rsidR="00A801D6">
        <w:rPr>
          <w:rFonts w:eastAsia="Times New Roman" w:cs="Times New Roman"/>
        </w:rPr>
        <w:t xml:space="preserve"> increase in the</w:t>
      </w:r>
      <w:r w:rsidRPr="008B0937">
        <w:rPr>
          <w:rFonts w:eastAsia="Times New Roman" w:cs="Times New Roman"/>
        </w:rPr>
        <w:t xml:space="preserve"> number of</w:t>
      </w:r>
      <w:r w:rsidR="00026321">
        <w:rPr>
          <w:rFonts w:eastAsia="Times New Roman" w:cs="Times New Roman"/>
        </w:rPr>
        <w:t xml:space="preserve"> insured California</w:t>
      </w:r>
      <w:r w:rsidR="006136F1">
        <w:rPr>
          <w:rFonts w:eastAsia="Times New Roman" w:cs="Times New Roman"/>
        </w:rPr>
        <w:t xml:space="preserve">n residents </w:t>
      </w:r>
      <w:r w:rsidRPr="008B0937">
        <w:rPr>
          <w:rFonts w:eastAsia="Times New Roman" w:cs="Times New Roman"/>
        </w:rPr>
        <w:t>because of the implementation of Covered California in October 2013. Covered California is the state’s health insurance marketplace that resulted from the Affordable Care Act.</w:t>
      </w:r>
    </w:p>
    <w:p w14:paraId="07468B7F" w14:textId="737294D1" w:rsidR="008B0937" w:rsidRPr="008B0937" w:rsidRDefault="008B0937" w:rsidP="008B0937">
      <w:pPr>
        <w:spacing w:line="256" w:lineRule="auto"/>
        <w:rPr>
          <w:rFonts w:eastAsia="Times New Roman" w:cs="Times New Roman"/>
        </w:rPr>
      </w:pPr>
      <w:r w:rsidRPr="008B0937">
        <w:rPr>
          <w:rFonts w:eastAsia="Times New Roman" w:cs="Times New Roman"/>
        </w:rPr>
        <w:t>According to Peter Lee, Executive Director of Covered California, the number of uninsured residents decreased from 17.3% at the end of 2013 to 7.2% in 2019. And, according to the U.S. Census, California’s population has increased every year since 2013, ranging from 0.10% to 0.90%.</w:t>
      </w:r>
      <w:r w:rsidR="00656A47">
        <w:rPr>
          <w:rFonts w:eastAsia="Times New Roman" w:cs="Times New Roman"/>
        </w:rPr>
        <w:t xml:space="preserve"> </w:t>
      </w:r>
      <w:r w:rsidR="00B42B8D">
        <w:rPr>
          <w:rFonts w:eastAsia="Times New Roman" w:cs="Times New Roman"/>
        </w:rPr>
        <w:t>Coalescin</w:t>
      </w:r>
      <w:r w:rsidR="005170F0">
        <w:rPr>
          <w:rFonts w:eastAsia="Times New Roman" w:cs="Times New Roman"/>
        </w:rPr>
        <w:t>g</w:t>
      </w:r>
      <w:r w:rsidR="00D66279">
        <w:rPr>
          <w:rFonts w:eastAsia="Times New Roman" w:cs="Times New Roman"/>
        </w:rPr>
        <w:t xml:space="preserve"> the</w:t>
      </w:r>
      <w:r w:rsidR="00656A47">
        <w:rPr>
          <w:rFonts w:eastAsia="Times New Roman" w:cs="Times New Roman"/>
        </w:rPr>
        <w:t xml:space="preserve"> two facts validate that the raw</w:t>
      </w:r>
      <w:r w:rsidR="00710A36">
        <w:rPr>
          <w:rFonts w:eastAsia="Times New Roman" w:cs="Times New Roman"/>
        </w:rPr>
        <w:t xml:space="preserve"> number of</w:t>
      </w:r>
      <w:r w:rsidR="006136F1">
        <w:rPr>
          <w:rFonts w:eastAsia="Times New Roman" w:cs="Times New Roman"/>
        </w:rPr>
        <w:t xml:space="preserve"> total insured California citizens</w:t>
      </w:r>
      <w:r w:rsidR="00D66279">
        <w:rPr>
          <w:rFonts w:eastAsia="Times New Roman" w:cs="Times New Roman"/>
        </w:rPr>
        <w:t xml:space="preserve"> has increased.</w:t>
      </w:r>
    </w:p>
    <w:p w14:paraId="38623837" w14:textId="4A215477" w:rsidR="008B0937" w:rsidRPr="008B0937" w:rsidRDefault="008B0937" w:rsidP="008B0937">
      <w:pPr>
        <w:spacing w:line="256" w:lineRule="auto"/>
        <w:rPr>
          <w:rFonts w:eastAsia="Times New Roman" w:cs="Times New Roman"/>
        </w:rPr>
      </w:pPr>
      <w:r w:rsidRPr="008B0937">
        <w:rPr>
          <w:rFonts w:eastAsia="Times New Roman" w:cs="Times New Roman"/>
        </w:rPr>
        <w:t xml:space="preserve">The outliers to note in the bar chart below is that in 2015, 2016, and 2019 more than 50% of the cases reviewed favored the enrollee. Meanwhile, the unweighted average overturn rate from 2003 to 2019 is </w:t>
      </w:r>
      <w:r w:rsidR="0097128C">
        <w:rPr>
          <w:rFonts w:eastAsia="Times New Roman" w:cs="Times New Roman"/>
        </w:rPr>
        <w:t>less than 45%.</w:t>
      </w:r>
    </w:p>
    <w:p w14:paraId="2B136ED9" w14:textId="6196062C" w:rsidR="008B0937" w:rsidRPr="008B0937" w:rsidRDefault="008B0937" w:rsidP="008B0937">
      <w:pPr>
        <w:spacing w:line="256" w:lineRule="auto"/>
        <w:rPr>
          <w:rFonts w:eastAsia="Times New Roman" w:cs="Times New Roman"/>
        </w:rPr>
      </w:pPr>
      <w:r w:rsidRPr="008B0937">
        <w:rPr>
          <w:rFonts w:eastAsia="Times New Roman" w:cs="Times New Roman"/>
        </w:rPr>
        <w:t xml:space="preserve">We also see a steady decrease in the annual number of IMRs starting in 2017. According to Peter Lee, starting in 2017, the federal government refused to reimburse insurers for discounts that the companies were required to offer on deductibles and copayments. Therefore, the insurers increased prices of insurance plans listed on Covered California. The rate hikes coincided with 170,000 people, who were previously insured via Covered California, </w:t>
      </w:r>
      <w:r w:rsidR="003B4273">
        <w:rPr>
          <w:rFonts w:eastAsia="Times New Roman" w:cs="Times New Roman"/>
        </w:rPr>
        <w:t>to discontinue their insurance.</w:t>
      </w:r>
      <w:r w:rsidRPr="008B0937">
        <w:rPr>
          <w:rFonts w:eastAsia="Times New Roman" w:cs="Times New Roman"/>
        </w:rPr>
        <w:t xml:space="preserve"> </w:t>
      </w:r>
    </w:p>
    <w:p w14:paraId="23903EA5" w14:textId="77777777" w:rsidR="008B0937" w:rsidRPr="008B0937" w:rsidRDefault="008B0937" w:rsidP="008B0937">
      <w:pPr>
        <w:spacing w:line="256" w:lineRule="auto"/>
        <w:rPr>
          <w:rFonts w:eastAsia="Times New Roman" w:cs="Times New Roman"/>
        </w:rPr>
      </w:pPr>
      <w:r w:rsidRPr="008B0937">
        <w:rPr>
          <w:rFonts w:eastAsia="Times New Roman" w:cs="Times New Roman"/>
        </w:rPr>
        <w:t> </w:t>
      </w:r>
    </w:p>
    <w:p w14:paraId="6FC0022D" w14:textId="77777777" w:rsidR="008B0937" w:rsidRPr="008B0937" w:rsidRDefault="008B0937" w:rsidP="008B0937">
      <w:pPr>
        <w:spacing w:line="256" w:lineRule="auto"/>
        <w:rPr>
          <w:rFonts w:eastAsia="Times New Roman" w:cs="Times New Roman"/>
        </w:rPr>
      </w:pPr>
      <w:r w:rsidRPr="008B0937">
        <w:rPr>
          <w:rFonts w:eastAsia="Times New Roman" w:cs="Times New Roman"/>
          <w:b/>
          <w:bCs/>
          <w:sz w:val="32"/>
          <w:szCs w:val="32"/>
          <w:shd w:val="clear" w:color="auto" w:fill="FFFF00"/>
        </w:rPr>
        <w:lastRenderedPageBreak/>
        <w:t>&lt;&lt;INSERT PLOT&gt;&gt;</w:t>
      </w:r>
    </w:p>
    <w:p w14:paraId="34206811" w14:textId="4E98558C" w:rsidR="008B0937" w:rsidRPr="008B0937" w:rsidRDefault="008B0937" w:rsidP="008B0937">
      <w:pPr>
        <w:spacing w:line="256" w:lineRule="auto"/>
        <w:rPr>
          <w:rFonts w:eastAsia="Times New Roman" w:cs="Times New Roman"/>
        </w:rPr>
      </w:pPr>
      <w:r w:rsidRPr="008B0937">
        <w:rPr>
          <w:rFonts w:eastAsia="Times New Roman" w:cs="Times New Roman"/>
        </w:rPr>
        <w:t>While studying the data to identify areas</w:t>
      </w:r>
      <w:r w:rsidR="0047243F">
        <w:rPr>
          <w:rFonts w:eastAsia="Times New Roman" w:cs="Times New Roman"/>
        </w:rPr>
        <w:t xml:space="preserve"> that</w:t>
      </w:r>
      <w:r w:rsidRPr="008B0937">
        <w:rPr>
          <w:rFonts w:eastAsia="Times New Roman" w:cs="Times New Roman"/>
        </w:rPr>
        <w:t xml:space="preserve"> warrant</w:t>
      </w:r>
      <w:r w:rsidR="0047243F">
        <w:rPr>
          <w:rFonts w:eastAsia="Times New Roman" w:cs="Times New Roman"/>
        </w:rPr>
        <w:t>ed</w:t>
      </w:r>
      <w:r w:rsidRPr="008B0937">
        <w:rPr>
          <w:rFonts w:eastAsia="Times New Roman" w:cs="Times New Roman"/>
        </w:rPr>
        <w:t xml:space="preserve"> further investigation, I discovered a meaningful difference in the overturn rate of </w:t>
      </w:r>
      <w:r w:rsidR="0047243F">
        <w:rPr>
          <w:rFonts w:eastAsia="Times New Roman" w:cs="Times New Roman"/>
        </w:rPr>
        <w:t>childre</w:t>
      </w:r>
      <w:r w:rsidR="00AD43B2">
        <w:rPr>
          <w:rFonts w:eastAsia="Times New Roman" w:cs="Times New Roman"/>
        </w:rPr>
        <w:t>n and other patients</w:t>
      </w:r>
      <w:r w:rsidRPr="008B0937">
        <w:rPr>
          <w:rFonts w:eastAsia="Times New Roman" w:cs="Times New Roman"/>
        </w:rPr>
        <w:t>. We observe in the bar chart below that a negation of a child’s insurance coverage is two times more likely to be overturned. In contrast, all other age groups’ overturn rate</w:t>
      </w:r>
      <w:r w:rsidR="00AD43B2">
        <w:rPr>
          <w:rFonts w:eastAsia="Times New Roman" w:cs="Times New Roman"/>
        </w:rPr>
        <w:t>s</w:t>
      </w:r>
      <w:r w:rsidRPr="008B0937">
        <w:rPr>
          <w:rFonts w:eastAsia="Times New Roman" w:cs="Times New Roman"/>
        </w:rPr>
        <w:t xml:space="preserve"> </w:t>
      </w:r>
      <w:r w:rsidR="00AD43B2">
        <w:rPr>
          <w:rFonts w:eastAsia="Times New Roman" w:cs="Times New Roman"/>
        </w:rPr>
        <w:t>are</w:t>
      </w:r>
      <w:r w:rsidRPr="008B0937">
        <w:rPr>
          <w:rFonts w:eastAsia="Times New Roman" w:cs="Times New Roman"/>
        </w:rPr>
        <w:t xml:space="preserve"> less than 50%.</w:t>
      </w:r>
    </w:p>
    <w:p w14:paraId="5A45276B" w14:textId="77777777" w:rsidR="008B0937" w:rsidRPr="008B0937" w:rsidRDefault="008B0937" w:rsidP="008B0937">
      <w:pPr>
        <w:spacing w:line="256" w:lineRule="auto"/>
        <w:rPr>
          <w:rFonts w:eastAsia="Times New Roman" w:cs="Times New Roman"/>
        </w:rPr>
      </w:pPr>
      <w:r w:rsidRPr="008B0937">
        <w:rPr>
          <w:rFonts w:eastAsia="Times New Roman" w:cs="Times New Roman"/>
        </w:rPr>
        <w:t> </w:t>
      </w:r>
    </w:p>
    <w:p w14:paraId="2A062C82" w14:textId="77777777" w:rsidR="008B0937" w:rsidRPr="008B0937" w:rsidRDefault="008B0937" w:rsidP="008B0937">
      <w:pPr>
        <w:spacing w:line="256" w:lineRule="auto"/>
        <w:rPr>
          <w:rFonts w:eastAsia="Times New Roman" w:cs="Times New Roman"/>
        </w:rPr>
      </w:pPr>
      <w:r w:rsidRPr="008B0937">
        <w:rPr>
          <w:rFonts w:eastAsia="Times New Roman" w:cs="Times New Roman"/>
          <w:b/>
          <w:bCs/>
          <w:sz w:val="32"/>
          <w:szCs w:val="32"/>
        </w:rPr>
        <w:t>Hypothesis Testing</w:t>
      </w:r>
    </w:p>
    <w:p w14:paraId="49E63BA3" w14:textId="6AD8D783" w:rsidR="008B0937" w:rsidRPr="008B0937" w:rsidRDefault="008B0937" w:rsidP="008B0937">
      <w:pPr>
        <w:spacing w:line="256" w:lineRule="auto"/>
        <w:rPr>
          <w:rFonts w:eastAsia="Times New Roman" w:cs="Times New Roman"/>
        </w:rPr>
      </w:pPr>
      <w:r w:rsidRPr="008B0937">
        <w:rPr>
          <w:rFonts w:eastAsia="Times New Roman" w:cs="Times New Roman"/>
        </w:rPr>
        <w:t xml:space="preserve">After </w:t>
      </w:r>
      <w:r w:rsidR="00E103CF">
        <w:rPr>
          <w:rFonts w:eastAsia="Times New Roman" w:cs="Times New Roman"/>
        </w:rPr>
        <w:t>recognizing</w:t>
      </w:r>
      <w:r w:rsidRPr="008B0937">
        <w:rPr>
          <w:rFonts w:eastAsia="Times New Roman" w:cs="Times New Roman"/>
        </w:rPr>
        <w:t xml:space="preserve"> the noticeable difference in the overturn rate between children and the </w:t>
      </w:r>
      <w:r w:rsidR="00E103CF">
        <w:rPr>
          <w:rFonts w:eastAsia="Times New Roman" w:cs="Times New Roman"/>
        </w:rPr>
        <w:t xml:space="preserve">other </w:t>
      </w:r>
      <w:r w:rsidRPr="008B0937">
        <w:rPr>
          <w:rFonts w:eastAsia="Times New Roman" w:cs="Times New Roman"/>
        </w:rPr>
        <w:t>patient</w:t>
      </w:r>
      <w:r w:rsidR="003C639C">
        <w:rPr>
          <w:rFonts w:eastAsia="Times New Roman" w:cs="Times New Roman"/>
        </w:rPr>
        <w:t>s</w:t>
      </w:r>
      <w:r w:rsidRPr="008B0937">
        <w:rPr>
          <w:rFonts w:eastAsia="Times New Roman" w:cs="Times New Roman"/>
        </w:rPr>
        <w:t xml:space="preserve">, I </w:t>
      </w:r>
      <w:r w:rsidR="00FF7B4A">
        <w:rPr>
          <w:rFonts w:eastAsia="Times New Roman" w:cs="Times New Roman"/>
        </w:rPr>
        <w:t>tested</w:t>
      </w:r>
      <w:r w:rsidRPr="008B0937">
        <w:rPr>
          <w:rFonts w:eastAsia="Times New Roman" w:cs="Times New Roman"/>
        </w:rPr>
        <w:t xml:space="preserve"> if age bias is systemic in the arbitrators’ decisions by evaluating its statistical significance.</w:t>
      </w:r>
    </w:p>
    <w:p w14:paraId="208AAFD6" w14:textId="77777777" w:rsidR="008B0937" w:rsidRPr="008B0937" w:rsidRDefault="008B0937" w:rsidP="008B0937">
      <w:pPr>
        <w:spacing w:line="256" w:lineRule="auto"/>
        <w:rPr>
          <w:rFonts w:eastAsia="Times New Roman" w:cs="Times New Roman"/>
        </w:rPr>
      </w:pPr>
      <w:r w:rsidRPr="008B0937">
        <w:rPr>
          <w:rFonts w:eastAsia="Times New Roman" w:cs="Times New Roman"/>
        </w:rPr>
        <w:t> </w:t>
      </w:r>
    </w:p>
    <w:p w14:paraId="0388737F" w14:textId="77777777" w:rsidR="008B0937" w:rsidRPr="008B0937" w:rsidRDefault="008B0937" w:rsidP="008B0937">
      <w:pPr>
        <w:spacing w:line="256" w:lineRule="auto"/>
        <w:rPr>
          <w:rFonts w:eastAsia="Times New Roman" w:cs="Times New Roman"/>
        </w:rPr>
      </w:pPr>
      <w:r w:rsidRPr="008B0937">
        <w:rPr>
          <w:rFonts w:eastAsia="Times New Roman" w:cs="Times New Roman"/>
          <w:b/>
          <w:bCs/>
          <w:shd w:val="clear" w:color="auto" w:fill="FFFF00"/>
        </w:rPr>
        <w:t>&lt;&lt;INSERT MARKDOWN FOR NULL &amp; ALTERNATIVE HYPOTHESIS&gt;&gt;</w:t>
      </w:r>
    </w:p>
    <w:p w14:paraId="24C37EF1" w14:textId="77777777" w:rsidR="008B0937" w:rsidRPr="008B0937" w:rsidRDefault="008B0937" w:rsidP="008B0937">
      <w:pPr>
        <w:spacing w:line="256" w:lineRule="auto"/>
        <w:rPr>
          <w:rFonts w:eastAsia="Times New Roman" w:cs="Times New Roman"/>
        </w:rPr>
      </w:pPr>
      <w:r w:rsidRPr="008B0937">
        <w:rPr>
          <w:rFonts w:eastAsia="Times New Roman" w:cs="Times New Roman"/>
          <w:b/>
          <w:bCs/>
        </w:rPr>
        <w:t> </w:t>
      </w:r>
    </w:p>
    <w:p w14:paraId="7AE9B90A" w14:textId="3E777CBB" w:rsidR="008B0937" w:rsidRPr="008B0937" w:rsidRDefault="008B0937" w:rsidP="008B0937">
      <w:pPr>
        <w:spacing w:line="256" w:lineRule="auto"/>
        <w:rPr>
          <w:rFonts w:eastAsia="Times New Roman" w:cs="Times New Roman"/>
        </w:rPr>
      </w:pPr>
      <w:r w:rsidRPr="008B0937">
        <w:rPr>
          <w:rFonts w:eastAsia="Times New Roman" w:cs="Times New Roman"/>
        </w:rPr>
        <w:t xml:space="preserve">As the p-value for the experiment is ~2.0%, the null hypothesis </w:t>
      </w:r>
      <w:r w:rsidR="00FF7B4A">
        <w:rPr>
          <w:rFonts w:eastAsia="Times New Roman" w:cs="Times New Roman"/>
        </w:rPr>
        <w:t xml:space="preserve"> can be rejected </w:t>
      </w:r>
      <w:r w:rsidRPr="008B0937">
        <w:rPr>
          <w:rFonts w:eastAsia="Times New Roman" w:cs="Times New Roman"/>
        </w:rPr>
        <w:t xml:space="preserve">– a child’s overturn rate does </w:t>
      </w:r>
      <w:r w:rsidRPr="008B0937">
        <w:rPr>
          <w:rFonts w:eastAsia="Times New Roman" w:cs="Times New Roman"/>
          <w:b/>
          <w:bCs/>
        </w:rPr>
        <w:t>not equal</w:t>
      </w:r>
      <w:r w:rsidRPr="008B0937">
        <w:rPr>
          <w:rFonts w:eastAsia="Times New Roman" w:cs="Times New Roman"/>
        </w:rPr>
        <w:t xml:space="preserve"> the o</w:t>
      </w:r>
      <w:r w:rsidR="004C38D4">
        <w:rPr>
          <w:rFonts w:eastAsia="Times New Roman" w:cs="Times New Roman"/>
        </w:rPr>
        <w:t xml:space="preserve">ther patient’s overturn rate </w:t>
      </w:r>
      <w:r w:rsidRPr="008B0937">
        <w:rPr>
          <w:rFonts w:eastAsia="Times New Roman" w:cs="Times New Roman"/>
        </w:rPr>
        <w:t>– at a 98% confidence interval.</w:t>
      </w:r>
    </w:p>
    <w:p w14:paraId="736CBE80" w14:textId="77777777" w:rsidR="008B0937" w:rsidRPr="008B0937" w:rsidRDefault="008B0937" w:rsidP="008B0937">
      <w:pPr>
        <w:spacing w:line="256" w:lineRule="auto"/>
        <w:rPr>
          <w:rFonts w:eastAsia="Times New Roman" w:cs="Times New Roman"/>
        </w:rPr>
      </w:pPr>
      <w:r w:rsidRPr="008B0937">
        <w:rPr>
          <w:rFonts w:eastAsia="Times New Roman" w:cs="Times New Roman"/>
        </w:rPr>
        <w:t> </w:t>
      </w:r>
    </w:p>
    <w:p w14:paraId="2DD516BC" w14:textId="77777777" w:rsidR="008B0937" w:rsidRPr="008B0937" w:rsidRDefault="008B0937" w:rsidP="008B0937">
      <w:pPr>
        <w:spacing w:line="256" w:lineRule="auto"/>
        <w:rPr>
          <w:rFonts w:eastAsia="Times New Roman" w:cs="Times New Roman"/>
        </w:rPr>
      </w:pPr>
      <w:r w:rsidRPr="008B0937">
        <w:rPr>
          <w:rFonts w:eastAsia="Times New Roman" w:cs="Times New Roman"/>
          <w:b/>
          <w:bCs/>
        </w:rPr>
        <w:t>Type I &amp; II Errors</w:t>
      </w:r>
    </w:p>
    <w:p w14:paraId="62D5E2DE" w14:textId="6A90518E" w:rsidR="008B0937" w:rsidRPr="008B0937" w:rsidRDefault="008B0937" w:rsidP="008B0937">
      <w:pPr>
        <w:spacing w:line="256" w:lineRule="auto"/>
        <w:rPr>
          <w:rFonts w:eastAsia="Times New Roman" w:cs="Times New Roman"/>
        </w:rPr>
      </w:pPr>
      <w:r w:rsidRPr="008B0937">
        <w:rPr>
          <w:rFonts w:eastAsia="Times New Roman" w:cs="Times New Roman"/>
        </w:rPr>
        <w:t xml:space="preserve">The distribution plot below displays the likelihood of incorrectly concluding that the expected overturn rate of children and remainder of the patient population are </w:t>
      </w:r>
      <w:r w:rsidRPr="008B0937">
        <w:rPr>
          <w:rFonts w:eastAsia="Times New Roman" w:cs="Times New Roman"/>
          <w:b/>
          <w:bCs/>
        </w:rPr>
        <w:t>not equal</w:t>
      </w:r>
      <w:r w:rsidRPr="008B0937">
        <w:rPr>
          <w:rFonts w:eastAsia="Times New Roman" w:cs="Times New Roman"/>
        </w:rPr>
        <w:t>, when in fac</w:t>
      </w:r>
      <w:r w:rsidR="004C38D4">
        <w:rPr>
          <w:rFonts w:eastAsia="Times New Roman" w:cs="Times New Roman"/>
        </w:rPr>
        <w:t xml:space="preserve">t </w:t>
      </w:r>
      <w:r w:rsidRPr="008B0937">
        <w:rPr>
          <w:rFonts w:eastAsia="Times New Roman" w:cs="Times New Roman"/>
        </w:rPr>
        <w:t>they are. The region label</w:t>
      </w:r>
      <w:r w:rsidR="004C38D4">
        <w:rPr>
          <w:rFonts w:eastAsia="Times New Roman" w:cs="Times New Roman"/>
        </w:rPr>
        <w:t>ed</w:t>
      </w:r>
      <w:r w:rsidRPr="008B0937">
        <w:rPr>
          <w:rFonts w:eastAsia="Times New Roman" w:cs="Times New Roman"/>
        </w:rPr>
        <w:t xml:space="preserve"> “alpha” (write in Greek), which is referred to as the false positive rate (FPR) and type I error, visualizes the probability which demonstrates the possibility of this error is relatively</w:t>
      </w:r>
      <w:r w:rsidR="0050777E">
        <w:rPr>
          <w:rFonts w:eastAsia="Times New Roman" w:cs="Times New Roman"/>
        </w:rPr>
        <w:t xml:space="preserve"> minor</w:t>
      </w:r>
      <w:r w:rsidRPr="008B0937">
        <w:rPr>
          <w:rFonts w:eastAsia="Times New Roman" w:cs="Times New Roman"/>
        </w:rPr>
        <w:t>.</w:t>
      </w:r>
    </w:p>
    <w:p w14:paraId="426D3DCF" w14:textId="77777777" w:rsidR="008B0937" w:rsidRPr="008B0937" w:rsidRDefault="008B0937" w:rsidP="008B0937">
      <w:pPr>
        <w:spacing w:line="256" w:lineRule="auto"/>
        <w:rPr>
          <w:rFonts w:eastAsia="Times New Roman" w:cs="Times New Roman"/>
        </w:rPr>
      </w:pPr>
      <w:r w:rsidRPr="008B0937">
        <w:rPr>
          <w:rFonts w:eastAsia="Times New Roman" w:cs="Times New Roman"/>
        </w:rPr>
        <w:t> </w:t>
      </w:r>
    </w:p>
    <w:p w14:paraId="73E8FBE6" w14:textId="5ED25F11" w:rsidR="008B0937" w:rsidRPr="008B0937" w:rsidRDefault="008B0937" w:rsidP="008B0937">
      <w:pPr>
        <w:spacing w:line="256" w:lineRule="auto"/>
        <w:rPr>
          <w:rFonts w:eastAsia="Times New Roman" w:cs="Times New Roman"/>
        </w:rPr>
      </w:pPr>
      <w:r w:rsidRPr="008B0937">
        <w:rPr>
          <w:rFonts w:eastAsia="Times New Roman" w:cs="Times New Roman"/>
        </w:rPr>
        <w:t xml:space="preserve">The visualization also shows the probability of mistakenly claiming the overturn rates of the two populations are equal when, in reality, the overturn rates are </w:t>
      </w:r>
      <w:r w:rsidR="0009187A">
        <w:rPr>
          <w:rFonts w:eastAsia="Times New Roman" w:cs="Times New Roman"/>
          <w:b/>
          <w:bCs/>
        </w:rPr>
        <w:t>in</w:t>
      </w:r>
      <w:r w:rsidRPr="008B0937">
        <w:rPr>
          <w:rFonts w:eastAsia="Times New Roman" w:cs="Times New Roman"/>
          <w:b/>
          <w:bCs/>
        </w:rPr>
        <w:t>equal</w:t>
      </w:r>
      <w:r w:rsidRPr="008B0937">
        <w:rPr>
          <w:rFonts w:eastAsia="Times New Roman" w:cs="Times New Roman"/>
        </w:rPr>
        <w:t>. The</w:t>
      </w:r>
      <w:r w:rsidR="0009187A">
        <w:rPr>
          <w:rFonts w:eastAsia="Times New Roman" w:cs="Times New Roman"/>
        </w:rPr>
        <w:t xml:space="preserve"> shaded area</w:t>
      </w:r>
      <w:r w:rsidRPr="008B0937">
        <w:rPr>
          <w:rFonts w:eastAsia="Times New Roman" w:cs="Times New Roman"/>
        </w:rPr>
        <w:t xml:space="preserve"> labeled “beta” (write in Greek), which is called the false negative rate (FNR) and type II error displays the probability. Assuming a significance level equal to 0.05, “beta” (write in Greek) equals 0.36.</w:t>
      </w:r>
    </w:p>
    <w:p w14:paraId="4C148E41" w14:textId="77777777" w:rsidR="008B0937" w:rsidRPr="008B0937" w:rsidRDefault="008B0937" w:rsidP="008B0937">
      <w:pPr>
        <w:spacing w:line="256" w:lineRule="auto"/>
        <w:rPr>
          <w:rFonts w:eastAsia="Times New Roman" w:cs="Times New Roman"/>
        </w:rPr>
      </w:pPr>
      <w:r w:rsidRPr="008B0937">
        <w:rPr>
          <w:rFonts w:eastAsia="Times New Roman" w:cs="Times New Roman"/>
        </w:rPr>
        <w:t> </w:t>
      </w:r>
    </w:p>
    <w:p w14:paraId="4BA23C70" w14:textId="77777777" w:rsidR="008B0937" w:rsidRPr="008B0937" w:rsidRDefault="008B0937" w:rsidP="008B0937">
      <w:pPr>
        <w:spacing w:line="256" w:lineRule="auto"/>
        <w:rPr>
          <w:rFonts w:eastAsia="Times New Roman" w:cs="Times New Roman"/>
        </w:rPr>
      </w:pPr>
      <w:r w:rsidRPr="008B0937">
        <w:rPr>
          <w:rFonts w:eastAsia="Times New Roman" w:cs="Times New Roman"/>
          <w:b/>
          <w:bCs/>
          <w:shd w:val="clear" w:color="auto" w:fill="FFFF00"/>
        </w:rPr>
        <w:t>&lt;&lt;INSERT CHART &gt;&gt;</w:t>
      </w:r>
    </w:p>
    <w:p w14:paraId="29F572F3" w14:textId="77777777" w:rsidR="008B0937" w:rsidRPr="008B0937" w:rsidRDefault="008B0937" w:rsidP="008B0937">
      <w:pPr>
        <w:spacing w:line="256" w:lineRule="auto"/>
        <w:rPr>
          <w:rFonts w:eastAsia="Times New Roman" w:cs="Times New Roman"/>
        </w:rPr>
      </w:pPr>
      <w:r w:rsidRPr="008B0937">
        <w:rPr>
          <w:rFonts w:eastAsia="Times New Roman" w:cs="Times New Roman"/>
        </w:rPr>
        <w:t> </w:t>
      </w:r>
    </w:p>
    <w:p w14:paraId="48479B16" w14:textId="77777777" w:rsidR="008B0937" w:rsidRPr="008B0937" w:rsidRDefault="008B0937" w:rsidP="008B0937">
      <w:pPr>
        <w:spacing w:line="256" w:lineRule="auto"/>
        <w:rPr>
          <w:rFonts w:eastAsia="Times New Roman" w:cs="Times New Roman"/>
        </w:rPr>
      </w:pPr>
      <w:r w:rsidRPr="008B0937">
        <w:rPr>
          <w:rFonts w:eastAsia="Times New Roman" w:cs="Times New Roman"/>
          <w:b/>
          <w:bCs/>
          <w:sz w:val="24"/>
          <w:szCs w:val="24"/>
        </w:rPr>
        <w:t>Statistical Power</w:t>
      </w:r>
    </w:p>
    <w:p w14:paraId="7E15676A" w14:textId="097956C4" w:rsidR="008B0937" w:rsidRPr="008B0937" w:rsidRDefault="008B0937" w:rsidP="008B0937">
      <w:pPr>
        <w:spacing w:line="256" w:lineRule="auto"/>
        <w:rPr>
          <w:rFonts w:eastAsia="Times New Roman" w:cs="Times New Roman"/>
        </w:rPr>
      </w:pPr>
      <w:r w:rsidRPr="008B0937">
        <w:rPr>
          <w:rFonts w:eastAsia="Times New Roman" w:cs="Times New Roman"/>
        </w:rPr>
        <w:t>In this project, power represents the probability that the test rejects the proposal that a child and other</w:t>
      </w:r>
      <w:r w:rsidR="004D4532">
        <w:rPr>
          <w:rFonts w:eastAsia="Times New Roman" w:cs="Times New Roman"/>
        </w:rPr>
        <w:t xml:space="preserve"> </w:t>
      </w:r>
      <w:r w:rsidRPr="008B0937">
        <w:rPr>
          <w:rFonts w:eastAsia="Times New Roman" w:cs="Times New Roman"/>
        </w:rPr>
        <w:t>patient’s overturn rates are equal (Ho) when the inverse of the proposal (Ha) is true – the overturn rate</w:t>
      </w:r>
      <w:r w:rsidR="004D4532">
        <w:rPr>
          <w:rFonts w:eastAsia="Times New Roman" w:cs="Times New Roman"/>
        </w:rPr>
        <w:t>s</w:t>
      </w:r>
      <w:r w:rsidRPr="008B0937">
        <w:rPr>
          <w:rFonts w:eastAsia="Times New Roman" w:cs="Times New Roman"/>
        </w:rPr>
        <w:t xml:space="preserve"> of the two groups </w:t>
      </w:r>
      <w:r w:rsidR="004D4532">
        <w:rPr>
          <w:rFonts w:eastAsia="Times New Roman" w:cs="Times New Roman"/>
        </w:rPr>
        <w:t>are</w:t>
      </w:r>
      <w:r w:rsidRPr="008B0937">
        <w:rPr>
          <w:rFonts w:eastAsia="Times New Roman" w:cs="Times New Roman"/>
        </w:rPr>
        <w:t xml:space="preserve"> not equal. Under the </w:t>
      </w:r>
      <w:r w:rsidR="004D4532">
        <w:rPr>
          <w:rFonts w:eastAsia="Times New Roman" w:cs="Times New Roman"/>
        </w:rPr>
        <w:t>provided</w:t>
      </w:r>
      <w:r w:rsidRPr="008B0937">
        <w:rPr>
          <w:rFonts w:eastAsia="Times New Roman" w:cs="Times New Roman"/>
        </w:rPr>
        <w:t xml:space="preserve"> assumptions, power equals 0.64, which is the equivalent to 1 – Beta (write in Greek).</w:t>
      </w:r>
    </w:p>
    <w:p w14:paraId="162D5834" w14:textId="77777777" w:rsidR="008B0937" w:rsidRPr="008B0937" w:rsidRDefault="008B0937" w:rsidP="008B0937">
      <w:pPr>
        <w:spacing w:line="256" w:lineRule="auto"/>
        <w:rPr>
          <w:rFonts w:eastAsia="Times New Roman" w:cs="Times New Roman"/>
        </w:rPr>
      </w:pPr>
      <w:r w:rsidRPr="008B0937">
        <w:rPr>
          <w:rFonts w:eastAsia="Times New Roman" w:cs="Times New Roman"/>
        </w:rPr>
        <w:t> </w:t>
      </w:r>
    </w:p>
    <w:p w14:paraId="649D7EC2" w14:textId="77777777" w:rsidR="008B0937" w:rsidRPr="008B0937" w:rsidRDefault="008B0937" w:rsidP="008B0937">
      <w:pPr>
        <w:spacing w:line="256" w:lineRule="auto"/>
        <w:rPr>
          <w:rFonts w:eastAsia="Times New Roman" w:cs="Times New Roman"/>
        </w:rPr>
      </w:pPr>
      <w:r w:rsidRPr="008B0937">
        <w:rPr>
          <w:rFonts w:eastAsia="Times New Roman" w:cs="Times New Roman"/>
          <w:b/>
          <w:bCs/>
          <w:shd w:val="clear" w:color="auto" w:fill="FFFF00"/>
        </w:rPr>
        <w:t>&lt;&lt;INSERT CHART &gt;&gt;</w:t>
      </w:r>
    </w:p>
    <w:p w14:paraId="0914B757" w14:textId="77777777" w:rsidR="008B0937" w:rsidRPr="008B0937" w:rsidRDefault="008B0937" w:rsidP="008B0937">
      <w:pPr>
        <w:spacing w:line="256" w:lineRule="auto"/>
        <w:rPr>
          <w:rFonts w:eastAsia="Times New Roman" w:cs="Times New Roman"/>
        </w:rPr>
      </w:pPr>
      <w:r w:rsidRPr="008B0937">
        <w:rPr>
          <w:rFonts w:eastAsia="Times New Roman" w:cs="Times New Roman"/>
        </w:rPr>
        <w:lastRenderedPageBreak/>
        <w:t> </w:t>
      </w:r>
    </w:p>
    <w:p w14:paraId="7ACA366E" w14:textId="77777777" w:rsidR="008B0937" w:rsidRPr="008B0937" w:rsidRDefault="008B0937" w:rsidP="008B0937">
      <w:pPr>
        <w:spacing w:line="256" w:lineRule="auto"/>
        <w:rPr>
          <w:rFonts w:eastAsia="Times New Roman" w:cs="Times New Roman"/>
        </w:rPr>
      </w:pPr>
      <w:r w:rsidRPr="008B0937">
        <w:rPr>
          <w:rFonts w:eastAsia="Times New Roman" w:cs="Times New Roman"/>
          <w:b/>
          <w:bCs/>
          <w:sz w:val="32"/>
          <w:szCs w:val="32"/>
        </w:rPr>
        <w:t>Bayesian Inference</w:t>
      </w:r>
    </w:p>
    <w:p w14:paraId="3A971226" w14:textId="3069D0D4" w:rsidR="008B0937" w:rsidRPr="008B0937" w:rsidRDefault="008B0937" w:rsidP="008B0937">
      <w:pPr>
        <w:spacing w:line="256" w:lineRule="auto"/>
        <w:rPr>
          <w:rFonts w:eastAsia="Times New Roman" w:cs="Times New Roman"/>
        </w:rPr>
      </w:pPr>
      <w:r w:rsidRPr="008B0937">
        <w:rPr>
          <w:rFonts w:eastAsia="Times New Roman" w:cs="Times New Roman"/>
        </w:rPr>
        <w:t xml:space="preserve">By applying the Beta function/distribution, the posterior probability, which accounts for the consideration of background information, I derived the distributions below. To quantify the likelihood that a child’s overturn rate is greater than the overturn rate of </w:t>
      </w:r>
      <w:r w:rsidR="002020EF">
        <w:rPr>
          <w:rFonts w:eastAsia="Times New Roman" w:cs="Times New Roman"/>
        </w:rPr>
        <w:t>other patients</w:t>
      </w:r>
      <w:r w:rsidRPr="008B0937">
        <w:rPr>
          <w:rFonts w:eastAsia="Times New Roman" w:cs="Times New Roman"/>
        </w:rPr>
        <w:t>, I simulated 100,000 IMRs. Under the assumptions stated throughout this analysis, the probability that the child’s overturn rate is greater is 99%.</w:t>
      </w:r>
    </w:p>
    <w:p w14:paraId="02451C6B" w14:textId="50A7DF3B" w:rsidR="00F509D2" w:rsidRPr="00F509D2" w:rsidRDefault="00F509D2" w:rsidP="00F509D2">
      <w:pPr>
        <w:rPr>
          <w:b/>
          <w:bCs/>
        </w:rPr>
      </w:pPr>
    </w:p>
    <w:sectPr w:rsidR="00F509D2" w:rsidRPr="00F509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52A"/>
    <w:rsid w:val="00003D5F"/>
    <w:rsid w:val="00026321"/>
    <w:rsid w:val="0003166A"/>
    <w:rsid w:val="00060965"/>
    <w:rsid w:val="00062E07"/>
    <w:rsid w:val="0008730E"/>
    <w:rsid w:val="00090233"/>
    <w:rsid w:val="0009187A"/>
    <w:rsid w:val="000A762F"/>
    <w:rsid w:val="000B3BD3"/>
    <w:rsid w:val="000E36AA"/>
    <w:rsid w:val="00104BDE"/>
    <w:rsid w:val="001155E3"/>
    <w:rsid w:val="00121279"/>
    <w:rsid w:val="00137012"/>
    <w:rsid w:val="00197195"/>
    <w:rsid w:val="001D342D"/>
    <w:rsid w:val="002020EF"/>
    <w:rsid w:val="00245E87"/>
    <w:rsid w:val="00272E4F"/>
    <w:rsid w:val="00281754"/>
    <w:rsid w:val="002A7DA0"/>
    <w:rsid w:val="002B0F2F"/>
    <w:rsid w:val="002B63BD"/>
    <w:rsid w:val="002C0AF4"/>
    <w:rsid w:val="002E65B9"/>
    <w:rsid w:val="002F124A"/>
    <w:rsid w:val="0038632E"/>
    <w:rsid w:val="003946FD"/>
    <w:rsid w:val="00396314"/>
    <w:rsid w:val="003A2F56"/>
    <w:rsid w:val="003B4273"/>
    <w:rsid w:val="003B52CA"/>
    <w:rsid w:val="003C639C"/>
    <w:rsid w:val="003C6627"/>
    <w:rsid w:val="003D7B93"/>
    <w:rsid w:val="003F5224"/>
    <w:rsid w:val="003F6DC0"/>
    <w:rsid w:val="00401C6E"/>
    <w:rsid w:val="0040510C"/>
    <w:rsid w:val="00416176"/>
    <w:rsid w:val="004200E7"/>
    <w:rsid w:val="00421B85"/>
    <w:rsid w:val="00437170"/>
    <w:rsid w:val="004373EE"/>
    <w:rsid w:val="004414F0"/>
    <w:rsid w:val="0047243F"/>
    <w:rsid w:val="00476F24"/>
    <w:rsid w:val="0049463D"/>
    <w:rsid w:val="004964D7"/>
    <w:rsid w:val="004C38D4"/>
    <w:rsid w:val="004D2E22"/>
    <w:rsid w:val="004D4532"/>
    <w:rsid w:val="004E48D0"/>
    <w:rsid w:val="004F2482"/>
    <w:rsid w:val="0050777E"/>
    <w:rsid w:val="005170F0"/>
    <w:rsid w:val="005358F8"/>
    <w:rsid w:val="00543AA1"/>
    <w:rsid w:val="005622BF"/>
    <w:rsid w:val="00564C78"/>
    <w:rsid w:val="00597AC0"/>
    <w:rsid w:val="005C7190"/>
    <w:rsid w:val="005D7871"/>
    <w:rsid w:val="005E1A6F"/>
    <w:rsid w:val="005E44CE"/>
    <w:rsid w:val="005E6EDE"/>
    <w:rsid w:val="00603DF9"/>
    <w:rsid w:val="006136F1"/>
    <w:rsid w:val="00656A47"/>
    <w:rsid w:val="00662988"/>
    <w:rsid w:val="0067170C"/>
    <w:rsid w:val="0067652A"/>
    <w:rsid w:val="0068465A"/>
    <w:rsid w:val="00686FF3"/>
    <w:rsid w:val="006A1C1A"/>
    <w:rsid w:val="006F0DF8"/>
    <w:rsid w:val="006F0F14"/>
    <w:rsid w:val="007072D3"/>
    <w:rsid w:val="00710A36"/>
    <w:rsid w:val="00730CAA"/>
    <w:rsid w:val="007351D2"/>
    <w:rsid w:val="00740C0E"/>
    <w:rsid w:val="00780E0C"/>
    <w:rsid w:val="007812BB"/>
    <w:rsid w:val="007A7B09"/>
    <w:rsid w:val="007B2D04"/>
    <w:rsid w:val="007D09A9"/>
    <w:rsid w:val="008236D1"/>
    <w:rsid w:val="00830801"/>
    <w:rsid w:val="00851AB4"/>
    <w:rsid w:val="00875167"/>
    <w:rsid w:val="00876706"/>
    <w:rsid w:val="008B0937"/>
    <w:rsid w:val="008C2007"/>
    <w:rsid w:val="008D1E3C"/>
    <w:rsid w:val="008E056A"/>
    <w:rsid w:val="008E77C6"/>
    <w:rsid w:val="0090461F"/>
    <w:rsid w:val="00906B7C"/>
    <w:rsid w:val="0097128C"/>
    <w:rsid w:val="009B52E2"/>
    <w:rsid w:val="009C2220"/>
    <w:rsid w:val="009C55CC"/>
    <w:rsid w:val="009D7825"/>
    <w:rsid w:val="009E10B4"/>
    <w:rsid w:val="00A17C06"/>
    <w:rsid w:val="00A22370"/>
    <w:rsid w:val="00A313E5"/>
    <w:rsid w:val="00A43358"/>
    <w:rsid w:val="00A801D6"/>
    <w:rsid w:val="00AA36A8"/>
    <w:rsid w:val="00AA68A4"/>
    <w:rsid w:val="00AD2381"/>
    <w:rsid w:val="00AD43B2"/>
    <w:rsid w:val="00B001BD"/>
    <w:rsid w:val="00B06D57"/>
    <w:rsid w:val="00B06F7C"/>
    <w:rsid w:val="00B429F9"/>
    <w:rsid w:val="00B42B8D"/>
    <w:rsid w:val="00B46D93"/>
    <w:rsid w:val="00B6728A"/>
    <w:rsid w:val="00B90F0C"/>
    <w:rsid w:val="00B91084"/>
    <w:rsid w:val="00B9510D"/>
    <w:rsid w:val="00BA4578"/>
    <w:rsid w:val="00BB2709"/>
    <w:rsid w:val="00BE0EFF"/>
    <w:rsid w:val="00BE1E52"/>
    <w:rsid w:val="00BF0C68"/>
    <w:rsid w:val="00C10091"/>
    <w:rsid w:val="00C31D04"/>
    <w:rsid w:val="00C35E04"/>
    <w:rsid w:val="00CB4111"/>
    <w:rsid w:val="00D3396A"/>
    <w:rsid w:val="00D43FE9"/>
    <w:rsid w:val="00D4545F"/>
    <w:rsid w:val="00D45DE4"/>
    <w:rsid w:val="00D5256A"/>
    <w:rsid w:val="00D66279"/>
    <w:rsid w:val="00D8651C"/>
    <w:rsid w:val="00D869AB"/>
    <w:rsid w:val="00D95A28"/>
    <w:rsid w:val="00DA0355"/>
    <w:rsid w:val="00DE36B3"/>
    <w:rsid w:val="00DF11D2"/>
    <w:rsid w:val="00DF4130"/>
    <w:rsid w:val="00E01DDB"/>
    <w:rsid w:val="00E102D1"/>
    <w:rsid w:val="00E103CF"/>
    <w:rsid w:val="00E11656"/>
    <w:rsid w:val="00E13C6F"/>
    <w:rsid w:val="00E20C43"/>
    <w:rsid w:val="00E4758D"/>
    <w:rsid w:val="00E65CCB"/>
    <w:rsid w:val="00E66AD6"/>
    <w:rsid w:val="00E8361A"/>
    <w:rsid w:val="00E93458"/>
    <w:rsid w:val="00EA0CD8"/>
    <w:rsid w:val="00EA5326"/>
    <w:rsid w:val="00EB6308"/>
    <w:rsid w:val="00F30AEA"/>
    <w:rsid w:val="00F343B5"/>
    <w:rsid w:val="00F509D2"/>
    <w:rsid w:val="00F8776B"/>
    <w:rsid w:val="00FC652B"/>
    <w:rsid w:val="00FF60D3"/>
    <w:rsid w:val="00FF7B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8A3A6"/>
  <w15:chartTrackingRefBased/>
  <w15:docId w15:val="{44CD3466-55B3-41CC-8A38-02F4159BD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EastAsia" w:hAnsi="Garamond"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381950">
      <w:bodyDiv w:val="1"/>
      <w:marLeft w:val="0"/>
      <w:marRight w:val="0"/>
      <w:marTop w:val="0"/>
      <w:marBottom w:val="0"/>
      <w:divBdr>
        <w:top w:val="none" w:sz="0" w:space="0" w:color="auto"/>
        <w:left w:val="none" w:sz="0" w:space="0" w:color="auto"/>
        <w:bottom w:val="none" w:sz="0" w:space="0" w:color="auto"/>
        <w:right w:val="none" w:sz="0" w:space="0" w:color="auto"/>
      </w:divBdr>
    </w:div>
    <w:div w:id="1073088103">
      <w:bodyDiv w:val="1"/>
      <w:marLeft w:val="0"/>
      <w:marRight w:val="0"/>
      <w:marTop w:val="0"/>
      <w:marBottom w:val="0"/>
      <w:divBdr>
        <w:top w:val="none" w:sz="0" w:space="0" w:color="auto"/>
        <w:left w:val="none" w:sz="0" w:space="0" w:color="auto"/>
        <w:bottom w:val="none" w:sz="0" w:space="0" w:color="auto"/>
        <w:right w:val="none" w:sz="0" w:space="0" w:color="auto"/>
      </w:divBdr>
      <w:divsChild>
        <w:div w:id="2109307123">
          <w:marLeft w:val="0"/>
          <w:marRight w:val="0"/>
          <w:marTop w:val="0"/>
          <w:marBottom w:val="0"/>
          <w:divBdr>
            <w:top w:val="none" w:sz="0" w:space="0" w:color="auto"/>
            <w:left w:val="none" w:sz="0" w:space="0" w:color="auto"/>
            <w:bottom w:val="none" w:sz="0" w:space="0" w:color="auto"/>
            <w:right w:val="none" w:sz="0" w:space="0" w:color="auto"/>
          </w:divBdr>
          <w:divsChild>
            <w:div w:id="1343512486">
              <w:marLeft w:val="0"/>
              <w:marRight w:val="0"/>
              <w:marTop w:val="0"/>
              <w:marBottom w:val="0"/>
              <w:divBdr>
                <w:top w:val="none" w:sz="0" w:space="0" w:color="auto"/>
                <w:left w:val="none" w:sz="0" w:space="0" w:color="auto"/>
                <w:bottom w:val="none" w:sz="0" w:space="0" w:color="auto"/>
                <w:right w:val="none" w:sz="0" w:space="0" w:color="auto"/>
              </w:divBdr>
            </w:div>
            <w:div w:id="2044478328">
              <w:marLeft w:val="0"/>
              <w:marRight w:val="0"/>
              <w:marTop w:val="0"/>
              <w:marBottom w:val="0"/>
              <w:divBdr>
                <w:top w:val="none" w:sz="0" w:space="0" w:color="auto"/>
                <w:left w:val="none" w:sz="0" w:space="0" w:color="auto"/>
                <w:bottom w:val="none" w:sz="0" w:space="0" w:color="auto"/>
                <w:right w:val="none" w:sz="0" w:space="0" w:color="auto"/>
              </w:divBdr>
            </w:div>
            <w:div w:id="179552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907</TotalTime>
  <Pages>3</Pages>
  <Words>848</Words>
  <Characters>4836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Sell</dc:creator>
  <cp:keywords/>
  <dc:description/>
  <cp:lastModifiedBy>Morgan Sell</cp:lastModifiedBy>
  <cp:revision>166</cp:revision>
  <dcterms:created xsi:type="dcterms:W3CDTF">2020-04-27T00:38:00Z</dcterms:created>
  <dcterms:modified xsi:type="dcterms:W3CDTF">2020-04-27T20:40:00Z</dcterms:modified>
</cp:coreProperties>
</file>