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0D9488"/>
          <w:sz w:val="34"/>
        </w:rPr>
        <w:t>ACADESYS</w:t>
      </w:r>
    </w:p>
    <w:p>
      <w:pPr>
        <w:pStyle w:val="Title"/>
        <w:jc w:val="center"/>
      </w:pPr>
      <w:r>
        <w:t>Guía de implementación</w:t>
        <w:br/>
        <w:t>para Morgan</w:t>
      </w:r>
    </w:p>
    <w:p>
      <w:pPr>
        <w:jc w:val="center"/>
      </w:pPr>
      <w:r>
        <w:rPr>
          <w:color w:val="334155"/>
          <w:sz w:val="26"/>
        </w:rPr>
        <w:t>Fullstack · enfoque principal en backend</w:t>
      </w:r>
    </w:p>
    <w:p>
      <w:pPr>
        <w:spacing w:before="400"/>
        <w:jc w:val="center"/>
      </w:pPr>
      <w:r>
        <w:rPr>
          <w:b/>
          <w:color w:val="2563EB"/>
          <w:sz w:val="22"/>
        </w:rPr>
        <w:t>Plan técnico + código candidato + QA reproducible</w:t>
      </w:r>
    </w:p>
    <w:p>
      <w:pPr>
        <w:spacing w:before="700"/>
        <w:jc w:val="center"/>
      </w:pPr>
      <w:r>
        <w:rPr>
          <w:color w:val="64748B"/>
          <w:sz w:val="18"/>
        </w:rPr>
        <w:t>Basado en los archivos más recientes entregados el 21 de octubre de 2026</w:t>
      </w:r>
    </w:p>
    <w:p>
      <w:pPr>
        <w:spacing w:before="1300"/>
        <w:jc w:val="center"/>
      </w:pPr>
      <w:r>
        <w:rPr>
          <w:b/>
          <w:color w:val="0F172A"/>
          <w:sz w:val="22"/>
        </w:rPr>
        <w:t>Morgan · Torito · Luis · Dante · Yan</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60"/>
            </w:pPr>
            <w:r/>
            <w:r>
              <w:rPr>
                <w:b/>
                <w:color w:val="0F172A"/>
                <w:sz w:val="20"/>
              </w:rPr>
              <w:t>DECISIÓN CENTRAL</w:t>
            </w:r>
          </w:p>
          <w:p>
            <w:pPr>
              <w:spacing w:after="0" w:line="252" w:lineRule="auto"/>
            </w:pPr>
            <w:r>
              <w:rPr>
                <w:color w:val="334155"/>
                <w:sz w:val="18"/>
              </w:rPr>
              <w:t>No rehacer el backend de forma masiva. Cerrar correo, seguridad de reinscripción, contratos API y pruebas de punta a punta en QA; mantener protegido Aiven y no publicar mientras siga vigente el bloqueo de Auto-Deploy.</w:t>
            </w:r>
          </w:p>
        </w:tc>
      </w:tr>
    </w:tbl>
    <w:p>
      <w:pPr>
        <w:spacing w:after="0"/>
      </w:pPr>
    </w:p>
    <w:p>
      <w:r>
        <w:br w:type="page"/>
      </w:r>
    </w:p>
    <w:p>
      <w:pPr>
        <w:pStyle w:val="Heading1"/>
      </w:pPr>
      <w:r>
        <w:t>1. Resumen ejecutivo</w:t>
      </w:r>
    </w:p>
    <w:p>
      <w:r>
        <w:rPr>
          <w:i w:val="0"/>
        </w:rPr>
        <w:t>Tu función es integrar la parte crítica: que el visitante pueda iniciar una matrícula, que el sistema valide el ciclo/precio/capacidad en el servidor, que el usuario reciba instrucciones de acceso y que cada respuesta sea honesta. También debes coordinar con Yan y Torito para que no existan reglas distintas entre pantalla, API y BD.</w:t>
      </w:r>
    </w:p>
    <w:tbl>
      <w:tblPr>
        <w:tblW w:type="auto" w:w="0"/>
        <w:jc w:val="center"/>
        <w:tblLook w:firstColumn="1" w:firstRow="1" w:lastColumn="0" w:lastRow="0" w:noHBand="0" w:noVBand="1" w:val="04A0"/>
      </w:tblPr>
      <w:tblGrid>
        <w:gridCol w:w="10166"/>
      </w:tblGrid>
      <w:tr>
        <w:tc>
          <w:tcPr>
            <w:tcW w:type="dxa" w:w="10166"/>
            <w:shd w:fill="FFF7ED"/>
            <w:tcMar>
              <w:top w:w="140" w:type="dxa"/>
              <w:start w:w="180" w:type="dxa"/>
              <w:bottom w:w="140" w:type="dxa"/>
              <w:end w:w="180" w:type="dxa"/>
            </w:tcMar>
          </w:tcPr>
          <w:p>
            <w:pPr>
              <w:spacing w:after="60"/>
            </w:pPr>
            <w:r/>
            <w:r>
              <w:rPr>
                <w:b/>
                <w:color w:val="0F172A"/>
                <w:sz w:val="20"/>
              </w:rPr>
              <w:t>Estado realista</w:t>
            </w:r>
          </w:p>
          <w:p>
            <w:pPr>
              <w:spacing w:after="0" w:line="252" w:lineRule="auto"/>
            </w:pPr>
            <w:r>
              <w:rPr>
                <w:color w:val="334155"/>
                <w:sz w:val="18"/>
              </w:rPr>
              <w:t>Los informes anteriores muestran suites automáticas en verde, pero la consolidación más reciente declara que no se certificó el DDL vivo de Aiven ni se realizaron escrituras funcionales. Este documento no afirma que se hayan probado el proveedor real de correo, React en navegador o el checkout completo.</w:t>
            </w:r>
          </w:p>
        </w:tc>
      </w:tr>
    </w:tbl>
    <w:p>
      <w:pPr>
        <w:spacing w:after="0"/>
      </w:pPr>
    </w:p>
    <w:p>
      <w:pPr>
        <w:pStyle w:val="Heading2"/>
      </w:pPr>
      <w:r>
        <w:t>Fuentes usadas</w:t>
      </w:r>
    </w:p>
    <w:p>
      <w:pPr>
        <w:pStyle w:val="ListBullet"/>
        <w:spacing w:after="40"/>
      </w:pPr>
      <w:r>
        <w:t>Plan_Maestro_QA_AcadeSys_Equipo(1).docx: sección 19.2 (Morgan), fases comunes, reglas anti-escritura en producción y criterios APTO/NO APTO.</w:t>
      </w:r>
    </w:p>
    <w:p>
      <w:pPr>
        <w:pStyle w:val="ListBullet"/>
        <w:spacing w:after="40"/>
      </w:pPr>
      <w:r>
        <w:t>BACKEND(7).md: CONSOLIDACION_BACKEND.md, auth, matrícula, pagos, notas/actas, asistencia y FotoUrl.</w:t>
      </w:r>
    </w:p>
    <w:p>
      <w:pPr>
        <w:pStyle w:val="ListBullet"/>
        <w:spacing w:after="40"/>
      </w:pPr>
      <w:r>
        <w:t>FRONTEND(7).md: src/services/api.js, LandingPage.jsx, normalizadores, páginas de perfil y reportes frontend.</w:t>
      </w:r>
    </w:p>
    <w:p>
      <w:pPr>
        <w:pStyle w:val="ListBullet"/>
        <w:spacing w:after="40"/>
      </w:pPr>
      <w:r>
        <w:t>diagrama(2).pdf: páginas 1-4, relaciones de Usuario, Matricula, Evaluacion, PagosMensualidad, CorreosPendientes, Asistencia, Aula y HorarioCurso.</w:t>
      </w:r>
    </w:p>
    <w:p>
      <w:pPr>
        <w:pStyle w:val="Heading2"/>
      </w:pPr>
      <w:r>
        <w:t>Cómo interpretar este documento</w:t>
      </w:r>
    </w:p>
    <w:tbl>
      <w:tblPr>
        <w:tblStyle w:val="TableGrid"/>
        <w:tblW w:type="auto" w:w="0"/>
        <w:jc w:val="center"/>
        <w:tblLayout w:type="fixed"/>
        <w:tblLook w:firstColumn="1" w:firstRow="1" w:lastColumn="0" w:lastRow="0" w:noHBand="0" w:noVBand="1" w:val="04A0"/>
      </w:tblPr>
      <w:tblGrid>
        <w:gridCol w:w="5083"/>
        <w:gridCol w:w="5083"/>
      </w:tblGrid>
      <w:tr>
        <w:trPr>
          <w:tblHeader/>
        </w:trPr>
        <w:tc>
          <w:tcPr>
            <w:tcW w:type="dxa" w:w="2520"/>
            <w:vAlign w:val="center"/>
            <w:tcMar>
              <w:top w:w="90" w:type="dxa"/>
              <w:start w:w="100" w:type="dxa"/>
              <w:bottom w:w="90" w:type="dxa"/>
              <w:end w:w="100" w:type="dxa"/>
            </w:tcMar>
            <w:shd w:fill="0F172A"/>
          </w:tcPr>
          <w:p>
            <w:pPr>
              <w:spacing w:after="0" w:line="240" w:lineRule="auto"/>
            </w:pPr>
            <w:r/>
            <w:r>
              <w:rPr>
                <w:rFonts w:ascii="Aptos" w:hAnsi="Aptos"/>
                <w:b/>
                <w:color w:val="FFFFFF"/>
                <w:sz w:val="16"/>
              </w:rPr>
              <w:t>Etiqueta</w:t>
            </w:r>
          </w:p>
        </w:tc>
        <w:tc>
          <w:tcPr>
            <w:tcW w:type="dxa" w:w="7848"/>
            <w:vAlign w:val="center"/>
            <w:tcMar>
              <w:top w:w="90" w:type="dxa"/>
              <w:start w:w="100" w:type="dxa"/>
              <w:bottom w:w="90" w:type="dxa"/>
              <w:end w:w="100" w:type="dxa"/>
            </w:tcMar>
            <w:shd w:fill="0F172A"/>
          </w:tcPr>
          <w:p>
            <w:pPr>
              <w:spacing w:after="0" w:line="240" w:lineRule="auto"/>
            </w:pPr>
            <w:r/>
            <w:r>
              <w:rPr>
                <w:rFonts w:ascii="Aptos" w:hAnsi="Aptos"/>
                <w:b/>
                <w:color w:val="FFFFFF"/>
                <w:sz w:val="16"/>
              </w:rPr>
              <w:t>Significado</w:t>
            </w:r>
          </w:p>
        </w:tc>
      </w:tr>
      <w:tr>
        <w:trPr>
          <w:cantSplit/>
        </w:trPr>
        <w:tc>
          <w:tcPr>
            <w:tcW w:type="dxa" w:w="2520"/>
            <w:vAlign w:val="center"/>
            <w:tcMar>
              <w:top w:w="90" w:type="dxa"/>
              <w:start w:w="100" w:type="dxa"/>
              <w:bottom w:w="90" w:type="dxa"/>
              <w:end w:w="100" w:type="dxa"/>
            </w:tcMar>
          </w:tcPr>
          <w:p>
            <w:pPr>
              <w:spacing w:after="0" w:line="240" w:lineRule="auto"/>
            </w:pPr>
            <w:r/>
            <w:r>
              <w:rPr>
                <w:rFonts w:ascii="Aptos" w:hAnsi="Aptos"/>
                <w:b w:val="0"/>
                <w:color w:val="334155"/>
                <w:sz w:val="16"/>
              </w:rPr>
              <w:t>Candidato implementado en kit</w:t>
            </w:r>
          </w:p>
        </w:tc>
        <w:tc>
          <w:tcPr>
            <w:tcW w:type="dxa" w:w="7848"/>
            <w:vAlign w:val="center"/>
            <w:tcMar>
              <w:top w:w="90" w:type="dxa"/>
              <w:start w:w="100" w:type="dxa"/>
              <w:bottom w:w="90" w:type="dxa"/>
              <w:end w:w="100" w:type="dxa"/>
            </w:tcMar>
          </w:tcPr>
          <w:p>
            <w:pPr>
              <w:spacing w:after="0" w:line="240" w:lineRule="auto"/>
            </w:pPr>
            <w:r/>
            <w:r>
              <w:rPr>
                <w:rFonts w:ascii="Aptos" w:hAnsi="Aptos"/>
                <w:b w:val="0"/>
                <w:color w:val="334155"/>
                <w:sz w:val="16"/>
              </w:rPr>
              <w:t>Cambio escrito en archivos del kit; debe revisarse y probarse en el repositorio real.</w:t>
            </w:r>
          </w:p>
        </w:tc>
      </w:tr>
      <w:tr>
        <w:trPr>
          <w:cantSplit/>
        </w:trPr>
        <w:tc>
          <w:tcPr>
            <w:tcW w:type="dxa" w:w="2520"/>
            <w:vAlign w:val="center"/>
            <w:tcMar>
              <w:top w:w="90" w:type="dxa"/>
              <w:start w:w="100" w:type="dxa"/>
              <w:bottom w:w="90" w:type="dxa"/>
              <w:end w:w="100" w:type="dxa"/>
            </w:tcMar>
            <w:shd w:fill="F8FAFC"/>
          </w:tcPr>
          <w:p>
            <w:pPr>
              <w:spacing w:after="0" w:line="240" w:lineRule="auto"/>
            </w:pPr>
            <w:r/>
            <w:r>
              <w:rPr>
                <w:rFonts w:ascii="Aptos" w:hAnsi="Aptos"/>
                <w:b w:val="0"/>
                <w:color w:val="334155"/>
                <w:sz w:val="16"/>
              </w:rPr>
              <w:t>Reportado por fuente</w:t>
            </w:r>
          </w:p>
        </w:tc>
        <w:tc>
          <w:tcPr>
            <w:tcW w:type="dxa" w:w="7848"/>
            <w:vAlign w:val="center"/>
            <w:tcMar>
              <w:top w:w="90" w:type="dxa"/>
              <w:start w:w="100" w:type="dxa"/>
              <w:bottom w:w="90" w:type="dxa"/>
              <w:end w:w="100" w:type="dxa"/>
            </w:tcMar>
            <w:shd w:fill="F8FAFC"/>
          </w:tcPr>
          <w:p>
            <w:pPr>
              <w:spacing w:after="0" w:line="240" w:lineRule="auto"/>
            </w:pPr>
            <w:r/>
            <w:r>
              <w:rPr>
                <w:rFonts w:ascii="Aptos" w:hAnsi="Aptos"/>
                <w:b w:val="0"/>
                <w:color w:val="334155"/>
                <w:sz w:val="16"/>
              </w:rPr>
              <w:t>Un informe afirma que pasó; no se ejecutó nuevamente aquí.</w:t>
            </w:r>
          </w:p>
        </w:tc>
      </w:tr>
      <w:tr>
        <w:trPr>
          <w:cantSplit/>
        </w:trPr>
        <w:tc>
          <w:tcPr>
            <w:tcW w:type="dxa" w:w="2520"/>
            <w:vAlign w:val="center"/>
            <w:tcMar>
              <w:top w:w="90" w:type="dxa"/>
              <w:start w:w="100" w:type="dxa"/>
              <w:bottom w:w="90" w:type="dxa"/>
              <w:end w:w="100" w:type="dxa"/>
            </w:tcMar>
          </w:tcPr>
          <w:p>
            <w:pPr>
              <w:spacing w:after="0" w:line="240" w:lineRule="auto"/>
            </w:pPr>
            <w:r/>
            <w:r>
              <w:rPr>
                <w:rFonts w:ascii="Aptos" w:hAnsi="Aptos"/>
                <w:b w:val="0"/>
                <w:color w:val="334155"/>
                <w:sz w:val="16"/>
              </w:rPr>
              <w:t>Pendiente real</w:t>
            </w:r>
          </w:p>
        </w:tc>
        <w:tc>
          <w:tcPr>
            <w:tcW w:type="dxa" w:w="7848"/>
            <w:vAlign w:val="center"/>
            <w:tcMar>
              <w:top w:w="90" w:type="dxa"/>
              <w:start w:w="100" w:type="dxa"/>
              <w:bottom w:w="90" w:type="dxa"/>
              <w:end w:w="100" w:type="dxa"/>
            </w:tcMar>
          </w:tcPr>
          <w:p>
            <w:pPr>
              <w:spacing w:after="0" w:line="240" w:lineRule="auto"/>
            </w:pPr>
            <w:r/>
            <w:r>
              <w:rPr>
                <w:rFonts w:ascii="Aptos" w:hAnsi="Aptos"/>
                <w:b w:val="0"/>
                <w:color w:val="334155"/>
                <w:sz w:val="16"/>
              </w:rPr>
              <w:t>Falta integración navegador, proveedor externo, SQL real o decisión de negocio.</w:t>
            </w:r>
          </w:p>
        </w:tc>
      </w:tr>
      <w:tr>
        <w:trPr>
          <w:cantSplit/>
        </w:trPr>
        <w:tc>
          <w:tcPr>
            <w:tcW w:type="dxa" w:w="2520"/>
            <w:vAlign w:val="center"/>
            <w:tcMar>
              <w:top w:w="90" w:type="dxa"/>
              <w:start w:w="100" w:type="dxa"/>
              <w:bottom w:w="90" w:type="dxa"/>
              <w:end w:w="100" w:type="dxa"/>
            </w:tcMar>
            <w:shd w:fill="F8FAFC"/>
          </w:tcPr>
          <w:p>
            <w:pPr>
              <w:spacing w:after="0" w:line="240" w:lineRule="auto"/>
            </w:pPr>
            <w:r/>
            <w:r>
              <w:rPr>
                <w:rFonts w:ascii="Aptos" w:hAnsi="Aptos"/>
                <w:b w:val="0"/>
                <w:color w:val="334155"/>
                <w:sz w:val="16"/>
              </w:rPr>
              <w:t>Bloqueante de despliegue</w:t>
            </w:r>
          </w:p>
        </w:tc>
        <w:tc>
          <w:tcPr>
            <w:tcW w:type="dxa" w:w="7848"/>
            <w:vAlign w:val="center"/>
            <w:tcMar>
              <w:top w:w="90" w:type="dxa"/>
              <w:start w:w="100" w:type="dxa"/>
              <w:bottom w:w="90" w:type="dxa"/>
              <w:end w:w="100" w:type="dxa"/>
            </w:tcMar>
            <w:shd w:fill="F8FAFC"/>
          </w:tcPr>
          <w:p>
            <w:pPr>
              <w:spacing w:after="0" w:line="240" w:lineRule="auto"/>
            </w:pPr>
            <w:r/>
            <w:r>
              <w:rPr>
                <w:rFonts w:ascii="Aptos" w:hAnsi="Aptos"/>
                <w:b w:val="0"/>
                <w:color w:val="334155"/>
                <w:sz w:val="16"/>
              </w:rPr>
              <w:t>No publicar hasta resolverlo y seguir la instrucción del equipo.</w:t>
            </w:r>
          </w:p>
        </w:tc>
      </w:tr>
    </w:tbl>
    <w:p>
      <w:pPr>
        <w:spacing w:after="0"/>
      </w:pPr>
    </w:p>
    <w:p>
      <w:r>
        <w:br w:type="page"/>
      </w:r>
    </w:p>
    <w:p>
      <w:pPr>
        <w:pStyle w:val="Heading1"/>
      </w:pPr>
      <w:r>
        <w:t>2. Alcance de Morgan y coordinación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2232"/>
            <w:vAlign w:val="center"/>
            <w:tcMar>
              <w:top w:w="90" w:type="dxa"/>
              <w:start w:w="100" w:type="dxa"/>
              <w:bottom w:w="90" w:type="dxa"/>
              <w:end w:w="100" w:type="dxa"/>
            </w:tcMar>
            <w:shd w:fill="0F172A"/>
          </w:tcPr>
          <w:p>
            <w:pPr>
              <w:spacing w:after="0" w:line="240" w:lineRule="auto"/>
            </w:pPr>
            <w:r/>
            <w:r>
              <w:rPr>
                <w:rFonts w:ascii="Aptos" w:hAnsi="Aptos"/>
                <w:b/>
                <w:color w:val="FFFFFF"/>
                <w:sz w:val="16"/>
              </w:rPr>
              <w:t>Tu responsabilidad</w:t>
            </w:r>
          </w:p>
        </w:tc>
        <w:tc>
          <w:tcPr>
            <w:tcW w:type="dxa" w:w="5112"/>
            <w:vAlign w:val="center"/>
            <w:tcMar>
              <w:top w:w="90" w:type="dxa"/>
              <w:start w:w="100" w:type="dxa"/>
              <w:bottom w:w="90" w:type="dxa"/>
              <w:end w:w="100" w:type="dxa"/>
            </w:tcMar>
            <w:shd w:fill="0F172A"/>
          </w:tcPr>
          <w:p>
            <w:pPr>
              <w:spacing w:after="0" w:line="240" w:lineRule="auto"/>
            </w:pPr>
            <w:r/>
            <w:r>
              <w:rPr>
                <w:rFonts w:ascii="Aptos" w:hAnsi="Aptos"/>
                <w:b/>
                <w:color w:val="FFFFFF"/>
                <w:sz w:val="16"/>
              </w:rPr>
              <w:t>Qué debes entregar</w:t>
            </w:r>
          </w:p>
        </w:tc>
        <w:tc>
          <w:tcPr>
            <w:tcW w:type="dxa" w:w="3024"/>
            <w:vAlign w:val="center"/>
            <w:tcMar>
              <w:top w:w="90" w:type="dxa"/>
              <w:start w:w="100" w:type="dxa"/>
              <w:bottom w:w="90" w:type="dxa"/>
              <w:end w:w="100" w:type="dxa"/>
            </w:tcMar>
            <w:shd w:fill="0F172A"/>
          </w:tcPr>
          <w:p>
            <w:pPr>
              <w:spacing w:after="0" w:line="240" w:lineRule="auto"/>
            </w:pPr>
            <w:r/>
            <w:r>
              <w:rPr>
                <w:rFonts w:ascii="Aptos" w:hAnsi="Aptos"/>
                <w:b/>
                <w:color w:val="FFFFFF"/>
                <w:sz w:val="16"/>
              </w:rPr>
              <w:t>Con quién</w:t>
            </w:r>
          </w:p>
        </w:tc>
      </w:tr>
      <w:tr>
        <w:trPr>
          <w:cantSplit/>
        </w:trPr>
        <w:tc>
          <w:tcPr>
            <w:tcW w:type="dxa" w:w="2232"/>
            <w:vAlign w:val="center"/>
            <w:tcMar>
              <w:top w:w="90" w:type="dxa"/>
              <w:start w:w="100" w:type="dxa"/>
              <w:bottom w:w="90" w:type="dxa"/>
              <w:end w:w="100" w:type="dxa"/>
            </w:tcMar>
          </w:tcPr>
          <w:p>
            <w:pPr>
              <w:spacing w:after="0" w:line="240" w:lineRule="auto"/>
            </w:pPr>
            <w:r/>
            <w:r>
              <w:rPr>
                <w:rFonts w:ascii="Aptos" w:hAnsi="Aptos"/>
                <w:b w:val="0"/>
                <w:color w:val="334155"/>
                <w:sz w:val="15"/>
              </w:rPr>
              <w:t>Correo y entorno P0</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5"/>
              </w:rPr>
              <w:t>Checklist sin secretos y evidencia de envío/recepción de correo QA.</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5"/>
              </w:rPr>
              <w:t>Torito para servidor; Yan para mensajes UI.</w:t>
            </w:r>
          </w:p>
        </w:tc>
      </w:tr>
      <w:tr>
        <w:trPr>
          <w:cantSplit/>
        </w:trPr>
        <w:tc>
          <w:tcPr>
            <w:tcW w:type="dxa" w:w="2232"/>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Contrato frontend/API</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Lista de campos, estados y códigos HTTP; discrepancias resueltas.</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Yan, responsable de src/services/api.js.</w:t>
            </w:r>
          </w:p>
        </w:tc>
      </w:tr>
      <w:tr>
        <w:trPr>
          <w:cantSplit/>
        </w:trPr>
        <w:tc>
          <w:tcPr>
            <w:tcW w:type="dxa" w:w="2232"/>
            <w:vAlign w:val="center"/>
            <w:tcMar>
              <w:top w:w="90" w:type="dxa"/>
              <w:start w:w="100" w:type="dxa"/>
              <w:bottom w:w="90" w:type="dxa"/>
              <w:end w:w="100" w:type="dxa"/>
            </w:tcMar>
          </w:tcPr>
          <w:p>
            <w:pPr>
              <w:spacing w:after="0" w:line="240" w:lineRule="auto"/>
            </w:pPr>
            <w:r/>
            <w:r>
              <w:rPr>
                <w:rFonts w:ascii="Aptos" w:hAnsi="Aptos"/>
                <w:b w:val="0"/>
                <w:color w:val="334155"/>
                <w:sz w:val="15"/>
              </w:rPr>
              <w:t>Matrícula y pago simulado</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5"/>
              </w:rPr>
              <w:t>Evidencia de precio/capacidad desde el servidor; estado Pendiente y respuesta de correo veraz.</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5"/>
              </w:rPr>
              <w:t>Torito para validaciones; Luis para landing/checkout.</w:t>
            </w:r>
          </w:p>
        </w:tc>
      </w:tr>
      <w:tr>
        <w:trPr>
          <w:cantSplit/>
        </w:trPr>
        <w:tc>
          <w:tcPr>
            <w:tcW w:type="dxa" w:w="2232"/>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Integración de versión</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Rama/commit exactos, tests ejecutados, bugs reproducibles y resumen de go/no-go.</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Los cinco integrantes.</w:t>
            </w:r>
          </w:p>
        </w:tc>
      </w:tr>
      <w:tr>
        <w:trPr>
          <w:cantSplit/>
        </w:trPr>
        <w:tc>
          <w:tcPr>
            <w:tcW w:type="dxa" w:w="2232"/>
            <w:vAlign w:val="center"/>
            <w:tcMar>
              <w:top w:w="90" w:type="dxa"/>
              <w:start w:w="100" w:type="dxa"/>
              <w:bottom w:w="90" w:type="dxa"/>
              <w:end w:w="100" w:type="dxa"/>
            </w:tcMar>
          </w:tcPr>
          <w:p>
            <w:pPr>
              <w:spacing w:after="0" w:line="240" w:lineRule="auto"/>
            </w:pPr>
            <w:r/>
            <w:r>
              <w:rPr>
                <w:rFonts w:ascii="Aptos" w:hAnsi="Aptos"/>
                <w:b w:val="0"/>
                <w:color w:val="334155"/>
                <w:sz w:val="15"/>
              </w:rPr>
              <w:t>Foto de perfil</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5"/>
              </w:rPr>
              <w:t>Verificar FotoUrl y almacenamiento persistente; sin ALTER en producción durante QA.</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5"/>
              </w:rPr>
              <w:t>Yan para perfil; Torito si hay migración.</w:t>
            </w:r>
          </w:p>
        </w:tc>
      </w:tr>
      <w:tr>
        <w:trPr>
          <w:cantSplit/>
        </w:trPr>
        <w:tc>
          <w:tcPr>
            <w:tcW w:type="dxa" w:w="2232"/>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Notas/actas/asistencia</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Asegurar que el contrato acordado no invente columnas ni habilite accesos inseguros.</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Torito lidera reglas; Dante comprueba la pantalla.</w:t>
            </w:r>
          </w:p>
        </w:tc>
      </w:tr>
    </w:tbl>
    <w:p>
      <w:pPr>
        <w:spacing w:after="0"/>
      </w:pPr>
    </w:p>
    <w:p>
      <w:pPr>
        <w:pStyle w:val="Heading2"/>
      </w:pPr>
      <w:r>
        <w:t>Lo que no debes asumir</w:t>
      </w:r>
    </w:p>
    <w:p>
      <w:pPr>
        <w:pStyle w:val="ListBullet"/>
        <w:spacing w:after="40"/>
      </w:pPr>
      <w:r>
        <w:t>No eres el único responsable de probar todo. Cada integrante prueba su módulo; tú coordinas el recorrido integrado.</w:t>
      </w:r>
    </w:p>
    <w:p>
      <w:pPr>
        <w:pStyle w:val="ListBullet"/>
        <w:spacing w:after="40"/>
      </w:pPr>
      <w:r>
        <w:t>No modifiques api.js en paralelo con Yan. Acordar contrato primero.</w:t>
      </w:r>
    </w:p>
    <w:p>
      <w:pPr>
        <w:pStyle w:val="ListBullet"/>
        <w:spacing w:after="40"/>
      </w:pPr>
      <w:r>
        <w:t>No ejecutes migraciones ni pruebas de escritura contra Aiven de producción.</w:t>
      </w:r>
    </w:p>
    <w:p>
      <w:pPr>
        <w:pStyle w:val="ListBullet"/>
        <w:spacing w:after="40"/>
      </w:pPr>
      <w:r>
        <w:t>No uses el informe antiguo para contradecir el encabezado vigente de CONSOLIDACION_BACKEND.md.</w:t>
      </w:r>
    </w:p>
    <w:p>
      <w:pPr>
        <w:pStyle w:val="ListBullet"/>
        <w:spacing w:after="40"/>
      </w:pPr>
      <w:r>
        <w:t>No anunciar como “pago realizado” lo que es pago simulado pendiente.</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60"/>
            </w:pPr>
            <w:r/>
            <w:r>
              <w:rPr>
                <w:b/>
                <w:color w:val="0F172A"/>
                <w:sz w:val="20"/>
              </w:rPr>
              <w:t>Orden de colaboración</w:t>
            </w:r>
          </w:p>
          <w:p>
            <w:pPr>
              <w:spacing w:after="0" w:line="252" w:lineRule="auto"/>
            </w:pPr>
            <w:r>
              <w:rPr>
                <w:color w:val="334155"/>
                <w:sz w:val="18"/>
              </w:rPr>
              <w:t>Morgan coordina y aporta integración/backend; Torito lidera permisos/reglas SQL; Luis entrega el recorrido público; Dante las pantallas administrativas; Yan el contrato central, navegación y consistencia de frontend.</w:t>
            </w:r>
          </w:p>
        </w:tc>
      </w:tr>
    </w:tbl>
    <w:p>
      <w:pPr>
        <w:spacing w:after="0"/>
      </w:pPr>
    </w:p>
    <w:p>
      <w:r>
        <w:br w:type="page"/>
      </w:r>
    </w:p>
    <w:p>
      <w:pPr>
        <w:pStyle w:val="Heading1"/>
      </w:pPr>
      <w:r>
        <w:t>3. Hallazgos principales en el código reciente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936"/>
            <w:vAlign w:val="center"/>
            <w:tcMar>
              <w:top w:w="90" w:type="dxa"/>
              <w:start w:w="100" w:type="dxa"/>
              <w:bottom w:w="90" w:type="dxa"/>
              <w:end w:w="100" w:type="dxa"/>
            </w:tcMar>
            <w:shd w:fill="0F172A"/>
          </w:tcPr>
          <w:p>
            <w:pPr>
              <w:spacing w:after="0" w:line="240" w:lineRule="auto"/>
            </w:pPr>
            <w:r/>
            <w:r>
              <w:rPr>
                <w:rFonts w:ascii="Aptos" w:hAnsi="Aptos"/>
                <w:b/>
                <w:color w:val="FFFFFF"/>
                <w:sz w:val="16"/>
              </w:rPr>
              <w:t>Prioridad</w:t>
            </w:r>
          </w:p>
        </w:tc>
        <w:tc>
          <w:tcPr>
            <w:tcW w:type="dxa" w:w="4464"/>
            <w:vAlign w:val="center"/>
            <w:tcMar>
              <w:top w:w="90" w:type="dxa"/>
              <w:start w:w="100" w:type="dxa"/>
              <w:bottom w:w="90" w:type="dxa"/>
              <w:end w:w="100" w:type="dxa"/>
            </w:tcMar>
            <w:shd w:fill="0F172A"/>
          </w:tcPr>
          <w:p>
            <w:pPr>
              <w:spacing w:after="0" w:line="240" w:lineRule="auto"/>
            </w:pPr>
            <w:r/>
            <w:r>
              <w:rPr>
                <w:rFonts w:ascii="Aptos" w:hAnsi="Aptos"/>
                <w:b/>
                <w:color w:val="FFFFFF"/>
                <w:sz w:val="16"/>
              </w:rPr>
              <w:t>Hallazgo</w:t>
            </w:r>
          </w:p>
        </w:tc>
        <w:tc>
          <w:tcPr>
            <w:tcW w:type="dxa" w:w="4968"/>
            <w:vAlign w:val="center"/>
            <w:tcMar>
              <w:top w:w="90" w:type="dxa"/>
              <w:start w:w="100" w:type="dxa"/>
              <w:bottom w:w="90" w:type="dxa"/>
              <w:end w:w="100" w:type="dxa"/>
            </w:tcMar>
            <w:shd w:fill="0F172A"/>
          </w:tcPr>
          <w:p>
            <w:pPr>
              <w:spacing w:after="0" w:line="240" w:lineRule="auto"/>
            </w:pPr>
            <w:r/>
            <w:r>
              <w:rPr>
                <w:rFonts w:ascii="Aptos" w:hAnsi="Aptos"/>
                <w:b/>
                <w:color w:val="FFFFFF"/>
                <w:sz w:val="16"/>
              </w:rPr>
              <w:t>Qué hacer</w:t>
            </w:r>
          </w:p>
        </w:tc>
      </w:tr>
      <w:tr>
        <w:trPr>
          <w:cantSplit/>
        </w:trPr>
        <w:tc>
          <w:tcPr>
            <w:tcW w:type="dxa" w:w="936"/>
            <w:vAlign w:val="center"/>
            <w:tcMar>
              <w:top w:w="90" w:type="dxa"/>
              <w:start w:w="100" w:type="dxa"/>
              <w:bottom w:w="90" w:type="dxa"/>
              <w:end w:w="100" w:type="dxa"/>
            </w:tcMar>
          </w:tcPr>
          <w:p>
            <w:pPr>
              <w:spacing w:after="0" w:line="240" w:lineRule="auto"/>
            </w:pPr>
            <w:r/>
            <w:r>
              <w:rPr>
                <w:rFonts w:ascii="Aptos" w:hAnsi="Aptos"/>
                <w:b w:val="0"/>
                <w:color w:val="334155"/>
                <w:sz w:val="15"/>
              </w:rPr>
              <w:t>P0</w:t>
            </w:r>
          </w:p>
        </w:tc>
        <w:tc>
          <w:tcPr>
            <w:tcW w:type="dxa" w:w="4464"/>
            <w:vAlign w:val="center"/>
            <w:tcMar>
              <w:top w:w="90" w:type="dxa"/>
              <w:start w:w="100" w:type="dxa"/>
              <w:bottom w:w="90" w:type="dxa"/>
              <w:end w:w="100" w:type="dxa"/>
            </w:tcMar>
          </w:tcPr>
          <w:p>
            <w:pPr>
              <w:spacing w:after="0" w:line="240" w:lineRule="auto"/>
            </w:pPr>
            <w:r/>
            <w:r>
              <w:rPr>
                <w:rFonts w:ascii="Aptos" w:hAnsi="Aptos"/>
                <w:b w:val="0"/>
                <w:color w:val="334155"/>
                <w:sz w:val="15"/>
              </w:rPr>
              <w:t>Checkout enviaba correo en segundo plano y respondía antes de conocer resultado.</w:t>
            </w:r>
          </w:p>
        </w:tc>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5"/>
              </w:rPr>
              <w:t>El kit espera la confirmación del proveedor y distingue correo enviado/fallido.</w:t>
            </w:r>
          </w:p>
        </w:tc>
      </w:tr>
      <w:tr>
        <w:trPr>
          <w:cantSplit/>
        </w:trPr>
        <w:tc>
          <w:tcPr>
            <w:tcW w:type="dxa" w:w="936"/>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P0</w:t>
            </w:r>
          </w:p>
        </w:tc>
        <w:tc>
          <w:tcPr>
            <w:tcW w:type="dxa" w:w="4464"/>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Una cuenta existente podía ser objetivo de reinscripción conociendo solo el correo.</w:t>
            </w:r>
          </w:p>
        </w:tc>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El kit exige sesión del mismo alumno y academia para reutilizar una cuenta.</w:t>
            </w:r>
          </w:p>
        </w:tc>
      </w:tr>
      <w:tr>
        <w:trPr>
          <w:cantSplit/>
        </w:trPr>
        <w:tc>
          <w:tcPr>
            <w:tcW w:type="dxa" w:w="936"/>
            <w:vAlign w:val="center"/>
            <w:tcMar>
              <w:top w:w="90" w:type="dxa"/>
              <w:start w:w="100" w:type="dxa"/>
              <w:bottom w:w="90" w:type="dxa"/>
              <w:end w:w="100" w:type="dxa"/>
            </w:tcMar>
          </w:tcPr>
          <w:p>
            <w:pPr>
              <w:spacing w:after="0" w:line="240" w:lineRule="auto"/>
            </w:pPr>
            <w:r/>
            <w:r>
              <w:rPr>
                <w:rFonts w:ascii="Aptos" w:hAnsi="Aptos"/>
                <w:b w:val="0"/>
                <w:color w:val="334155"/>
                <w:sz w:val="15"/>
              </w:rPr>
              <w:t>P0</w:t>
            </w:r>
          </w:p>
        </w:tc>
        <w:tc>
          <w:tcPr>
            <w:tcW w:type="dxa" w:w="4464"/>
            <w:vAlign w:val="center"/>
            <w:tcMar>
              <w:top w:w="90" w:type="dxa"/>
              <w:start w:w="100" w:type="dxa"/>
              <w:bottom w:w="90" w:type="dxa"/>
              <w:end w:w="100" w:type="dxa"/>
            </w:tcMar>
          </w:tcPr>
          <w:p>
            <w:pPr>
              <w:spacing w:after="0" w:line="240" w:lineRule="auto"/>
            </w:pPr>
            <w:r/>
            <w:r>
              <w:rPr>
                <w:rFonts w:ascii="Aptos" w:hAnsi="Aptos"/>
                <w:b w:val="0"/>
                <w:color w:val="334155"/>
                <w:sz w:val="15"/>
              </w:rPr>
              <w:t>GOOGLE_SCRIPT_URL queda vacía en .env.example.</w:t>
            </w:r>
          </w:p>
        </w:tc>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5"/>
              </w:rPr>
              <w:t>Configurar secreto HTTPS en ambiente de prueba; probar recepción.</w:t>
            </w:r>
          </w:p>
        </w:tc>
      </w:tr>
      <w:tr>
        <w:trPr>
          <w:cantSplit/>
        </w:trPr>
        <w:tc>
          <w:tcPr>
            <w:tcW w:type="dxa" w:w="936"/>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P0</w:t>
            </w:r>
          </w:p>
        </w:tc>
        <w:tc>
          <w:tcPr>
            <w:tcW w:type="dxa" w:w="4464"/>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Verificar correo no prueba control del buzón.</w:t>
            </w:r>
          </w:p>
        </w:tc>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No llamar “verificación de identidad”. Falta rediseñar contrato y añadir límites/flujo de correo.</w:t>
            </w:r>
          </w:p>
        </w:tc>
      </w:tr>
      <w:tr>
        <w:trPr>
          <w:cantSplit/>
        </w:trPr>
        <w:tc>
          <w:tcPr>
            <w:tcW w:type="dxa" w:w="936"/>
            <w:vAlign w:val="center"/>
            <w:tcMar>
              <w:top w:w="90" w:type="dxa"/>
              <w:start w:w="100" w:type="dxa"/>
              <w:bottom w:w="90" w:type="dxa"/>
              <w:end w:w="100" w:type="dxa"/>
            </w:tcMar>
          </w:tcPr>
          <w:p>
            <w:pPr>
              <w:spacing w:after="0" w:line="240" w:lineRule="auto"/>
            </w:pPr>
            <w:r/>
            <w:r>
              <w:rPr>
                <w:rFonts w:ascii="Aptos" w:hAnsi="Aptos"/>
                <w:b w:val="0"/>
                <w:color w:val="334155"/>
                <w:sz w:val="15"/>
              </w:rPr>
              <w:t>P0</w:t>
            </w:r>
          </w:p>
        </w:tc>
        <w:tc>
          <w:tcPr>
            <w:tcW w:type="dxa" w:w="4464"/>
            <w:vAlign w:val="center"/>
            <w:tcMar>
              <w:top w:w="90" w:type="dxa"/>
              <w:start w:w="100" w:type="dxa"/>
              <w:bottom w:w="90" w:type="dxa"/>
              <w:end w:w="100" w:type="dxa"/>
            </w:tcMar>
          </w:tcPr>
          <w:p>
            <w:pPr>
              <w:spacing w:after="0" w:line="240" w:lineRule="auto"/>
            </w:pPr>
            <w:r/>
            <w:r>
              <w:rPr>
                <w:rFonts w:ascii="Aptos" w:hAnsi="Aptos"/>
                <w:b w:val="0"/>
                <w:color w:val="334155"/>
                <w:sz w:val="15"/>
              </w:rPr>
              <w:t>Reinscripción autoservicio aún no está completa en panel autenticado.</w:t>
            </w:r>
          </w:p>
        </w:tc>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5"/>
              </w:rPr>
              <w:t>El kit bloquea el camino público inseguro; definir con Luis/Yan el flujo de alumno existente.</w:t>
            </w:r>
          </w:p>
        </w:tc>
      </w:tr>
      <w:tr>
        <w:trPr>
          <w:cantSplit/>
        </w:trPr>
        <w:tc>
          <w:tcPr>
            <w:tcW w:type="dxa" w:w="936"/>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P1</w:t>
            </w:r>
          </w:p>
        </w:tc>
        <w:tc>
          <w:tcPr>
            <w:tcW w:type="dxa" w:w="4464"/>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DDL vivo de Aiven no certificado; falta confirmar FotoUrl e índices reales.</w:t>
            </w:r>
          </w:p>
        </w:tc>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Usar auditoría de solo lectura; no inventar ALTER.</w:t>
            </w:r>
          </w:p>
        </w:tc>
      </w:tr>
      <w:tr>
        <w:trPr>
          <w:cantSplit/>
        </w:trPr>
        <w:tc>
          <w:tcPr>
            <w:tcW w:type="dxa" w:w="936"/>
            <w:vAlign w:val="center"/>
            <w:tcMar>
              <w:top w:w="90" w:type="dxa"/>
              <w:start w:w="100" w:type="dxa"/>
              <w:bottom w:w="90" w:type="dxa"/>
              <w:end w:w="100" w:type="dxa"/>
            </w:tcMar>
          </w:tcPr>
          <w:p>
            <w:pPr>
              <w:spacing w:after="0" w:line="240" w:lineRule="auto"/>
            </w:pPr>
            <w:r/>
            <w:r>
              <w:rPr>
                <w:rFonts w:ascii="Aptos" w:hAnsi="Aptos"/>
                <w:b w:val="0"/>
                <w:color w:val="334155"/>
                <w:sz w:val="15"/>
              </w:rPr>
              <w:t>P1</w:t>
            </w:r>
          </w:p>
        </w:tc>
        <w:tc>
          <w:tcPr>
            <w:tcW w:type="dxa" w:w="4464"/>
            <w:vAlign w:val="center"/>
            <w:tcMar>
              <w:top w:w="90" w:type="dxa"/>
              <w:start w:w="100" w:type="dxa"/>
              <w:bottom w:w="90" w:type="dxa"/>
              <w:end w:w="100" w:type="dxa"/>
            </w:tcMar>
          </w:tcPr>
          <w:p>
            <w:pPr>
              <w:spacing w:after="0" w:line="240" w:lineRule="auto"/>
            </w:pPr>
            <w:r/>
            <w:r>
              <w:rPr>
                <w:rFonts w:ascii="Aptos" w:hAnsi="Aptos"/>
                <w:b w:val="0"/>
                <w:color w:val="334155"/>
                <w:sz w:val="15"/>
              </w:rPr>
              <w:t>Cierre semanal y asistencia tienen reglas pendientes.</w:t>
            </w:r>
          </w:p>
        </w:tc>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5"/>
              </w:rPr>
              <w:t>Confirmar modelo de negocio y relaciones antes de habilitarlas.</w:t>
            </w:r>
          </w:p>
        </w:tc>
      </w:tr>
      <w:tr>
        <w:trPr>
          <w:cantSplit/>
        </w:trPr>
        <w:tc>
          <w:tcPr>
            <w:tcW w:type="dxa" w:w="936"/>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P1</w:t>
            </w:r>
          </w:p>
        </w:tc>
        <w:tc>
          <w:tcPr>
            <w:tcW w:type="dxa" w:w="4464"/>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No hay rate limiting/Helmet en dependencias visibles.</w:t>
            </w:r>
          </w:p>
        </w:tc>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Torito lidera el endurecimiento después de establecer entorno y proxy confiable.</w:t>
            </w:r>
          </w:p>
        </w:tc>
      </w:tr>
    </w:tbl>
    <w:p>
      <w:pPr>
        <w:spacing w:after="0"/>
      </w:pPr>
    </w:p>
    <w:tbl>
      <w:tblPr>
        <w:tblW w:type="auto" w:w="0"/>
        <w:jc w:val="center"/>
        <w:tblLook w:firstColumn="1" w:firstRow="1" w:lastColumn="0" w:lastRow="0" w:noHBand="0" w:noVBand="1" w:val="04A0"/>
      </w:tblPr>
      <w:tblGrid>
        <w:gridCol w:w="10166"/>
      </w:tblGrid>
      <w:tr>
        <w:tc>
          <w:tcPr>
            <w:tcW w:type="dxa" w:w="10166"/>
            <w:shd w:fill="FFF7ED"/>
            <w:tcMar>
              <w:top w:w="140" w:type="dxa"/>
              <w:start w:w="180" w:type="dxa"/>
              <w:bottom w:w="140" w:type="dxa"/>
              <w:end w:w="180" w:type="dxa"/>
            </w:tcMar>
          </w:tcPr>
          <w:p>
            <w:pPr>
              <w:spacing w:after="60"/>
            </w:pPr>
            <w:r/>
            <w:r>
              <w:rPr>
                <w:b/>
                <w:color w:val="0F172A"/>
                <w:sz w:val="20"/>
              </w:rPr>
              <w:t>No exagerar evidencia</w:t>
            </w:r>
          </w:p>
          <w:p>
            <w:pPr>
              <w:spacing w:after="0" w:line="252" w:lineRule="auto"/>
            </w:pPr>
            <w:r>
              <w:rPr>
                <w:color w:val="334155"/>
                <w:sz w:val="18"/>
              </w:rPr>
              <w:t>La guía y el ZIP incluyen pruebas del helper de autorización. No se ejecutó el checkout contra MySQL ni se mandó correo usando un secreto real. Tampoco se compiló React porque el entorno de trabajo no tenía node_modules.</w:t>
            </w:r>
          </w:p>
        </w:tc>
      </w:tr>
    </w:tbl>
    <w:p>
      <w:pPr>
        <w:spacing w:after="0"/>
      </w:pPr>
    </w:p>
    <w:p>
      <w:r>
        <w:br w:type="page"/>
      </w:r>
    </w:p>
    <w:p>
      <w:pPr>
        <w:pStyle w:val="Heading1"/>
      </w:pPr>
      <w:r>
        <w:t>4. Código de backend incluido: reinscripción segura</w:t>
      </w:r>
    </w:p>
    <w:p>
      <w:r>
        <w:rPr>
          <w:i w:val="0"/>
        </w:rPr>
        <w:t>El kit incluye el archivo completo de ruta y dos módulos nuevos. Están basados en el export BACKEND(7).md y se entregan como candidato para revisar en una rama local.</w:t>
      </w:r>
    </w:p>
    <w:p>
      <w:pPr>
        <w:pStyle w:val="Heading2"/>
      </w:pPr>
      <w:r>
        <w:t>A. middlewares/autenticacion-opcional.middleware.js</w:t>
      </w:r>
    </w:p>
    <w:p>
      <w:r>
        <w:rPr>
          <w:i w:val="0"/>
        </w:rPr>
        <w:t>Permite seguir con el checkout público de alumnos nuevos. Si la petición incluye Authorization, valida el JWT con el middleware existente. Un token inválido no se ignora; debe fallar de manera controlada.</w:t>
      </w:r>
    </w:p>
    <w:p>
      <w:pPr>
        <w:pStyle w:val="Heading2"/>
      </w:pPr>
      <w:r>
        <w:t>B. utils/autorizacion-reinscripcion.js</w:t>
      </w:r>
    </w:p>
    <w:p>
      <w:r>
        <w:rPr>
          <w:i w:val="0"/>
        </w:rPr>
        <w:t>Valida, sin confiar en IDs enviados en el body, que: (1) existe sesión, (2) id de sesión coincide con el alumno hallado por correo, (3) rol es Alumno/Estudiante, (4) academia de sesión, alumno y ciclo coincide. Los resultados inesperados se rechazan por defecto.</w:t>
      </w:r>
    </w:p>
    <w:p>
      <w:pPr>
        <w:pStyle w:val="Heading2"/>
      </w:pPr>
      <w:r>
        <w:t>C. Cambio en routes/matriculas.routes.js</w:t>
      </w:r>
    </w:p>
    <w:p>
      <w:pPr>
        <w:pStyle w:val="ListBullet"/>
        <w:spacing w:after="40"/>
      </w:pPr>
      <w:r>
        <w:t>Si GOOGLE_SCRIPT_URL no está configurada, devuelve 503 CORREO_NO_CONFIGURADO antes de abrir transacción, para no crear una matrícula cuyos accesos no pueden enviarse.</w:t>
      </w:r>
    </w:p>
    <w:p>
      <w:pPr>
        <w:pStyle w:val="ListBullet"/>
        <w:spacing w:after="40"/>
      </w:pPr>
      <w:r>
        <w:t>Si el correo pertenece a una cuenta existente, el checkout exige la sesión del mismo alumno; sin sesión 401, identidad/rol/academia incorrectos 403.</w:t>
      </w:r>
    </w:p>
    <w:p>
      <w:pPr>
        <w:pStyle w:val="ListBullet"/>
        <w:spacing w:after="40"/>
      </w:pPr>
      <w:r>
        <w:t>El precio se sigue leyendo desde Ciclo.Precio. No se confía en monto enviado desde React.</w:t>
      </w:r>
    </w:p>
    <w:p>
      <w:pPr>
        <w:pStyle w:val="ListBullet"/>
        <w:spacing w:after="40"/>
      </w:pPr>
      <w:r>
        <w:t>PagosMensualidad conserva Mes=Inscripcion, Estado=Pendiente y FechaPago=NULL.</w:t>
      </w:r>
    </w:p>
    <w:p>
      <w:pPr>
        <w:pStyle w:val="ListBullet"/>
        <w:spacing w:after="40"/>
      </w:pPr>
      <w:r>
        <w:t>Después del commit se libera la conexión antes de esperar al proveedor. El fallo de correo posterior al commit responde 201 con correo.estado=fallido; la interfaz avisa no repetir el formulario.</w:t>
      </w:r>
    </w:p>
    <w:p>
      <w:pPr>
        <w:pStyle w:val="ListBullet"/>
        <w:spacing w:after="40"/>
      </w:pPr>
      <w:r>
        <w:t>Se recortan campos innecesarios de la respuesta pública y ya no se registra destinatario/cuerpo en los logs del checkout.</w:t>
      </w:r>
    </w:p>
    <w:tbl>
      <w:tblPr>
        <w:tblW w:type="auto" w:w="0"/>
        <w:jc w:val="center"/>
        <w:tblLook w:firstColumn="1" w:firstRow="1" w:lastColumn="0" w:lastRow="0" w:noHBand="0" w:noVBand="1" w:val="04A0"/>
      </w:tblPr>
      <w:tblGrid>
        <w:gridCol w:w="10166"/>
      </w:tblGrid>
      <w:tr>
        <w:tc>
          <w:tcPr>
            <w:tcW w:type="dxa" w:w="10166"/>
            <w:shd w:fill="E6FFFB"/>
            <w:tcMar>
              <w:top w:w="140" w:type="dxa"/>
              <w:start w:w="180" w:type="dxa"/>
              <w:bottom w:w="140" w:type="dxa"/>
              <w:end w:w="180" w:type="dxa"/>
            </w:tcMar>
          </w:tcPr>
          <w:p>
            <w:pPr>
              <w:spacing w:after="60"/>
            </w:pPr>
            <w:r/>
            <w:r>
              <w:rPr>
                <w:b/>
                <w:color w:val="0F172A"/>
                <w:sz w:val="20"/>
              </w:rPr>
              <w:t>Ojo: comportamiento intencional</w:t>
            </w:r>
          </w:p>
          <w:p>
            <w:pPr>
              <w:spacing w:after="0" w:line="252" w:lineRule="auto"/>
            </w:pPr>
            <w:r>
              <w:rPr>
                <w:color w:val="334155"/>
                <w:sz w:val="18"/>
              </w:rPr>
              <w:t>Una matrícula guardada con correo fallido no debe provocar que el usuario vuelva a enviar checkout. La pantalla debe indicar que contacte a la academia para recuperar el acceso.</w:t>
            </w:r>
          </w:p>
        </w:tc>
      </w:tr>
    </w:tbl>
    <w:p>
      <w:pPr>
        <w:spacing w:after="0"/>
      </w:pPr>
    </w:p>
    <w:p>
      <w:r>
        <w:br w:type="page"/>
      </w:r>
    </w:p>
    <w:p>
      <w:pPr>
        <w:pStyle w:val="Heading1"/>
      </w:pPr>
      <w:r>
        <w:t>5. Cambios en frontend y contrato de API</w:t>
      </w:r>
    </w:p>
    <w:p>
      <w:pPr>
        <w:pStyle w:val="Heading2"/>
      </w:pPr>
      <w:r>
        <w:t>src/services/api.js</w:t>
      </w:r>
    </w:p>
    <w:p>
      <w:r>
        <w:rPr>
          <w:i w:val="0"/>
        </w:rPr>
        <w:t>procesarCheckoutMatricula ahora añade Authorization: Bearer si existe un token guardado. Esto prepara el contrato de backend para una reinscripción autenticada; por sí solo no construye el autoservicio dentro del panel del alumno.</w:t>
      </w:r>
    </w:p>
    <w:p>
      <w:pPr>
        <w:pStyle w:val="Heading2"/>
      </w:pPr>
      <w:r>
        <w:t>src/pages/LandingPage.jsx</w:t>
      </w:r>
    </w:p>
    <w:p>
      <w:r>
        <w:rPr>
          <w:i w:val="0"/>
        </w:rPr>
        <w:t>La página deja de mostrar un simple “Sí, continuar” al detectar una cuenta ya registrada. Advierte que escribir el correo no demuestra titularidad y ofrece abrir el login. También diferencia los estados de correo del HTTP 201 y evita etiquetar como “correo verificado” una consulta de existencia.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2477"/>
            <w:vAlign w:val="center"/>
            <w:tcMar>
              <w:top w:w="90" w:type="dxa"/>
              <w:start w:w="100" w:type="dxa"/>
              <w:bottom w:w="90" w:type="dxa"/>
              <w:end w:w="100" w:type="dxa"/>
            </w:tcMar>
            <w:shd w:fill="0F172A"/>
          </w:tcPr>
          <w:p>
            <w:pPr>
              <w:spacing w:after="0" w:line="240" w:lineRule="auto"/>
            </w:pPr>
            <w:r/>
            <w:r>
              <w:rPr>
                <w:rFonts w:ascii="Aptos" w:hAnsi="Aptos"/>
                <w:b/>
                <w:color w:val="FFFFFF"/>
                <w:sz w:val="16"/>
              </w:rPr>
              <w:t>Respuesta</w:t>
            </w:r>
          </w:p>
        </w:tc>
        <w:tc>
          <w:tcPr>
            <w:tcW w:type="dxa" w:w="3888"/>
            <w:vAlign w:val="center"/>
            <w:tcMar>
              <w:top w:w="90" w:type="dxa"/>
              <w:start w:w="100" w:type="dxa"/>
              <w:bottom w:w="90" w:type="dxa"/>
              <w:end w:w="100" w:type="dxa"/>
            </w:tcMar>
            <w:shd w:fill="0F172A"/>
          </w:tcPr>
          <w:p>
            <w:pPr>
              <w:spacing w:after="0" w:line="240" w:lineRule="auto"/>
            </w:pPr>
            <w:r/>
            <w:r>
              <w:rPr>
                <w:rFonts w:ascii="Aptos" w:hAnsi="Aptos"/>
                <w:b/>
                <w:color w:val="FFFFFF"/>
                <w:sz w:val="16"/>
              </w:rPr>
              <w:t>Qué significa</w:t>
            </w:r>
          </w:p>
        </w:tc>
        <w:tc>
          <w:tcPr>
            <w:tcW w:type="dxa" w:w="4003"/>
            <w:vAlign w:val="center"/>
            <w:tcMar>
              <w:top w:w="90" w:type="dxa"/>
              <w:start w:w="100" w:type="dxa"/>
              <w:bottom w:w="90" w:type="dxa"/>
              <w:end w:w="100" w:type="dxa"/>
            </w:tcMar>
            <w:shd w:fill="0F172A"/>
          </w:tcPr>
          <w:p>
            <w:pPr>
              <w:spacing w:after="0" w:line="240" w:lineRule="auto"/>
            </w:pPr>
            <w:r/>
            <w:r>
              <w:rPr>
                <w:rFonts w:ascii="Aptos" w:hAnsi="Aptos"/>
                <w:b/>
                <w:color w:val="FFFFFF"/>
                <w:sz w:val="16"/>
              </w:rPr>
              <w:t>Acción UI</w:t>
            </w:r>
          </w:p>
        </w:tc>
      </w:tr>
      <w:tr>
        <w:trPr>
          <w:cantSplit/>
        </w:trPr>
        <w:tc>
          <w:tcPr>
            <w:tcW w:type="dxa" w:w="2477"/>
            <w:vAlign w:val="center"/>
            <w:tcMar>
              <w:top w:w="90" w:type="dxa"/>
              <w:start w:w="100" w:type="dxa"/>
              <w:bottom w:w="90" w:type="dxa"/>
              <w:end w:w="100" w:type="dxa"/>
            </w:tcMar>
          </w:tcPr>
          <w:p>
            <w:pPr>
              <w:spacing w:after="0" w:line="240" w:lineRule="auto"/>
            </w:pPr>
            <w:r/>
            <w:r>
              <w:rPr>
                <w:rFonts w:ascii="Aptos" w:hAnsi="Aptos"/>
                <w:b w:val="0"/>
                <w:color w:val="334155"/>
                <w:sz w:val="15"/>
              </w:rPr>
              <w:t>400</w:t>
            </w:r>
          </w:p>
        </w:tc>
        <w:tc>
          <w:tcPr>
            <w:tcW w:type="dxa" w:w="3888"/>
            <w:vAlign w:val="center"/>
            <w:tcMar>
              <w:top w:w="90" w:type="dxa"/>
              <w:start w:w="100" w:type="dxa"/>
              <w:bottom w:w="90" w:type="dxa"/>
              <w:end w:w="100" w:type="dxa"/>
            </w:tcMar>
          </w:tcPr>
          <w:p>
            <w:pPr>
              <w:spacing w:after="0" w:line="240" w:lineRule="auto"/>
            </w:pPr>
            <w:r/>
            <w:r>
              <w:rPr>
                <w:rFonts w:ascii="Aptos" w:hAnsi="Aptos"/>
                <w:b w:val="0"/>
                <w:color w:val="334155"/>
                <w:sz w:val="15"/>
              </w:rPr>
              <w:t>Datos inválidos.</w:t>
            </w:r>
          </w:p>
        </w:tc>
        <w:tc>
          <w:tcPr>
            <w:tcW w:type="dxa" w:w="4003"/>
            <w:vAlign w:val="center"/>
            <w:tcMar>
              <w:top w:w="90" w:type="dxa"/>
              <w:start w:w="100" w:type="dxa"/>
              <w:bottom w:w="90" w:type="dxa"/>
              <w:end w:w="100" w:type="dxa"/>
            </w:tcMar>
          </w:tcPr>
          <w:p>
            <w:pPr>
              <w:spacing w:after="0" w:line="240" w:lineRule="auto"/>
            </w:pPr>
            <w:r/>
            <w:r>
              <w:rPr>
                <w:rFonts w:ascii="Aptos" w:hAnsi="Aptos"/>
                <w:b w:val="0"/>
                <w:color w:val="334155"/>
                <w:sz w:val="15"/>
              </w:rPr>
              <w:t>Marcar campos; no reintentar en bucle.</w:t>
            </w:r>
          </w:p>
        </w:tc>
      </w:tr>
      <w:tr>
        <w:trPr>
          <w:cantSplit/>
        </w:trPr>
        <w:tc>
          <w:tcPr>
            <w:tcW w:type="dxa" w:w="2477"/>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401 REINSCRIPCION_REQUIERE_SESION</w:t>
            </w:r>
          </w:p>
        </w:tc>
        <w:tc>
          <w:tcPr>
            <w:tcW w:type="dxa" w:w="388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Existe cuenta y no hay sesión válida.</w:t>
            </w:r>
          </w:p>
        </w:tc>
        <w:tc>
          <w:tcPr>
            <w:tcW w:type="dxa" w:w="4003"/>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Pedir login; no crear otra cuenta.</w:t>
            </w:r>
          </w:p>
        </w:tc>
      </w:tr>
      <w:tr>
        <w:trPr>
          <w:cantSplit/>
        </w:trPr>
        <w:tc>
          <w:tcPr>
            <w:tcW w:type="dxa" w:w="2477"/>
            <w:vAlign w:val="center"/>
            <w:tcMar>
              <w:top w:w="90" w:type="dxa"/>
              <w:start w:w="100" w:type="dxa"/>
              <w:bottom w:w="90" w:type="dxa"/>
              <w:end w:w="100" w:type="dxa"/>
            </w:tcMar>
          </w:tcPr>
          <w:p>
            <w:pPr>
              <w:spacing w:after="0" w:line="240" w:lineRule="auto"/>
            </w:pPr>
            <w:r/>
            <w:r>
              <w:rPr>
                <w:rFonts w:ascii="Aptos" w:hAnsi="Aptos"/>
                <w:b w:val="0"/>
                <w:color w:val="334155"/>
                <w:sz w:val="15"/>
              </w:rPr>
              <w:t>403</w:t>
            </w:r>
          </w:p>
        </w:tc>
        <w:tc>
          <w:tcPr>
            <w:tcW w:type="dxa" w:w="3888"/>
            <w:vAlign w:val="center"/>
            <w:tcMar>
              <w:top w:w="90" w:type="dxa"/>
              <w:start w:w="100" w:type="dxa"/>
              <w:bottom w:w="90" w:type="dxa"/>
              <w:end w:w="100" w:type="dxa"/>
            </w:tcMar>
          </w:tcPr>
          <w:p>
            <w:pPr>
              <w:spacing w:after="0" w:line="240" w:lineRule="auto"/>
            </w:pPr>
            <w:r/>
            <w:r>
              <w:rPr>
                <w:rFonts w:ascii="Aptos" w:hAnsi="Aptos"/>
                <w:b w:val="0"/>
                <w:color w:val="334155"/>
                <w:sz w:val="15"/>
              </w:rPr>
              <w:t>La identidad/rol/academia no coincide.</w:t>
            </w:r>
          </w:p>
        </w:tc>
        <w:tc>
          <w:tcPr>
            <w:tcW w:type="dxa" w:w="4003"/>
            <w:vAlign w:val="center"/>
            <w:tcMar>
              <w:top w:w="90" w:type="dxa"/>
              <w:start w:w="100" w:type="dxa"/>
              <w:bottom w:w="90" w:type="dxa"/>
              <w:end w:w="100" w:type="dxa"/>
            </w:tcMar>
          </w:tcPr>
          <w:p>
            <w:pPr>
              <w:spacing w:after="0" w:line="240" w:lineRule="auto"/>
            </w:pPr>
            <w:r/>
            <w:r>
              <w:rPr>
                <w:rFonts w:ascii="Aptos" w:hAnsi="Aptos"/>
                <w:b w:val="0"/>
                <w:color w:val="334155"/>
                <w:sz w:val="15"/>
              </w:rPr>
              <w:t>Denegar sin filtrar información de otra cuenta.</w:t>
            </w:r>
          </w:p>
        </w:tc>
      </w:tr>
      <w:tr>
        <w:trPr>
          <w:cantSplit/>
        </w:trPr>
        <w:tc>
          <w:tcPr>
            <w:tcW w:type="dxa" w:w="2477"/>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404</w:t>
            </w:r>
          </w:p>
        </w:tc>
        <w:tc>
          <w:tcPr>
            <w:tcW w:type="dxa" w:w="388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Ciclo inexistente.</w:t>
            </w:r>
          </w:p>
        </w:tc>
        <w:tc>
          <w:tcPr>
            <w:tcW w:type="dxa" w:w="4003"/>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Refrescar catálogo.</w:t>
            </w:r>
          </w:p>
        </w:tc>
      </w:tr>
      <w:tr>
        <w:trPr>
          <w:cantSplit/>
        </w:trPr>
        <w:tc>
          <w:tcPr>
            <w:tcW w:type="dxa" w:w="2477"/>
            <w:vAlign w:val="center"/>
            <w:tcMar>
              <w:top w:w="90" w:type="dxa"/>
              <w:start w:w="100" w:type="dxa"/>
              <w:bottom w:w="90" w:type="dxa"/>
              <w:end w:w="100" w:type="dxa"/>
            </w:tcMar>
          </w:tcPr>
          <w:p>
            <w:pPr>
              <w:spacing w:after="0" w:line="240" w:lineRule="auto"/>
            </w:pPr>
            <w:r/>
            <w:r>
              <w:rPr>
                <w:rFonts w:ascii="Aptos" w:hAnsi="Aptos"/>
                <w:b w:val="0"/>
                <w:color w:val="334155"/>
                <w:sz w:val="15"/>
              </w:rPr>
              <w:t>409</w:t>
            </w:r>
          </w:p>
        </w:tc>
        <w:tc>
          <w:tcPr>
            <w:tcW w:type="dxa" w:w="3888"/>
            <w:vAlign w:val="center"/>
            <w:tcMar>
              <w:top w:w="90" w:type="dxa"/>
              <w:start w:w="100" w:type="dxa"/>
              <w:bottom w:w="90" w:type="dxa"/>
              <w:end w:w="100" w:type="dxa"/>
            </w:tcMar>
          </w:tcPr>
          <w:p>
            <w:pPr>
              <w:spacing w:after="0" w:line="240" w:lineRule="auto"/>
            </w:pPr>
            <w:r/>
            <w:r>
              <w:rPr>
                <w:rFonts w:ascii="Aptos" w:hAnsi="Aptos"/>
                <w:b w:val="0"/>
                <w:color w:val="334155"/>
                <w:sz w:val="15"/>
              </w:rPr>
              <w:t>Ciclo cerrado, capacidad alcanzada o matrícula duplicada.</w:t>
            </w:r>
          </w:p>
        </w:tc>
        <w:tc>
          <w:tcPr>
            <w:tcW w:type="dxa" w:w="4003"/>
            <w:vAlign w:val="center"/>
            <w:tcMar>
              <w:top w:w="90" w:type="dxa"/>
              <w:start w:w="100" w:type="dxa"/>
              <w:bottom w:w="90" w:type="dxa"/>
              <w:end w:w="100" w:type="dxa"/>
            </w:tcMar>
          </w:tcPr>
          <w:p>
            <w:pPr>
              <w:spacing w:after="0" w:line="240" w:lineRule="auto"/>
            </w:pPr>
            <w:r/>
            <w:r>
              <w:rPr>
                <w:rFonts w:ascii="Aptos" w:hAnsi="Aptos"/>
                <w:b w:val="0"/>
                <w:color w:val="334155"/>
                <w:sz w:val="15"/>
              </w:rPr>
              <w:t>Mostrar conflicto comprensible.</w:t>
            </w:r>
          </w:p>
        </w:tc>
      </w:tr>
      <w:tr>
        <w:trPr>
          <w:cantSplit/>
        </w:trPr>
        <w:tc>
          <w:tcPr>
            <w:tcW w:type="dxa" w:w="2477"/>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503 CORREO_NO_CONFIGURADO</w:t>
            </w:r>
          </w:p>
        </w:tc>
        <w:tc>
          <w:tcPr>
            <w:tcW w:type="dxa" w:w="388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No se ha guardado la matrícula.</w:t>
            </w:r>
          </w:p>
        </w:tc>
        <w:tc>
          <w:tcPr>
            <w:tcW w:type="dxa" w:w="4003"/>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No mostrar éxito; informar de indisponibilidad.</w:t>
            </w:r>
          </w:p>
        </w:tc>
      </w:tr>
      <w:tr>
        <w:trPr>
          <w:cantSplit/>
        </w:trPr>
        <w:tc>
          <w:tcPr>
            <w:tcW w:type="dxa" w:w="2477"/>
            <w:vAlign w:val="center"/>
            <w:tcMar>
              <w:top w:w="90" w:type="dxa"/>
              <w:start w:w="100" w:type="dxa"/>
              <w:bottom w:w="90" w:type="dxa"/>
              <w:end w:w="100" w:type="dxa"/>
            </w:tcMar>
          </w:tcPr>
          <w:p>
            <w:pPr>
              <w:spacing w:after="0" w:line="240" w:lineRule="auto"/>
            </w:pPr>
            <w:r/>
            <w:r>
              <w:rPr>
                <w:rFonts w:ascii="Aptos" w:hAnsi="Aptos"/>
                <w:b w:val="0"/>
                <w:color w:val="334155"/>
                <w:sz w:val="15"/>
              </w:rPr>
              <w:t>201 + correo.estado=enviado</w:t>
            </w:r>
          </w:p>
        </w:tc>
        <w:tc>
          <w:tcPr>
            <w:tcW w:type="dxa" w:w="3888"/>
            <w:vAlign w:val="center"/>
            <w:tcMar>
              <w:top w:w="90" w:type="dxa"/>
              <w:start w:w="100" w:type="dxa"/>
              <w:bottom w:w="90" w:type="dxa"/>
              <w:end w:w="100" w:type="dxa"/>
            </w:tcMar>
          </w:tcPr>
          <w:p>
            <w:pPr>
              <w:spacing w:after="0" w:line="240" w:lineRule="auto"/>
            </w:pPr>
            <w:r/>
            <w:r>
              <w:rPr>
                <w:rFonts w:ascii="Aptos" w:hAnsi="Aptos"/>
                <w:b w:val="0"/>
                <w:color w:val="334155"/>
                <w:sz w:val="15"/>
              </w:rPr>
              <w:t>Se registró y el proveedor confirmó el envío.</w:t>
            </w:r>
          </w:p>
        </w:tc>
        <w:tc>
          <w:tcPr>
            <w:tcW w:type="dxa" w:w="4003"/>
            <w:vAlign w:val="center"/>
            <w:tcMar>
              <w:top w:w="90" w:type="dxa"/>
              <w:start w:w="100" w:type="dxa"/>
              <w:bottom w:w="90" w:type="dxa"/>
              <w:end w:w="100" w:type="dxa"/>
            </w:tcMar>
          </w:tcPr>
          <w:p>
            <w:pPr>
              <w:spacing w:after="0" w:line="240" w:lineRule="auto"/>
            </w:pPr>
            <w:r/>
            <w:r>
              <w:rPr>
                <w:rFonts w:ascii="Aptos" w:hAnsi="Aptos"/>
                <w:b w:val="0"/>
                <w:color w:val="334155"/>
                <w:sz w:val="15"/>
              </w:rPr>
              <w:t>Indicar pago pendiente; comprobar recepción de email.</w:t>
            </w:r>
          </w:p>
        </w:tc>
      </w:tr>
      <w:tr>
        <w:trPr>
          <w:cantSplit/>
        </w:trPr>
        <w:tc>
          <w:tcPr>
            <w:tcW w:type="dxa" w:w="2477"/>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201 + correo.estado=fallido</w:t>
            </w:r>
          </w:p>
        </w:tc>
        <w:tc>
          <w:tcPr>
            <w:tcW w:type="dxa" w:w="3888"/>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Se registró, pero no se confirmó correo.</w:t>
            </w:r>
          </w:p>
        </w:tc>
        <w:tc>
          <w:tcPr>
            <w:tcW w:type="dxa" w:w="4003"/>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No repetir checkout; contactar a la academia.</w:t>
            </w:r>
          </w:p>
        </w:tc>
      </w:tr>
    </w:tbl>
    <w:p>
      <w:pPr>
        <w:spacing w:after="0"/>
      </w:pPr>
    </w:p>
    <w:tbl>
      <w:tblPr>
        <w:tblW w:type="auto" w:w="0"/>
        <w:jc w:val="center"/>
        <w:tblLook w:firstColumn="1" w:firstRow="1" w:lastColumn="0" w:lastRow="0" w:noHBand="0" w:noVBand="1" w:val="04A0"/>
      </w:tblPr>
      <w:tblGrid>
        <w:gridCol w:w="10166"/>
      </w:tblGrid>
      <w:tr>
        <w:tc>
          <w:tcPr>
            <w:tcW w:type="dxa" w:w="10166"/>
            <w:shd w:fill="FFF7ED"/>
            <w:tcMar>
              <w:top w:w="140" w:type="dxa"/>
              <w:start w:w="180" w:type="dxa"/>
              <w:bottom w:w="140" w:type="dxa"/>
              <w:end w:w="180" w:type="dxa"/>
            </w:tcMar>
          </w:tcPr>
          <w:p>
            <w:pPr>
              <w:spacing w:after="60"/>
            </w:pPr>
            <w:r/>
            <w:r>
              <w:rPr>
                <w:b/>
                <w:color w:val="0F172A"/>
                <w:sz w:val="20"/>
              </w:rPr>
              <w:t>Decisión pendiente con Yan y Luis</w:t>
            </w:r>
          </w:p>
          <w:p>
            <w:pPr>
              <w:spacing w:after="0" w:line="252" w:lineRule="auto"/>
            </w:pPr>
            <w:r>
              <w:rPr>
                <w:color w:val="334155"/>
                <w:sz w:val="18"/>
              </w:rPr>
              <w:t>El flujo público de reinscripción ahora se deniega de forma segura. Para ofrecer una reinscripción realmente autoservicio, falta una opción autenticada en el panel del alumno o un desafío de correo con token de un solo uso. No se debe quitar la protección del backend para ocultar ese pendiente.</w:t>
            </w:r>
          </w:p>
        </w:tc>
      </w:tr>
    </w:tbl>
    <w:p>
      <w:pPr>
        <w:spacing w:after="0"/>
      </w:pPr>
    </w:p>
    <w:p>
      <w:r>
        <w:br w:type="page"/>
      </w:r>
    </w:p>
    <w:p>
      <w:pPr>
        <w:pStyle w:val="Heading1"/>
      </w:pPr>
      <w:r>
        <w:t>6. Base de datos, FotoUrl y diagrama ER</w:t>
      </w:r>
    </w:p>
    <w:p>
      <w:r>
        <w:rPr>
          <w:i w:val="0"/>
        </w:rPr>
        <w:t>El diagrama adjunto (páginas 1-4) muestra el dominio principal: Usuario, Ciclo, Matricula, PagosMensualidad, Evaluacion, Auditoria_Cierres, Asistencia, Aula, Asignacion_Aula y HorarioCurso. La página 2 incluye CorreosPendientes. El dibujo ayuda a entender relaciones, pero no certifica constraints actuales.</w:t>
      </w:r>
    </w:p>
    <w:p>
      <w:pPr>
        <w:pStyle w:val="Heading2"/>
      </w:pPr>
      <w:r>
        <w:t>Inspección segura en DBeaver</w:t>
      </w:r>
    </w:p>
    <w:p>
      <w:r>
        <w:rPr>
          <w:i w:val="0"/>
        </w:rPr>
        <w:t>Ejecutar cada sentencia desde backend/database/QA_SOLO_LECTURA_MORGAN.sql y guardar resultados redaccionados:</w:t>
      </w:r>
    </w:p>
    <w:p>
      <w:pPr>
        <w:pStyle w:val="ListBullet"/>
        <w:spacing w:after="40"/>
      </w:pPr>
      <w:r>
        <w:t>SHOW CREATE TABLE Usuario / Matricula / Evaluacion / Auditoria_Cierres / PagosMensualidad / Asistencia / Aula / Asignacion_Aula / HorarioCurso / CorreosPendientes;</w:t>
      </w:r>
    </w:p>
    <w:p>
      <w:pPr>
        <w:pStyle w:val="ListBullet"/>
        <w:spacing w:after="40"/>
      </w:pPr>
      <w:r>
        <w:t>SHOW INDEX FROM Usuario / Matricula / Evaluacion / Auditoria_Cierres / PagosMensualidad / HorarioCurso;</w:t>
      </w:r>
    </w:p>
    <w:p>
      <w:pPr>
        <w:pStyle w:val="ListBullet"/>
        <w:spacing w:after="40"/>
      </w:pPr>
      <w:r>
        <w:t>Consultar INFORMATION_SCHEMA para saber si Usuario.FotoUrl existe en la base seleccionada.</w:t>
      </w:r>
    </w:p>
    <w:p>
      <w:pPr>
        <w:pStyle w:val="ListBullet"/>
        <w:spacing w:after="40"/>
      </w:pPr>
      <w:r>
        <w:t>Obtener solo conteos agregados de grupos duplicados y referencias huérfanas, sin exportar correos, DNI o nombres.</w:t>
      </w:r>
    </w:p>
    <w:p>
      <w:pPr>
        <w:pStyle w:val="Heading2"/>
      </w:pPr>
      <w:r>
        <w:t>Foto de perfil</w:t>
      </w:r>
    </w:p>
    <w:p>
      <w:r>
        <w:rPr>
          <w:i w:val="0"/>
        </w:rPr>
        <w:t>La ruta actual en usuario.routes.js comprueba si Usuario.FotoUrl existe y gestiona la subida/borrado. Si la columna falta, devuelve conflicto y nombra ADD_USUARIO_FOTOURL.sql. No aplicar esa migración a ciegas: confirmar DDL real, respaldo y ambiente aislado primero. Además, uploads/perfiles/ puede desaparecer tras redeploy si el hosting no tiene almacenamiento persistente.</w:t>
      </w:r>
    </w:p>
    <w:p>
      <w:pPr>
        <w:pStyle w:val="Heading2"/>
      </w:pPr>
      <w:r>
        <w:t>Duplicados e integridad</w:t>
      </w:r>
    </w:p>
    <w:p>
      <w:r>
        <w:rPr>
          <w:i w:val="0"/>
        </w:rPr>
        <w:t>Los informes previos registraban 5 grupos de correo duplicado y 3 de DNI, y ausencia de UNIQUE para evaluaciones; la consolidación actual no certifica la BD viva. Torito lidera saneamiento/constraints, Morgan revisa el contrato y regresión. Primero auditar, respaldar, resolver duplicados, probar migración en staging y acordar rollback.</w:t>
      </w:r>
    </w:p>
    <w:tbl>
      <w:tblPr>
        <w:tblW w:type="auto" w:w="0"/>
        <w:jc w:val="center"/>
        <w:tblLook w:firstColumn="1" w:firstRow="1" w:lastColumn="0" w:lastRow="0" w:noHBand="0" w:noVBand="1" w:val="04A0"/>
      </w:tblPr>
      <w:tblGrid>
        <w:gridCol w:w="10166"/>
      </w:tblGrid>
      <w:tr>
        <w:tc>
          <w:tcPr>
            <w:tcW w:type="dxa" w:w="10166"/>
            <w:shd w:fill="FFF7ED"/>
            <w:tcMar>
              <w:top w:w="140" w:type="dxa"/>
              <w:start w:w="180" w:type="dxa"/>
              <w:bottom w:w="140" w:type="dxa"/>
              <w:end w:w="180" w:type="dxa"/>
            </w:tcMar>
          </w:tcPr>
          <w:p>
            <w:pPr>
              <w:spacing w:after="60"/>
            </w:pPr>
            <w:r/>
            <w:r>
              <w:rPr>
                <w:b/>
                <w:color w:val="0F172A"/>
                <w:sz w:val="20"/>
              </w:rPr>
              <w:t>Prohibido en esta fase</w:t>
            </w:r>
          </w:p>
          <w:p>
            <w:pPr>
              <w:spacing w:after="0" w:line="252" w:lineRule="auto"/>
            </w:pPr>
            <w:r>
              <w:rPr>
                <w:color w:val="334155"/>
                <w:sz w:val="18"/>
              </w:rPr>
              <w:t>No ejecutar POST_DEMO_UNIQUE_FK.sql, ALTER, UPDATE, DELETE, cierres de notas, pagos ni pruebas concurrentes en Aiven de producción.</w:t>
            </w:r>
          </w:p>
        </w:tc>
      </w:tr>
    </w:tbl>
    <w:p>
      <w:pPr>
        <w:spacing w:after="0"/>
      </w:pPr>
    </w:p>
    <w:p>
      <w:r>
        <w:br w:type="page"/>
      </w:r>
    </w:p>
    <w:p>
      <w:pPr>
        <w:pStyle w:val="Heading1"/>
      </w:pPr>
      <w:r>
        <w:t>7. Notas, actas y asistencia: límites actuales</w:t>
      </w:r>
    </w:p>
    <w:p>
      <w:pPr>
        <w:pStyle w:val="Heading2"/>
      </w:pPr>
      <w:r>
        <w:t>Notas y actas</w:t>
      </w:r>
    </w:p>
    <w:p>
      <w:pPr>
        <w:pStyle w:val="ListBullet"/>
        <w:spacing w:after="40"/>
      </w:pPr>
      <w:r>
        <w:t>El contrato vigente usa calificación entera, estados de registro y control de duplicidad por IdMatricula + Periodo + TipoEvaluacion.</w:t>
      </w:r>
    </w:p>
    <w:p>
      <w:pPr>
        <w:pStyle w:val="ListBullet"/>
        <w:spacing w:after="40"/>
      </w:pPr>
      <w:r>
        <w:t>La consolidación vigente dice que no hay consultas activas a Evaluacion.IdCurso ni Auditoria_Cierres.RegistrosAfectados y que el cierre semanal nuevo sigue pendiente.</w:t>
      </w:r>
    </w:p>
    <w:p>
      <w:pPr>
        <w:pStyle w:val="ListBullet"/>
        <w:spacing w:after="40"/>
      </w:pPr>
      <w:r>
        <w:t>General y NULL comparten una clave heredada; no representan semanas diferentes. No reutilices General como fecha ni construyas una migración inventando columnas.</w:t>
      </w:r>
    </w:p>
    <w:p>
      <w:pPr>
        <w:pStyle w:val="ListBullet"/>
        <w:spacing w:after="40"/>
      </w:pPr>
      <w:r>
        <w:t>Antes de hablar de cierre semanal, obtener DDL real y acordar con el equipo cómo identifica React a cada simulacro semanal.</w:t>
      </w:r>
    </w:p>
    <w:p>
      <w:pPr>
        <w:pStyle w:val="Heading2"/>
      </w:pPr>
      <w:r>
        <w:t>Asistencia</w:t>
      </w:r>
    </w:p>
    <w:p>
      <w:r>
        <w:rPr>
          <w:i w:val="0"/>
        </w:rPr>
        <w:t>La consolidación vigente documenta 409 RELACION_ALUMNO_AULA_PENDIENTE para GET/POST de asistencia en roles permitidos, sin consulta o escritura, hasta decidir la relación alumno-aula. No inventar un aula ficticia para saltar ese control. Definir si la asistencia es por ciclo entero, aula/curso o sesión y actualizar API + pantalla de forma coordinada.</w:t>
      </w:r>
    </w:p>
    <w:p>
      <w:pPr>
        <w:pStyle w:val="Heading2"/>
      </w:pPr>
      <w:r>
        <w:t>Roles</w:t>
      </w:r>
    </w:p>
    <w:p>
      <w:r>
        <w:rPr>
          <w:i w:val="0"/>
        </w:rPr>
        <w:t>El middleware JWT actual vuelve a leer usuario, academia y perfil de BD; rechaza usuarios inactivos y más de un perfil activo, y usa nombres de rol exactos normalizados. El middleware de notas solo permite historial propio del alumno o acceso administrativo definido; docente/tutor no obtiene acceso a notas por el nombre del rol si no existe una asignación verificable.</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60"/>
            </w:pPr>
            <w:r/>
            <w:r>
              <w:rPr>
                <w:b/>
                <w:color w:val="0F172A"/>
                <w:sz w:val="20"/>
              </w:rPr>
              <w:t>Prueba mínima</w:t>
            </w:r>
          </w:p>
          <w:p>
            <w:pPr>
              <w:spacing w:after="0" w:line="252" w:lineRule="auto"/>
            </w:pPr>
            <w:r>
              <w:rPr>
                <w:color w:val="334155"/>
                <w:sz w:val="18"/>
              </w:rPr>
              <w:t>Con cuentas QA: alumno no puede consultar listado general ni historial ajeno; alumno sí consulta el propio; acta cerrada permanece visible pero no editable; las operaciones que dependan de esquema pendiente deben devolver 503/409 documentado, nunca éxito falso.</w:t>
            </w:r>
          </w:p>
        </w:tc>
      </w:tr>
    </w:tbl>
    <w:p>
      <w:pPr>
        <w:spacing w:after="0"/>
      </w:pPr>
    </w:p>
    <w:p>
      <w:r>
        <w:br w:type="page"/>
      </w:r>
    </w:p>
    <w:p>
      <w:pPr>
        <w:pStyle w:val="Heading1"/>
      </w:pPr>
      <w:r>
        <w:t>8. Preparar y aplicar el código de forma segura</w:t>
      </w:r>
    </w:p>
    <w:p>
      <w:pPr>
        <w:pStyle w:val="ListNumber"/>
        <w:spacing w:after="40"/>
      </w:pPr>
      <w:r>
        <w:t>En tu repositorio real, comprobar git status --short, git branch --show-current y git log -1 --oneline tanto en backend como en frontend.</w:t>
      </w:r>
    </w:p>
    <w:p>
      <w:pPr>
        <w:pStyle w:val="ListNumber"/>
        <w:spacing w:after="40"/>
      </w:pPr>
      <w:r>
        <w:t>Crear una rama local exclusiva de QA. No ejecutar push ni deploy mientras siga vigente el bloqueo de Auto-Deploy.</w:t>
      </w:r>
    </w:p>
    <w:p>
      <w:pPr>
        <w:pStyle w:val="ListNumber"/>
        <w:spacing w:after="40"/>
      </w:pPr>
      <w:r>
        <w:t>Comparar los patches con la rama real. El patch del kit se generó contra el contenido extraído del archivo actual, no contra una sesión directa de GitHub.</w:t>
      </w:r>
    </w:p>
    <w:p>
      <w:pPr>
        <w:pStyle w:val="ListNumber"/>
        <w:spacing w:after="40"/>
      </w:pPr>
      <w:r>
        <w:t>Guardar copia/backups de routes/matriculas.routes.js, LandingPage.jsx y api.js antes de aplicar cambios.</w:t>
      </w:r>
    </w:p>
    <w:p>
      <w:pPr>
        <w:pStyle w:val="ListNumber"/>
        <w:spacing w:after="40"/>
      </w:pPr>
      <w:r>
        <w:t>Copiar los helpers y test de autorización; revisar el diff completo y correr git diff --check.</w:t>
      </w:r>
    </w:p>
    <w:p>
      <w:pPr>
        <w:pStyle w:val="ListNumber"/>
        <w:spacing w:after="40"/>
      </w:pPr>
      <w:r>
        <w:t>Configurar las variables de QA local/hosting sin escribir sus valores en el reporte. La URL del proveedor de correo debe ser HTTPS.</w:t>
      </w:r>
    </w:p>
    <w:p>
      <w:pPr>
        <w:pStyle w:val="ListNumber"/>
        <w:spacing w:after="40"/>
      </w:pPr>
      <w:r>
        <w:t>Ejecutar el test unitario y, con dependencias instaladas, la suite completa del repo. No usar Aiven de producción para las escrituras.</w:t>
      </w:r>
    </w:p>
    <w:p>
      <w:pPr>
        <w:pStyle w:val="ListNumber"/>
        <w:spacing w:after="40"/>
      </w:pPr>
      <w:r>
        <w:t>Solo después ejecutar un recorrido E2E con cuentas y ciclo sintéticos en una BD de QA separada.</w:t>
      </w:r>
    </w:p>
    <w:p>
      <w:pPr>
        <w:pStyle w:val="Heading2"/>
      </w:pPr>
      <w:r>
        <w:t>Comandos locales</w:t>
      </w:r>
    </w:p>
    <w:p>
      <w:pPr>
        <w:spacing w:before="60" w:after="140"/>
        <w:ind w:left="259" w:right="144"/>
      </w:pPr>
      <w:r>
        <w:rPr>
          <w:rFonts w:ascii="Consolas" w:hAnsi="Consolas"/>
          <w:color w:val="0F172A"/>
          <w:sz w:val="16"/>
        </w:rPr>
        <w:t># Desde la raíz del backend</w:t>
        <w:br/>
        <w:t>node --check routes/matriculas.routes.js</w:t>
        <w:br/>
        <w:t>node --check middlewares/autenticacion-opcional.middleware.js</w:t>
        <w:br/>
        <w:t>node --check utils/autorizacion-reinscripcion.js</w:t>
        <w:br/>
        <w:t>node --test tests/autorizacion-reinscripcion.test.js</w:t>
        <w:br/>
        <w:t>node scripts/verificar-entorno-morgan.js</w:t>
        <w:br/>
        <w:br/>
        <w:t># Prueba de email: solo después de configurar destinatario QA y aceptar expresamente</w:t>
        <w:br/>
        <w:t># CONFIRMAR_ENVIO_CORREO_QA=SI en .env local</w:t>
        <w:br/>
        <w:t>node scripts/probar-correo-qa.js</w:t>
        <w:br/>
        <w:br/>
        <w:t># Desde frontend, una vez instaladas las dependencias del lockfile</w:t>
        <w:br/>
        <w:t>npm ci</w:t>
        <w:br/>
        <w:t>npm test</w:t>
        <w:br/>
        <w:t>npm run build</w:t>
      </w:r>
    </w:p>
    <w:tbl>
      <w:tblPr>
        <w:tblW w:type="auto" w:w="0"/>
        <w:jc w:val="center"/>
        <w:tblLook w:firstColumn="1" w:firstRow="1" w:lastColumn="0" w:lastRow="0" w:noHBand="0" w:noVBand="1" w:val="04A0"/>
      </w:tblPr>
      <w:tblGrid>
        <w:gridCol w:w="10166"/>
      </w:tblGrid>
      <w:tr>
        <w:tc>
          <w:tcPr>
            <w:tcW w:type="dxa" w:w="10166"/>
            <w:shd w:fill="FFF7ED"/>
            <w:tcMar>
              <w:top w:w="140" w:type="dxa"/>
              <w:start w:w="180" w:type="dxa"/>
              <w:bottom w:w="140" w:type="dxa"/>
              <w:end w:w="180" w:type="dxa"/>
            </w:tcMar>
          </w:tcPr>
          <w:p>
            <w:pPr>
              <w:spacing w:after="60"/>
            </w:pPr>
            <w:r/>
            <w:r>
              <w:rPr>
                <w:b/>
                <w:color w:val="0F172A"/>
                <w:sz w:val="20"/>
              </w:rPr>
              <w:t>Resultado medido al preparar el kit</w:t>
            </w:r>
          </w:p>
          <w:p>
            <w:pPr>
              <w:spacing w:after="0" w:line="252" w:lineRule="auto"/>
            </w:pPr>
            <w:r>
              <w:rPr>
                <w:color w:val="334155"/>
                <w:sz w:val="18"/>
              </w:rPr>
              <w:t>node --check pasó en los módulos backend y el test aislado de autorización pasó 7/7. No había node_modules en el entorno que creó el kit; por eso no se afirma que Vite/build ni la suite completa estén aprobados.</w:t>
            </w:r>
          </w:p>
        </w:tc>
      </w:tr>
    </w:tbl>
    <w:p>
      <w:pPr>
        <w:spacing w:after="0"/>
      </w:pPr>
    </w:p>
    <w:p>
      <w:r>
        <w:br w:type="page"/>
      </w:r>
    </w:p>
    <w:p>
      <w:pPr>
        <w:pStyle w:val="Heading1"/>
      </w:pPr>
      <w:r>
        <w:t>9. Matriz QA mínima para Morgan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792"/>
            <w:vAlign w:val="center"/>
            <w:tcMar>
              <w:top w:w="90" w:type="dxa"/>
              <w:start w:w="100" w:type="dxa"/>
              <w:bottom w:w="90" w:type="dxa"/>
              <w:end w:w="100" w:type="dxa"/>
            </w:tcMar>
            <w:shd w:fill="0F172A"/>
          </w:tcPr>
          <w:p>
            <w:pPr>
              <w:spacing w:after="0" w:line="240" w:lineRule="auto"/>
            </w:pPr>
            <w:r/>
            <w:r>
              <w:rPr>
                <w:rFonts w:ascii="Aptos" w:hAnsi="Aptos"/>
                <w:b/>
                <w:color w:val="FFFFFF"/>
                <w:sz w:val="16"/>
              </w:rPr>
              <w:t>ID</w:t>
            </w:r>
          </w:p>
        </w:tc>
        <w:tc>
          <w:tcPr>
            <w:tcW w:type="dxa" w:w="2592"/>
            <w:vAlign w:val="center"/>
            <w:tcMar>
              <w:top w:w="90" w:type="dxa"/>
              <w:start w:w="100" w:type="dxa"/>
              <w:bottom w:w="90" w:type="dxa"/>
              <w:end w:w="100" w:type="dxa"/>
            </w:tcMar>
            <w:shd w:fill="0F172A"/>
          </w:tcPr>
          <w:p>
            <w:pPr>
              <w:spacing w:after="0" w:line="240" w:lineRule="auto"/>
            </w:pPr>
            <w:r/>
            <w:r>
              <w:rPr>
                <w:rFonts w:ascii="Aptos" w:hAnsi="Aptos"/>
                <w:b/>
                <w:color w:val="FFFFFF"/>
                <w:sz w:val="16"/>
              </w:rPr>
              <w:t>Escenario</w:t>
            </w:r>
          </w:p>
        </w:tc>
        <w:tc>
          <w:tcPr>
            <w:tcW w:type="dxa" w:w="3672"/>
            <w:vAlign w:val="center"/>
            <w:tcMar>
              <w:top w:w="90" w:type="dxa"/>
              <w:start w:w="100" w:type="dxa"/>
              <w:bottom w:w="90" w:type="dxa"/>
              <w:end w:w="100" w:type="dxa"/>
            </w:tcMar>
            <w:shd w:fill="0F172A"/>
          </w:tcPr>
          <w:p>
            <w:pPr>
              <w:spacing w:after="0" w:line="240" w:lineRule="auto"/>
            </w:pPr>
            <w:r/>
            <w:r>
              <w:rPr>
                <w:rFonts w:ascii="Aptos" w:hAnsi="Aptos"/>
                <w:b/>
                <w:color w:val="FFFFFF"/>
                <w:sz w:val="16"/>
              </w:rPr>
              <w:t>Resultado esperado</w:t>
            </w:r>
          </w:p>
        </w:tc>
        <w:tc>
          <w:tcPr>
            <w:tcW w:type="dxa" w:w="3024"/>
            <w:vAlign w:val="center"/>
            <w:tcMar>
              <w:top w:w="90" w:type="dxa"/>
              <w:start w:w="100" w:type="dxa"/>
              <w:bottom w:w="90" w:type="dxa"/>
              <w:end w:w="100" w:type="dxa"/>
            </w:tcMar>
            <w:shd w:fill="0F172A"/>
          </w:tcPr>
          <w:p>
            <w:pPr>
              <w:spacing w:after="0" w:line="240" w:lineRule="auto"/>
            </w:pPr>
            <w:r/>
            <w:r>
              <w:rPr>
                <w:rFonts w:ascii="Aptos" w:hAnsi="Aptos"/>
                <w:b/>
                <w:color w:val="FFFFFF"/>
                <w:sz w:val="16"/>
              </w:rPr>
              <w:t>Evidencia</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M-01</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Env sin Google Script</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Checkout no escribe; 503 CORREO_NO_CONFIGURADO.</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HTTP + cero nuevas filas en BD QA.</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M-02</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Correo QA real</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Proveedor responde success y el mensaje llega/no cae en spam.</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Captura redaccionada.</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M-03</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Alumno nuevo/ciclo abierto</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Matrícula creada con precio del ciclo.</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201, filas esperadas en QA y recarga.</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M-04</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Cliente manipula el monto</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Monto guardado igual a Ciclo.Precio.</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BD QA / respuesta.</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M-05</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Ciclo cerrado</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409; no hay nuevas filas.</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HTTP + conteos antes/después.</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M-06</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Ciclo sin vacantes</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409; no sobreventa.</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Prueba concurrente solo en QA.</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M-07</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Correo de una cuenta existente sin JWT</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401 REINSCRIPCION_REQUIERE_SESION.</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HTTP sin token.</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M-08</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JWT de otro alumno</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403; no se modifica matrícula/cuenta.</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HTTP y conteos agregados.</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M-09</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JWT admin para reinscripción alumno</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403 por rol.</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HTTP.</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M-10</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Correo confirmado/fallido tras commit</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La UI diferencia estados y no duplica el checkout.</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Captura y una sola matrícula.</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M-11</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Token inválido/expirado</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401; no tratarlo como público.</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HTTP.</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M-12</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Cuenta existente y landing pública</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UI no promete reinscripción solo con email; pide login.</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Grabación/captura sin PII.</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M-13</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FotoUrl ausente</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Conflicto legible; no altera esquema.</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HTTP + conteo de columna.</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M-14</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Acta cerrada</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Notas visibles, escritura denegada.</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GET/PUT con rol QA.</w:t>
            </w:r>
          </w:p>
        </w:tc>
      </w:tr>
      <w:tr>
        <w:trPr>
          <w:cantSplit/>
        </w:trPr>
        <w:tc>
          <w:tcPr>
            <w:tcW w:type="dxa" w:w="792"/>
            <w:vAlign w:val="center"/>
            <w:tcMar>
              <w:top w:w="90" w:type="dxa"/>
              <w:start w:w="100" w:type="dxa"/>
              <w:bottom w:w="90" w:type="dxa"/>
              <w:end w:w="100" w:type="dxa"/>
            </w:tcMar>
          </w:tcPr>
          <w:p>
            <w:pPr>
              <w:spacing w:after="0" w:line="240" w:lineRule="auto"/>
            </w:pPr>
            <w:r/>
            <w:r>
              <w:rPr>
                <w:rFonts w:ascii="Aptos" w:hAnsi="Aptos"/>
                <w:b w:val="0"/>
                <w:color w:val="334155"/>
                <w:sz w:val="14"/>
              </w:rPr>
              <w:t>M-15</w:t>
            </w:r>
          </w:p>
        </w:tc>
        <w:tc>
          <w:tcPr>
            <w:tcW w:type="dxa" w:w="2592"/>
            <w:vAlign w:val="center"/>
            <w:tcMar>
              <w:top w:w="90" w:type="dxa"/>
              <w:start w:w="100" w:type="dxa"/>
              <w:bottom w:w="90" w:type="dxa"/>
              <w:end w:w="100" w:type="dxa"/>
            </w:tcMar>
          </w:tcPr>
          <w:p>
            <w:pPr>
              <w:spacing w:after="0" w:line="240" w:lineRule="auto"/>
            </w:pPr>
            <w:r/>
            <w:r>
              <w:rPr>
                <w:rFonts w:ascii="Aptos" w:hAnsi="Aptos"/>
                <w:b w:val="0"/>
                <w:color w:val="334155"/>
                <w:sz w:val="14"/>
              </w:rPr>
              <w:t>Asistencia sin modelo aprobado</w:t>
            </w:r>
          </w:p>
        </w:tc>
        <w:tc>
          <w:tcPr>
            <w:tcW w:type="dxa" w:w="3672"/>
            <w:vAlign w:val="center"/>
            <w:tcMar>
              <w:top w:w="90" w:type="dxa"/>
              <w:start w:w="100" w:type="dxa"/>
              <w:bottom w:w="90" w:type="dxa"/>
              <w:end w:w="100" w:type="dxa"/>
            </w:tcMar>
          </w:tcPr>
          <w:p>
            <w:pPr>
              <w:spacing w:after="0" w:line="240" w:lineRule="auto"/>
            </w:pPr>
            <w:r/>
            <w:r>
              <w:rPr>
                <w:rFonts w:ascii="Aptos" w:hAnsi="Aptos"/>
                <w:b w:val="0"/>
                <w:color w:val="334155"/>
                <w:sz w:val="14"/>
              </w:rPr>
              <w:t>409 RELACION_ALUMNO_AULA_PENDIENTE.</w:t>
            </w:r>
          </w:p>
        </w:tc>
        <w:tc>
          <w:tcPr>
            <w:tcW w:type="dxa" w:w="3024"/>
            <w:vAlign w:val="center"/>
            <w:tcMar>
              <w:top w:w="90" w:type="dxa"/>
              <w:start w:w="100" w:type="dxa"/>
              <w:bottom w:w="90" w:type="dxa"/>
              <w:end w:w="100" w:type="dxa"/>
            </w:tcMar>
          </w:tcPr>
          <w:p>
            <w:pPr>
              <w:spacing w:after="0" w:line="240" w:lineRule="auto"/>
            </w:pPr>
            <w:r/>
            <w:r>
              <w:rPr>
                <w:rFonts w:ascii="Aptos" w:hAnsi="Aptos"/>
                <w:b w:val="0"/>
                <w:color w:val="334155"/>
                <w:sz w:val="14"/>
              </w:rPr>
              <w:t>HTTP + no cambian filas.</w:t>
            </w:r>
          </w:p>
        </w:tc>
      </w:tr>
      <w:tr>
        <w:trPr>
          <w:cantSplit/>
        </w:trPr>
        <w:tc>
          <w:tcPr>
            <w:tcW w:type="dxa" w:w="7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M-16</w:t>
            </w:r>
          </w:p>
        </w:tc>
        <w:tc>
          <w:tcPr>
            <w:tcW w:type="dxa" w:w="259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Build frontend y suite backend</w:t>
            </w:r>
          </w:p>
        </w:tc>
        <w:tc>
          <w:tcPr>
            <w:tcW w:type="dxa" w:w="367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Pasan después de instalar deps y contra entorno aislado.</w:t>
            </w:r>
          </w:p>
        </w:tc>
        <w:tc>
          <w:tcPr>
            <w:tcW w:type="dxa" w:w="302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Comandos + commits exactos.</w:t>
            </w:r>
          </w:p>
        </w:tc>
      </w:tr>
    </w:tbl>
    <w:p>
      <w:pPr>
        <w:spacing w:after="0"/>
      </w:pPr>
    </w:p>
    <w:p>
      <w:r>
        <w:br w:type="page"/>
      </w:r>
    </w:p>
    <w:p>
      <w:pPr>
        <w:pStyle w:val="Heading1"/>
      </w:pPr>
      <w:r>
        <w:t>10. Plan de ejecución y responsables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1800"/>
            <w:vAlign w:val="center"/>
            <w:tcMar>
              <w:top w:w="90" w:type="dxa"/>
              <w:start w:w="100" w:type="dxa"/>
              <w:bottom w:w="90" w:type="dxa"/>
              <w:end w:w="100" w:type="dxa"/>
            </w:tcMar>
            <w:shd w:fill="0F172A"/>
          </w:tcPr>
          <w:p>
            <w:pPr>
              <w:spacing w:after="0" w:line="240" w:lineRule="auto"/>
            </w:pPr>
            <w:r/>
            <w:r>
              <w:rPr>
                <w:rFonts w:ascii="Aptos" w:hAnsi="Aptos"/>
                <w:b/>
                <w:color w:val="FFFFFF"/>
                <w:sz w:val="16"/>
              </w:rPr>
              <w:t>Paso</w:t>
            </w:r>
          </w:p>
        </w:tc>
        <w:tc>
          <w:tcPr>
            <w:tcW w:type="dxa" w:w="4320"/>
            <w:vAlign w:val="center"/>
            <w:tcMar>
              <w:top w:w="90" w:type="dxa"/>
              <w:start w:w="100" w:type="dxa"/>
              <w:bottom w:w="90" w:type="dxa"/>
              <w:end w:w="100" w:type="dxa"/>
            </w:tcMar>
            <w:shd w:fill="0F172A"/>
          </w:tcPr>
          <w:p>
            <w:pPr>
              <w:spacing w:after="0" w:line="240" w:lineRule="auto"/>
            </w:pPr>
            <w:r/>
            <w:r>
              <w:rPr>
                <w:rFonts w:ascii="Aptos" w:hAnsi="Aptos"/>
                <w:b/>
                <w:color w:val="FFFFFF"/>
                <w:sz w:val="16"/>
              </w:rPr>
              <w:t>Morgan</w:t>
            </w:r>
          </w:p>
        </w:tc>
        <w:tc>
          <w:tcPr>
            <w:tcW w:type="dxa" w:w="3960"/>
            <w:vAlign w:val="center"/>
            <w:tcMar>
              <w:top w:w="90" w:type="dxa"/>
              <w:start w:w="100" w:type="dxa"/>
              <w:bottom w:w="90" w:type="dxa"/>
              <w:end w:w="100" w:type="dxa"/>
            </w:tcMar>
            <w:shd w:fill="0F172A"/>
          </w:tcPr>
          <w:p>
            <w:pPr>
              <w:spacing w:after="0" w:line="240" w:lineRule="auto"/>
            </w:pPr>
            <w:r/>
            <w:r>
              <w:rPr>
                <w:rFonts w:ascii="Aptos" w:hAnsi="Aptos"/>
                <w:b/>
                <w:color w:val="FFFFFF"/>
                <w:sz w:val="16"/>
              </w:rPr>
              <w:t>Colaboradores / verificación</w:t>
            </w:r>
          </w:p>
        </w:tc>
      </w:tr>
      <w:tr>
        <w:trPr>
          <w:cantSplit/>
        </w:trPr>
        <w:tc>
          <w:tcPr>
            <w:tcW w:type="dxa" w:w="1800"/>
            <w:vAlign w:val="center"/>
            <w:tcMar>
              <w:top w:w="90" w:type="dxa"/>
              <w:start w:w="100" w:type="dxa"/>
              <w:bottom w:w="90" w:type="dxa"/>
              <w:end w:w="100" w:type="dxa"/>
            </w:tcMar>
          </w:tcPr>
          <w:p>
            <w:pPr>
              <w:spacing w:after="0" w:line="240" w:lineRule="auto"/>
            </w:pPr>
            <w:r/>
            <w:r>
              <w:rPr>
                <w:rFonts w:ascii="Aptos" w:hAnsi="Aptos"/>
                <w:b w:val="0"/>
                <w:color w:val="334155"/>
                <w:sz w:val="15"/>
              </w:rPr>
              <w:t>1. Congelar versión</w:t>
            </w:r>
          </w:p>
        </w:tc>
        <w:tc>
          <w:tcPr>
            <w:tcW w:type="dxa" w:w="4320"/>
            <w:vAlign w:val="center"/>
            <w:tcMar>
              <w:top w:w="90" w:type="dxa"/>
              <w:start w:w="100" w:type="dxa"/>
              <w:bottom w:w="90" w:type="dxa"/>
              <w:end w:w="100" w:type="dxa"/>
            </w:tcMar>
          </w:tcPr>
          <w:p>
            <w:pPr>
              <w:spacing w:after="0" w:line="240" w:lineRule="auto"/>
            </w:pPr>
            <w:r/>
            <w:r>
              <w:rPr>
                <w:rFonts w:ascii="Aptos" w:hAnsi="Aptos"/>
                <w:b w:val="0"/>
                <w:color w:val="334155"/>
                <w:sz w:val="15"/>
              </w:rPr>
              <w:t>Anota branch/commit y decide qué recorridos se van a presentar.</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5"/>
              </w:rPr>
              <w:t>Todo el equipo confirma QA aislado; no despliegue.</w:t>
            </w:r>
          </w:p>
        </w:tc>
      </w:tr>
      <w:tr>
        <w:trPr>
          <w:cantSplit/>
        </w:trPr>
        <w:tc>
          <w:tcPr>
            <w:tcW w:type="dxa" w:w="180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2. Correo/configuración</w:t>
            </w:r>
          </w:p>
        </w:tc>
        <w:tc>
          <w:tcPr>
            <w:tcW w:type="dxa" w:w="432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Verifica variables y recepción real sin secretos.</w:t>
            </w:r>
          </w:p>
        </w:tc>
        <w:tc>
          <w:tcPr>
            <w:tcW w:type="dxa" w:w="396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Torito revisa manejo backend; Yan revisa estados y textos.</w:t>
            </w:r>
          </w:p>
        </w:tc>
      </w:tr>
      <w:tr>
        <w:trPr>
          <w:cantSplit/>
        </w:trPr>
        <w:tc>
          <w:tcPr>
            <w:tcW w:type="dxa" w:w="1800"/>
            <w:vAlign w:val="center"/>
            <w:tcMar>
              <w:top w:w="90" w:type="dxa"/>
              <w:start w:w="100" w:type="dxa"/>
              <w:bottom w:w="90" w:type="dxa"/>
              <w:end w:w="100" w:type="dxa"/>
            </w:tcMar>
          </w:tcPr>
          <w:p>
            <w:pPr>
              <w:spacing w:after="0" w:line="240" w:lineRule="auto"/>
            </w:pPr>
            <w:r/>
            <w:r>
              <w:rPr>
                <w:rFonts w:ascii="Aptos" w:hAnsi="Aptos"/>
                <w:b w:val="0"/>
                <w:color w:val="334155"/>
                <w:sz w:val="15"/>
              </w:rPr>
              <w:t>3. Checkout seguro</w:t>
            </w:r>
          </w:p>
        </w:tc>
        <w:tc>
          <w:tcPr>
            <w:tcW w:type="dxa" w:w="4320"/>
            <w:vAlign w:val="center"/>
            <w:tcMar>
              <w:top w:w="90" w:type="dxa"/>
              <w:start w:w="100" w:type="dxa"/>
              <w:bottom w:w="90" w:type="dxa"/>
              <w:end w:w="100" w:type="dxa"/>
            </w:tcMar>
          </w:tcPr>
          <w:p>
            <w:pPr>
              <w:spacing w:after="0" w:line="240" w:lineRule="auto"/>
            </w:pPr>
            <w:r/>
            <w:r>
              <w:rPr>
                <w:rFonts w:ascii="Aptos" w:hAnsi="Aptos"/>
                <w:b w:val="0"/>
                <w:color w:val="334155"/>
                <w:sz w:val="15"/>
              </w:rPr>
              <w:t>Integra autorización de reinscripción y estado real de correo/pago.</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5"/>
              </w:rPr>
              <w:t>Torito valida reglas; Luis recorre el formulario público.</w:t>
            </w:r>
          </w:p>
        </w:tc>
      </w:tr>
      <w:tr>
        <w:trPr>
          <w:cantSplit/>
        </w:trPr>
        <w:tc>
          <w:tcPr>
            <w:tcW w:type="dxa" w:w="180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4. Contrato API</w:t>
            </w:r>
          </w:p>
        </w:tc>
        <w:tc>
          <w:tcPr>
            <w:tcW w:type="dxa" w:w="432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Documenta payload/status; no cambia api.js a escondidas.</w:t>
            </w:r>
          </w:p>
        </w:tc>
        <w:tc>
          <w:tcPr>
            <w:tcW w:type="dxa" w:w="396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Yan hace los cambios centrales de servicios/normalización.</w:t>
            </w:r>
          </w:p>
        </w:tc>
      </w:tr>
      <w:tr>
        <w:trPr>
          <w:cantSplit/>
        </w:trPr>
        <w:tc>
          <w:tcPr>
            <w:tcW w:type="dxa" w:w="1800"/>
            <w:vAlign w:val="center"/>
            <w:tcMar>
              <w:top w:w="90" w:type="dxa"/>
              <w:start w:w="100" w:type="dxa"/>
              <w:bottom w:w="90" w:type="dxa"/>
              <w:end w:w="100" w:type="dxa"/>
            </w:tcMar>
          </w:tcPr>
          <w:p>
            <w:pPr>
              <w:spacing w:after="0" w:line="240" w:lineRule="auto"/>
            </w:pPr>
            <w:r/>
            <w:r>
              <w:rPr>
                <w:rFonts w:ascii="Aptos" w:hAnsi="Aptos"/>
                <w:b w:val="0"/>
                <w:color w:val="334155"/>
                <w:sz w:val="15"/>
              </w:rPr>
              <w:t>5. QA de pantallas</w:t>
            </w:r>
          </w:p>
        </w:tc>
        <w:tc>
          <w:tcPr>
            <w:tcW w:type="dxa" w:w="4320"/>
            <w:vAlign w:val="center"/>
            <w:tcMar>
              <w:top w:w="90" w:type="dxa"/>
              <w:start w:w="100" w:type="dxa"/>
              <w:bottom w:w="90" w:type="dxa"/>
              <w:end w:w="100" w:type="dxa"/>
            </w:tcMar>
          </w:tcPr>
          <w:p>
            <w:pPr>
              <w:spacing w:after="0" w:line="240" w:lineRule="auto"/>
            </w:pPr>
            <w:r/>
            <w:r>
              <w:rPr>
                <w:rFonts w:ascii="Aptos" w:hAnsi="Aptos"/>
                <w:b w:val="0"/>
                <w:color w:val="334155"/>
                <w:sz w:val="15"/>
              </w:rPr>
              <w:t>Coordina visitante -&gt; matrícula -&gt; correo -&gt; acceso/expediente.</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5"/>
              </w:rPr>
              <w:t>Luis hace público/alumno; Dante admin; Yan consola/Network.</w:t>
            </w:r>
          </w:p>
        </w:tc>
      </w:tr>
      <w:tr>
        <w:trPr>
          <w:cantSplit/>
        </w:trPr>
        <w:tc>
          <w:tcPr>
            <w:tcW w:type="dxa" w:w="180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6. Integridad</w:t>
            </w:r>
          </w:p>
        </w:tc>
        <w:tc>
          <w:tcPr>
            <w:tcW w:type="dxa" w:w="432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Revisa propuesta de migración/rollback, sin ejecutar prod.</w:t>
            </w:r>
          </w:p>
        </w:tc>
        <w:tc>
          <w:tcPr>
            <w:tcW w:type="dxa" w:w="3960"/>
            <w:vAlign w:val="center"/>
            <w:tcMar>
              <w:top w:w="90" w:type="dxa"/>
              <w:start w:w="100" w:type="dxa"/>
              <w:bottom w:w="90" w:type="dxa"/>
              <w:end w:w="100" w:type="dxa"/>
            </w:tcMar>
            <w:shd w:fill="F8FAFC"/>
          </w:tcPr>
          <w:p>
            <w:pPr>
              <w:spacing w:after="0" w:line="240" w:lineRule="auto"/>
            </w:pPr>
            <w:r/>
            <w:r>
              <w:rPr>
                <w:rFonts w:ascii="Aptos" w:hAnsi="Aptos"/>
                <w:b w:val="0"/>
                <w:color w:val="334155"/>
                <w:sz w:val="15"/>
              </w:rPr>
              <w:t>Torito lidera datos/constraints; revisión cruzada Morgan.</w:t>
            </w:r>
          </w:p>
        </w:tc>
      </w:tr>
      <w:tr>
        <w:trPr>
          <w:cantSplit/>
        </w:trPr>
        <w:tc>
          <w:tcPr>
            <w:tcW w:type="dxa" w:w="1800"/>
            <w:vAlign w:val="center"/>
            <w:tcMar>
              <w:top w:w="90" w:type="dxa"/>
              <w:start w:w="100" w:type="dxa"/>
              <w:bottom w:w="90" w:type="dxa"/>
              <w:end w:w="100" w:type="dxa"/>
            </w:tcMar>
          </w:tcPr>
          <w:p>
            <w:pPr>
              <w:spacing w:after="0" w:line="240" w:lineRule="auto"/>
            </w:pPr>
            <w:r/>
            <w:r>
              <w:rPr>
                <w:rFonts w:ascii="Aptos" w:hAnsi="Aptos"/>
                <w:b w:val="0"/>
                <w:color w:val="334155"/>
                <w:sz w:val="15"/>
              </w:rPr>
              <w:t>7. Go/no-go</w:t>
            </w:r>
          </w:p>
        </w:tc>
        <w:tc>
          <w:tcPr>
            <w:tcW w:type="dxa" w:w="4320"/>
            <w:vAlign w:val="center"/>
            <w:tcMar>
              <w:top w:w="90" w:type="dxa"/>
              <w:start w:w="100" w:type="dxa"/>
              <w:bottom w:w="90" w:type="dxa"/>
              <w:end w:w="100" w:type="dxa"/>
            </w:tcMar>
          </w:tcPr>
          <w:p>
            <w:pPr>
              <w:spacing w:after="0" w:line="240" w:lineRule="auto"/>
            </w:pPr>
            <w:r/>
            <w:r>
              <w:rPr>
                <w:rFonts w:ascii="Aptos" w:hAnsi="Aptos"/>
                <w:b w:val="0"/>
                <w:color w:val="334155"/>
                <w:sz w:val="15"/>
              </w:rPr>
              <w:t>Resume abiertos y declara APTO o NO APTO para demo.</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5"/>
              </w:rPr>
              <w:t>Todo el equipo acepta exclusiones; Yan reúne evidencia visual.</w:t>
            </w:r>
          </w:p>
        </w:tc>
      </w:tr>
    </w:tbl>
    <w:p>
      <w:pPr>
        <w:spacing w:after="0"/>
      </w:pPr>
    </w:p>
    <w:p>
      <w:pPr>
        <w:pStyle w:val="Heading2"/>
      </w:pPr>
      <w:r>
        <w:t>Formato obligatorio de bug</w:t>
      </w:r>
    </w:p>
    <w:p>
      <w:pPr>
        <w:pStyle w:val="ListBullet"/>
        <w:spacing w:after="40"/>
      </w:pPr>
      <w:r>
        <w:t>ID y prioridad; versión/commit; entorno y rol sintético.</w:t>
      </w:r>
    </w:p>
    <w:p>
      <w:pPr>
        <w:pStyle w:val="ListBullet"/>
        <w:spacing w:after="40"/>
      </w:pPr>
      <w:r>
        <w:t>Pasos exactos para reproducir; esperado frente a resultado real.</w:t>
      </w:r>
    </w:p>
    <w:p>
      <w:pPr>
        <w:pStyle w:val="ListBullet"/>
        <w:spacing w:after="40"/>
      </w:pPr>
      <w:r>
        <w:t>HTTP status/código de error; evidencia redaccionada; si hubo escritura, conteo antes/después en BD QA.</w:t>
      </w:r>
    </w:p>
    <w:p>
      <w:pPr>
        <w:pStyle w:val="ListBullet"/>
        <w:spacing w:after="40"/>
      </w:pPr>
      <w:r>
        <w:t>Responsable, corrección, test de regresión y fecha de cierre.</w:t>
      </w:r>
    </w:p>
    <w:tbl>
      <w:tblPr>
        <w:tblW w:type="auto" w:w="0"/>
        <w:jc w:val="center"/>
        <w:tblLook w:firstColumn="1" w:firstRow="1" w:lastColumn="0" w:lastRow="0" w:noHBand="0" w:noVBand="1" w:val="04A0"/>
      </w:tblPr>
      <w:tblGrid>
        <w:gridCol w:w="10166"/>
      </w:tblGrid>
      <w:tr>
        <w:tc>
          <w:tcPr>
            <w:tcW w:type="dxa" w:w="10166"/>
            <w:shd w:fill="E6FFFB"/>
            <w:tcMar>
              <w:top w:w="140" w:type="dxa"/>
              <w:start w:w="180" w:type="dxa"/>
              <w:bottom w:w="140" w:type="dxa"/>
              <w:end w:w="180" w:type="dxa"/>
            </w:tcMar>
          </w:tcPr>
          <w:p>
            <w:pPr>
              <w:spacing w:after="60"/>
            </w:pPr>
            <w:r/>
            <w:r>
              <w:rPr>
                <w:b/>
                <w:color w:val="0F172A"/>
                <w:sz w:val="20"/>
              </w:rPr>
              <w:t>Regla “terminado”</w:t>
            </w:r>
          </w:p>
          <w:p>
            <w:pPr>
              <w:spacing w:after="0" w:line="252" w:lineRule="auto"/>
            </w:pPr>
            <w:r>
              <w:rPr>
                <w:color w:val="334155"/>
                <w:sz w:val="18"/>
              </w:rPr>
              <w:t>Una tarea no está terminada porque compile o el endpoint devuelva 200. Está terminada cuando el usuario ve el resultado correcto, los datos persisten tras recarga, los permisos se cumplen y la regresión pasa.</w:t>
            </w:r>
          </w:p>
        </w:tc>
      </w:tr>
    </w:tbl>
    <w:p>
      <w:pPr>
        <w:spacing w:after="0"/>
      </w:pPr>
    </w:p>
    <w:p>
      <w:r>
        <w:br w:type="page"/>
      </w:r>
    </w:p>
    <w:p>
      <w:pPr>
        <w:pStyle w:val="Heading1"/>
      </w:pPr>
      <w:r>
        <w:t>11. Pendientes que siguen abiertos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trPr>
        <w:tc>
          <w:tcPr>
            <w:tcW w:type="dxa" w:w="2376"/>
            <w:vAlign w:val="center"/>
            <w:tcMar>
              <w:top w:w="90" w:type="dxa"/>
              <w:start w:w="100" w:type="dxa"/>
              <w:bottom w:w="90" w:type="dxa"/>
              <w:end w:w="100" w:type="dxa"/>
            </w:tcMar>
            <w:shd w:fill="0F172A"/>
          </w:tcPr>
          <w:p>
            <w:pPr>
              <w:spacing w:after="0" w:line="240" w:lineRule="auto"/>
            </w:pPr>
            <w:r/>
            <w:r>
              <w:rPr>
                <w:rFonts w:ascii="Aptos" w:hAnsi="Aptos"/>
                <w:b/>
                <w:color w:val="FFFFFF"/>
                <w:sz w:val="16"/>
              </w:rPr>
              <w:t>Pendiente</w:t>
            </w:r>
          </w:p>
        </w:tc>
        <w:tc>
          <w:tcPr>
            <w:tcW w:type="dxa" w:w="3960"/>
            <w:vAlign w:val="center"/>
            <w:tcMar>
              <w:top w:w="90" w:type="dxa"/>
              <w:start w:w="100" w:type="dxa"/>
              <w:bottom w:w="90" w:type="dxa"/>
              <w:end w:w="100" w:type="dxa"/>
            </w:tcMar>
            <w:shd w:fill="0F172A"/>
          </w:tcPr>
          <w:p>
            <w:pPr>
              <w:spacing w:after="0" w:line="240" w:lineRule="auto"/>
            </w:pPr>
            <w:r/>
            <w:r>
              <w:rPr>
                <w:rFonts w:ascii="Aptos" w:hAnsi="Aptos"/>
                <w:b/>
                <w:color w:val="FFFFFF"/>
                <w:sz w:val="16"/>
              </w:rPr>
              <w:t>Por qué sigue abierto</w:t>
            </w:r>
          </w:p>
        </w:tc>
        <w:tc>
          <w:tcPr>
            <w:tcW w:type="dxa" w:w="3744"/>
            <w:vAlign w:val="center"/>
            <w:tcMar>
              <w:top w:w="90" w:type="dxa"/>
              <w:start w:w="100" w:type="dxa"/>
              <w:bottom w:w="90" w:type="dxa"/>
              <w:end w:w="100" w:type="dxa"/>
            </w:tcMar>
            <w:shd w:fill="0F172A"/>
          </w:tcPr>
          <w:p>
            <w:pPr>
              <w:spacing w:after="0" w:line="240" w:lineRule="auto"/>
            </w:pPr>
            <w:r/>
            <w:r>
              <w:rPr>
                <w:rFonts w:ascii="Aptos" w:hAnsi="Aptos"/>
                <w:b/>
                <w:color w:val="FFFFFF"/>
                <w:sz w:val="16"/>
              </w:rPr>
              <w:t>Siguiente acción segura</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b w:val="0"/>
                <w:color w:val="334155"/>
                <w:sz w:val="14"/>
              </w:rPr>
              <w:t>Endpoint /matriculas/verificar</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4"/>
              </w:rPr>
              <w:t>Revela si el correo existe y lista ciclos; no acredita control del buzón.</w:t>
            </w:r>
          </w:p>
        </w:tc>
        <w:tc>
          <w:tcPr>
            <w:tcW w:type="dxa" w:w="3744"/>
            <w:vAlign w:val="center"/>
            <w:tcMar>
              <w:top w:w="90" w:type="dxa"/>
              <w:start w:w="100" w:type="dxa"/>
              <w:bottom w:w="90" w:type="dxa"/>
              <w:end w:w="100" w:type="dxa"/>
            </w:tcMar>
          </w:tcPr>
          <w:p>
            <w:pPr>
              <w:spacing w:after="0" w:line="240" w:lineRule="auto"/>
            </w:pPr>
            <w:r/>
            <w:r>
              <w:rPr>
                <w:rFonts w:ascii="Aptos" w:hAnsi="Aptos"/>
                <w:b w:val="0"/>
                <w:color w:val="334155"/>
                <w:sz w:val="14"/>
              </w:rPr>
              <w:t>Coordinar contrato genérico y estrategia de verificación/limitación con Luis/Yan/Torito.</w:t>
            </w:r>
          </w:p>
        </w:tc>
      </w:tr>
      <w:tr>
        <w:trPr>
          <w:cantSplit/>
        </w:trPr>
        <w:tc>
          <w:tcPr>
            <w:tcW w:type="dxa" w:w="2376"/>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Autoregistro de emails ajenos</w:t>
            </w:r>
          </w:p>
        </w:tc>
        <w:tc>
          <w:tcPr>
            <w:tcW w:type="dxa" w:w="3960"/>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La cuenta nueva se crea antes de probar la titularidad del email; el correo solo informa después.</w:t>
            </w:r>
          </w:p>
        </w:tc>
        <w:tc>
          <w:tcPr>
            <w:tcW w:type="dxa" w:w="374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Diseñar desafío de correo previo a escritura o alta pendiente; requiere flujo de producto y esquema adecuado.</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b w:val="0"/>
                <w:color w:val="334155"/>
                <w:sz w:val="14"/>
              </w:rPr>
              <w:t>Reinscripción autenticada</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4"/>
              </w:rPr>
              <w:t>El candidato bloquea la reinscripción pública; la pantalla de alumno todavía necesita el recorrido de nuevo ciclo.</w:t>
            </w:r>
          </w:p>
        </w:tc>
        <w:tc>
          <w:tcPr>
            <w:tcW w:type="dxa" w:w="3744"/>
            <w:vAlign w:val="center"/>
            <w:tcMar>
              <w:top w:w="90" w:type="dxa"/>
              <w:start w:w="100" w:type="dxa"/>
              <w:bottom w:w="90" w:type="dxa"/>
              <w:end w:w="100" w:type="dxa"/>
            </w:tcMar>
          </w:tcPr>
          <w:p>
            <w:pPr>
              <w:spacing w:after="0" w:line="240" w:lineRule="auto"/>
            </w:pPr>
            <w:r/>
            <w:r>
              <w:rPr>
                <w:rFonts w:ascii="Aptos" w:hAnsi="Aptos"/>
                <w:b w:val="0"/>
                <w:color w:val="334155"/>
                <w:sz w:val="14"/>
              </w:rPr>
              <w:t>Agregar acción en panel autenticado o token de un solo uso, con test de replay.</w:t>
            </w:r>
          </w:p>
        </w:tc>
      </w:tr>
      <w:tr>
        <w:trPr>
          <w:cantSplit/>
        </w:trPr>
        <w:tc>
          <w:tcPr>
            <w:tcW w:type="dxa" w:w="2376"/>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FotoUrl/almacenamiento</w:t>
            </w:r>
          </w:p>
        </w:tc>
        <w:tc>
          <w:tcPr>
            <w:tcW w:type="dxa" w:w="3960"/>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No se confirmó columna ni persistencia del directorio tras redeploy.</w:t>
            </w:r>
          </w:p>
        </w:tc>
        <w:tc>
          <w:tcPr>
            <w:tcW w:type="dxa" w:w="374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Solo lectura, staging, migración respaldada y storage persistente.</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b w:val="0"/>
                <w:color w:val="334155"/>
                <w:sz w:val="14"/>
              </w:rPr>
              <w:t>Constraints y duplicados</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4"/>
              </w:rPr>
              <w:t>Los valores históricos y el DDL vivo no se han comprobado con permisos actuales.</w:t>
            </w:r>
          </w:p>
        </w:tc>
        <w:tc>
          <w:tcPr>
            <w:tcW w:type="dxa" w:w="3744"/>
            <w:vAlign w:val="center"/>
            <w:tcMar>
              <w:top w:w="90" w:type="dxa"/>
              <w:start w:w="100" w:type="dxa"/>
              <w:bottom w:w="90" w:type="dxa"/>
              <w:end w:w="100" w:type="dxa"/>
            </w:tcMar>
          </w:tcPr>
          <w:p>
            <w:pPr>
              <w:spacing w:after="0" w:line="240" w:lineRule="auto"/>
            </w:pPr>
            <w:r/>
            <w:r>
              <w:rPr>
                <w:rFonts w:ascii="Aptos" w:hAnsi="Aptos"/>
                <w:b w:val="0"/>
                <w:color w:val="334155"/>
                <w:sz w:val="14"/>
              </w:rPr>
              <w:t>Auditoría aggregate, backup, limpieza aprobada y migración probada en staging.</w:t>
            </w:r>
          </w:p>
        </w:tc>
      </w:tr>
      <w:tr>
        <w:trPr>
          <w:cantSplit/>
        </w:trPr>
        <w:tc>
          <w:tcPr>
            <w:tcW w:type="dxa" w:w="2376"/>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Notas/actas semanales</w:t>
            </w:r>
          </w:p>
        </w:tc>
        <w:tc>
          <w:tcPr>
            <w:tcW w:type="dxa" w:w="3960"/>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El contrato actual no define una clave semanal; General/NULL colisionan.</w:t>
            </w:r>
          </w:p>
        </w:tc>
        <w:tc>
          <w:tcPr>
            <w:tcW w:type="dxa" w:w="374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Acordar modelo con el dueño de producto antes de tocar SQL.</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b w:val="0"/>
                <w:color w:val="334155"/>
                <w:sz w:val="14"/>
              </w:rPr>
              <w:t>Asistencia</w:t>
            </w:r>
          </w:p>
        </w:tc>
        <w:tc>
          <w:tcPr>
            <w:tcW w:type="dxa" w:w="3960"/>
            <w:vAlign w:val="center"/>
            <w:tcMar>
              <w:top w:w="90" w:type="dxa"/>
              <w:start w:w="100" w:type="dxa"/>
              <w:bottom w:w="90" w:type="dxa"/>
              <w:end w:w="100" w:type="dxa"/>
            </w:tcMar>
          </w:tcPr>
          <w:p>
            <w:pPr>
              <w:spacing w:after="0" w:line="240" w:lineRule="auto"/>
            </w:pPr>
            <w:r/>
            <w:r>
              <w:rPr>
                <w:rFonts w:ascii="Aptos" w:hAnsi="Aptos"/>
                <w:b w:val="0"/>
                <w:color w:val="334155"/>
                <w:sz w:val="14"/>
              </w:rPr>
              <w:t>Relación alumno-aula pendiente; backend deniega por seguridad.</w:t>
            </w:r>
          </w:p>
        </w:tc>
        <w:tc>
          <w:tcPr>
            <w:tcW w:type="dxa" w:w="3744"/>
            <w:vAlign w:val="center"/>
            <w:tcMar>
              <w:top w:w="90" w:type="dxa"/>
              <w:start w:w="100" w:type="dxa"/>
              <w:bottom w:w="90" w:type="dxa"/>
              <w:end w:w="100" w:type="dxa"/>
            </w:tcMar>
          </w:tcPr>
          <w:p>
            <w:pPr>
              <w:spacing w:after="0" w:line="240" w:lineRule="auto"/>
            </w:pPr>
            <w:r/>
            <w:r>
              <w:rPr>
                <w:rFonts w:ascii="Aptos" w:hAnsi="Aptos"/>
                <w:b w:val="0"/>
                <w:color w:val="334155"/>
                <w:sz w:val="14"/>
              </w:rPr>
              <w:t>Definir unidad de asistencia con Torito y Dante.</w:t>
            </w:r>
          </w:p>
        </w:tc>
      </w:tr>
      <w:tr>
        <w:trPr>
          <w:cantSplit/>
        </w:trPr>
        <w:tc>
          <w:tcPr>
            <w:tcW w:type="dxa" w:w="2376"/>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Despliegue</w:t>
            </w:r>
          </w:p>
        </w:tc>
        <w:tc>
          <w:tcPr>
            <w:tcW w:type="dxa" w:w="3960"/>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Estado vigente prohíbe publicar mientras Auto-Deploy esté activo.</w:t>
            </w:r>
          </w:p>
        </w:tc>
        <w:tc>
          <w:tcPr>
            <w:tcW w:type="dxa" w:w="3744"/>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Confirmar branch de Render, bloquear auto-deploy y acordar rollback antes de liberar.</w:t>
            </w:r>
          </w:p>
        </w:tc>
      </w:tr>
    </w:tbl>
    <w:p>
      <w:pPr>
        <w:spacing w:after="0"/>
      </w:pPr>
    </w:p>
    <w:tbl>
      <w:tblPr>
        <w:tblW w:type="auto" w:w="0"/>
        <w:jc w:val="center"/>
        <w:tblLook w:firstColumn="1" w:firstRow="1" w:lastColumn="0" w:lastRow="0" w:noHBand="0" w:noVBand="1" w:val="04A0"/>
      </w:tblPr>
      <w:tblGrid>
        <w:gridCol w:w="10166"/>
      </w:tblGrid>
      <w:tr>
        <w:tc>
          <w:tcPr>
            <w:tcW w:type="dxa" w:w="10166"/>
            <w:shd w:fill="FFF7ED"/>
            <w:tcMar>
              <w:top w:w="140" w:type="dxa"/>
              <w:start w:w="180" w:type="dxa"/>
              <w:bottom w:w="140" w:type="dxa"/>
              <w:end w:w="180" w:type="dxa"/>
            </w:tcMar>
          </w:tcPr>
          <w:p>
            <w:pPr>
              <w:spacing w:after="60"/>
            </w:pPr>
            <w:r/>
            <w:r>
              <w:rPr>
                <w:b/>
                <w:color w:val="0F172A"/>
                <w:sz w:val="20"/>
              </w:rPr>
              <w:t>No ocultar el pendiente</w:t>
            </w:r>
          </w:p>
          <w:p>
            <w:pPr>
              <w:spacing w:after="0" w:line="252" w:lineRule="auto"/>
            </w:pPr>
            <w:r>
              <w:rPr>
                <w:color w:val="334155"/>
                <w:sz w:val="18"/>
              </w:rPr>
              <w:t>Para una demo, es mejor excluir y explicar una reinscripción pendiente que aceptar silenciosamente un flujo inseguro o mostrar una matrícula sin acceso real.</w:t>
            </w:r>
          </w:p>
        </w:tc>
      </w:tr>
    </w:tbl>
    <w:p>
      <w:pPr>
        <w:spacing w:after="0"/>
      </w:pPr>
    </w:p>
    <w:p>
      <w:r>
        <w:br w:type="page"/>
      </w:r>
    </w:p>
    <w:p>
      <w:pPr>
        <w:pStyle w:val="Heading1"/>
      </w:pPr>
      <w:r>
        <w:t>12. Contenido del ZIP y checklist final</w:t>
      </w:r>
    </w:p>
    <w:tbl>
      <w:tblPr>
        <w:tblStyle w:val="TableGrid"/>
        <w:tblW w:type="auto" w:w="0"/>
        <w:jc w:val="center"/>
        <w:tblLayout w:type="fixed"/>
        <w:tblLook w:firstColumn="1" w:firstRow="1" w:lastColumn="0" w:lastRow="0" w:noHBand="0" w:noVBand="1" w:val="04A0"/>
      </w:tblPr>
      <w:tblGrid>
        <w:gridCol w:w="5083"/>
        <w:gridCol w:w="5083"/>
      </w:tblGrid>
      <w:tr>
        <w:trPr>
          <w:tblHeader/>
        </w:trPr>
        <w:tc>
          <w:tcPr>
            <w:tcW w:type="dxa" w:w="4968"/>
            <w:vAlign w:val="center"/>
            <w:tcMar>
              <w:top w:w="90" w:type="dxa"/>
              <w:start w:w="100" w:type="dxa"/>
              <w:bottom w:w="90" w:type="dxa"/>
              <w:end w:w="100" w:type="dxa"/>
            </w:tcMar>
            <w:shd w:fill="0F172A"/>
          </w:tcPr>
          <w:p>
            <w:pPr>
              <w:spacing w:after="0" w:line="240" w:lineRule="auto"/>
            </w:pPr>
            <w:r/>
            <w:r>
              <w:rPr>
                <w:rFonts w:ascii="Aptos" w:hAnsi="Aptos"/>
                <w:b/>
                <w:color w:val="FFFFFF"/>
                <w:sz w:val="16"/>
              </w:rPr>
              <w:t>Ruta del ZIP</w:t>
            </w:r>
          </w:p>
        </w:tc>
        <w:tc>
          <w:tcPr>
            <w:tcW w:type="dxa" w:w="5112"/>
            <w:vAlign w:val="center"/>
            <w:tcMar>
              <w:top w:w="90" w:type="dxa"/>
              <w:start w:w="100" w:type="dxa"/>
              <w:bottom w:w="90" w:type="dxa"/>
              <w:end w:w="100" w:type="dxa"/>
            </w:tcMar>
            <w:shd w:fill="0F172A"/>
          </w:tcPr>
          <w:p>
            <w:pPr>
              <w:spacing w:after="0" w:line="240" w:lineRule="auto"/>
            </w:pPr>
            <w:r/>
            <w:r>
              <w:rPr>
                <w:rFonts w:ascii="Aptos" w:hAnsi="Aptos"/>
                <w:b/>
                <w:color w:val="FFFFFF"/>
                <w:sz w:val="16"/>
              </w:rPr>
              <w:t>Uso</w:t>
            </w:r>
          </w:p>
        </w:tc>
      </w:tr>
      <w:tr>
        <w:trPr>
          <w:cantSplit/>
        </w:trPr>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4"/>
              </w:rPr>
              <w:t>docs/ANALISIS_MORGAN_DETALLADO.md</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4"/>
              </w:rPr>
              <w:t>Análisis ampliado con reglas, decisiones y definiciones de terminado.</w:t>
            </w:r>
          </w:p>
        </w:tc>
      </w:tr>
      <w:tr>
        <w:trPr>
          <w:cantSplit/>
        </w:trPr>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docs/CONTRATO_CHECKOUT.md</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Solicitud/respuestas de checkout para acordar con Yan.</w:t>
            </w:r>
          </w:p>
        </w:tc>
      </w:tr>
      <w:tr>
        <w:trPr>
          <w:cantSplit/>
        </w:trPr>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4"/>
              </w:rPr>
              <w:t>docs/PENDIENTES_Y_BLOQUEOS.md</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4"/>
              </w:rPr>
              <w:t>Riesgos abiertos, responsables y cosas que no se deben hacer.</w:t>
            </w:r>
          </w:p>
        </w:tc>
      </w:tr>
      <w:tr>
        <w:trPr>
          <w:cantSplit/>
        </w:trPr>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patches/backend-matricula-security.patch</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Diff backend respecto al export más reciente.</w:t>
            </w:r>
          </w:p>
        </w:tc>
      </w:tr>
      <w:tr>
        <w:trPr>
          <w:cantSplit/>
        </w:trPr>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4"/>
              </w:rPr>
              <w:t>patches/frontend-checkout-contract.patch</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4"/>
              </w:rPr>
              <w:t>Diff frontend respecto al export más reciente.</w:t>
            </w:r>
          </w:p>
        </w:tc>
      </w:tr>
      <w:tr>
        <w:trPr>
          <w:cantSplit/>
        </w:trPr>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replace/backend/routes/matriculas.routes.js</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Archivo completo de ruta modificado.</w:t>
            </w:r>
          </w:p>
        </w:tc>
      </w:tr>
      <w:tr>
        <w:trPr>
          <w:cantSplit/>
        </w:trPr>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4"/>
              </w:rPr>
              <w:t>replace/backend/middlewares/autenticacion-opcional.middleware.js</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4"/>
              </w:rPr>
              <w:t>Middleware nuevo completo.</w:t>
            </w:r>
          </w:p>
        </w:tc>
      </w:tr>
      <w:tr>
        <w:trPr>
          <w:cantSplit/>
        </w:trPr>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replace/backend/utils/autorizacion-reinscripcion.js</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Helper nuevo completo.</w:t>
            </w:r>
          </w:p>
        </w:tc>
      </w:tr>
      <w:tr>
        <w:trPr>
          <w:cantSplit/>
        </w:trPr>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4"/>
              </w:rPr>
              <w:t>replace/backend/tests/autorizacion-reinscripcion.test.js</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4"/>
              </w:rPr>
              <w:t>7 pruebas unitarias.</w:t>
            </w:r>
          </w:p>
        </w:tc>
      </w:tr>
      <w:tr>
        <w:trPr>
          <w:cantSplit/>
        </w:trPr>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replace/frontend/src/pages/LandingPage.jsx</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Archivo completo modificado.</w:t>
            </w:r>
          </w:p>
        </w:tc>
      </w:tr>
      <w:tr>
        <w:trPr>
          <w:cantSplit/>
        </w:trPr>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4"/>
              </w:rPr>
              <w:t>replace/frontend/src/services/api.js</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4"/>
              </w:rPr>
              <w:t>Archivo completo modificado.</w:t>
            </w:r>
          </w:p>
        </w:tc>
      </w:tr>
      <w:tr>
        <w:trPr>
          <w:cantSplit/>
        </w:trPr>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backend/scripts/verificar-entorno-morgan.js</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Checklist de variables sin revelar secretos.</w:t>
            </w:r>
          </w:p>
        </w:tc>
      </w:tr>
      <w:tr>
        <w:trPr>
          <w:cantSplit/>
        </w:trPr>
        <w:tc>
          <w:tcPr>
            <w:tcW w:type="dxa" w:w="4968"/>
            <w:vAlign w:val="center"/>
            <w:tcMar>
              <w:top w:w="90" w:type="dxa"/>
              <w:start w:w="100" w:type="dxa"/>
              <w:bottom w:w="90" w:type="dxa"/>
              <w:end w:w="100" w:type="dxa"/>
            </w:tcMar>
          </w:tcPr>
          <w:p>
            <w:pPr>
              <w:spacing w:after="0" w:line="240" w:lineRule="auto"/>
            </w:pPr>
            <w:r/>
            <w:r>
              <w:rPr>
                <w:rFonts w:ascii="Aptos" w:hAnsi="Aptos"/>
                <w:b w:val="0"/>
                <w:color w:val="334155"/>
                <w:sz w:val="14"/>
              </w:rPr>
              <w:t>backend/scripts/probar-correo-qa.js</w:t>
            </w:r>
          </w:p>
        </w:tc>
        <w:tc>
          <w:tcPr>
            <w:tcW w:type="dxa" w:w="5112"/>
            <w:vAlign w:val="center"/>
            <w:tcMar>
              <w:top w:w="90" w:type="dxa"/>
              <w:start w:w="100" w:type="dxa"/>
              <w:bottom w:w="90" w:type="dxa"/>
              <w:end w:w="100" w:type="dxa"/>
            </w:tcMar>
          </w:tcPr>
          <w:p>
            <w:pPr>
              <w:spacing w:after="0" w:line="240" w:lineRule="auto"/>
            </w:pPr>
            <w:r/>
            <w:r>
              <w:rPr>
                <w:rFonts w:ascii="Aptos" w:hAnsi="Aptos"/>
                <w:b w:val="0"/>
                <w:color w:val="334155"/>
                <w:sz w:val="14"/>
              </w:rPr>
              <w:t>Envío de correo controlado y de ejecución explícita.</w:t>
            </w:r>
          </w:p>
        </w:tc>
      </w:tr>
      <w:tr>
        <w:trPr>
          <w:cantSplit/>
        </w:trPr>
        <w:tc>
          <w:tcPr>
            <w:tcW w:type="dxa" w:w="4968"/>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backend/database/QA_SOLO_LECTURA_MORGAN.sql</w:t>
            </w:r>
          </w:p>
        </w:tc>
        <w:tc>
          <w:tcPr>
            <w:tcW w:type="dxa" w:w="5112"/>
            <w:vAlign w:val="center"/>
            <w:tcMar>
              <w:top w:w="90" w:type="dxa"/>
              <w:start w:w="100" w:type="dxa"/>
              <w:bottom w:w="90" w:type="dxa"/>
              <w:end w:w="100" w:type="dxa"/>
            </w:tcMar>
            <w:shd w:fill="F8FAFC"/>
          </w:tcPr>
          <w:p>
            <w:pPr>
              <w:spacing w:after="0" w:line="240" w:lineRule="auto"/>
            </w:pPr>
            <w:r/>
            <w:r>
              <w:rPr>
                <w:rFonts w:ascii="Aptos" w:hAnsi="Aptos"/>
                <w:b w:val="0"/>
                <w:color w:val="334155"/>
                <w:sz w:val="14"/>
              </w:rPr>
              <w:t>DDL/indexes y conteos agregados de solo lectura.</w:t>
            </w:r>
          </w:p>
        </w:tc>
      </w:tr>
    </w:tbl>
    <w:p>
      <w:pPr>
        <w:spacing w:after="0"/>
      </w:pPr>
    </w:p>
    <w:p>
      <w:pPr>
        <w:pStyle w:val="Heading2"/>
      </w:pPr>
      <w:r>
        <w:t>Checklist go/no-go</w:t>
      </w:r>
    </w:p>
    <w:p>
      <w:pPr>
        <w:pStyle w:val="ListBullet"/>
        <w:spacing w:after="40"/>
      </w:pPr>
      <w:r>
        <w:t>☐ ¿Se identifica qué commit de frontend y backend se probó?</w:t>
      </w:r>
    </w:p>
    <w:p>
      <w:pPr>
        <w:pStyle w:val="ListBullet"/>
        <w:spacing w:after="40"/>
      </w:pPr>
      <w:r>
        <w:t>☐ ¿El correo se recibió realmente en el buzón QA?</w:t>
      </w:r>
    </w:p>
    <w:p>
      <w:pPr>
        <w:pStyle w:val="ListBullet"/>
        <w:spacing w:after="40"/>
      </w:pPr>
      <w:r>
        <w:t>☐ ¿Precio/capacidad vienen del servidor y pago continúa Pendiente?</w:t>
      </w:r>
    </w:p>
    <w:p>
      <w:pPr>
        <w:pStyle w:val="ListBullet"/>
        <w:spacing w:after="40"/>
      </w:pPr>
      <w:r>
        <w:t>☐ ¿Un correo existente no puede reinscribir una cuenta ajena sin sesión?</w:t>
      </w:r>
    </w:p>
    <w:p>
      <w:pPr>
        <w:pStyle w:val="ListBullet"/>
        <w:spacing w:after="40"/>
      </w:pPr>
      <w:r>
        <w:t>☐ ¿React muestra la diferencia entre correo enviado y fallido?</w:t>
      </w:r>
    </w:p>
    <w:p>
      <w:pPr>
        <w:pStyle w:val="ListBullet"/>
        <w:spacing w:after="40"/>
      </w:pPr>
      <w:r>
        <w:t>☐ ¿El build y la suite de la versión exacta pasaron en local/QA?</w:t>
      </w:r>
    </w:p>
    <w:p>
      <w:pPr>
        <w:pStyle w:val="ListBullet"/>
        <w:spacing w:after="40"/>
      </w:pPr>
      <w:r>
        <w:t>☐ ¿Notas, actas, asistencia y FotoUrl están probadas o excluidas expresamente?</w:t>
      </w:r>
    </w:p>
    <w:p>
      <w:pPr>
        <w:pStyle w:val="ListBullet"/>
        <w:spacing w:after="40"/>
      </w:pPr>
      <w:r>
        <w:t>☐ ¿El equipo confirmó que el bloqueo de Auto-Deploy está levantado antes de publicar?</w:t>
      </w:r>
    </w:p>
    <w:tbl>
      <w:tblPr>
        <w:tblW w:type="auto" w:w="0"/>
        <w:jc w:val="center"/>
        <w:tblLook w:firstColumn="1" w:firstRow="1" w:lastColumn="0" w:lastRow="0" w:noHBand="0" w:noVBand="1" w:val="04A0"/>
      </w:tblPr>
      <w:tblGrid>
        <w:gridCol w:w="10166"/>
      </w:tblGrid>
      <w:tr>
        <w:tc>
          <w:tcPr>
            <w:tcW w:type="dxa" w:w="10166"/>
            <w:shd w:fill="E6FFFB"/>
            <w:tcMar>
              <w:top w:w="140" w:type="dxa"/>
              <w:start w:w="180" w:type="dxa"/>
              <w:bottom w:w="140" w:type="dxa"/>
              <w:end w:w="180" w:type="dxa"/>
            </w:tcMar>
          </w:tcPr>
          <w:p>
            <w:pPr>
              <w:spacing w:after="60"/>
            </w:pPr>
            <w:r/>
            <w:r>
              <w:rPr>
                <w:b/>
                <w:color w:val="0F172A"/>
                <w:sz w:val="20"/>
              </w:rPr>
              <w:t>Veredicto responsable</w:t>
            </w:r>
          </w:p>
          <w:p>
            <w:pPr>
              <w:spacing w:after="0" w:line="252" w:lineRule="auto"/>
            </w:pPr>
            <w:r>
              <w:rPr>
                <w:color w:val="334155"/>
                <w:sz w:val="18"/>
              </w:rPr>
              <w:t>APTO solo para los recorridos demostrados con evidencia. Si queda abierto un P0, excluir ese flujo de la demo o declarar NO APTO; no convertir un pendiente de esquema/seguridad en una función aparentemente operativa.</w:t>
            </w:r>
          </w:p>
        </w:tc>
      </w:tr>
    </w:tbl>
    <w:p>
      <w:pPr>
        <w:spacing w:after="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Documento de trabajo · Usar cuentas sintéticas · No desplegar con Auto-Deploy activo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ACADESYS  /  IMPLEMENTACIÓN DE MORGAN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0D9488"/>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implementación de Morgan - AcadeSys</dc:title>
  <dc:subject>Plan de ejecución, cambios candidatos y QA</dc:subject>
  <dc:creator>OpenAI</dc:creator>
  <cp:keywords>AcadeSys, Morgan, QA, backend, checkout, seguridad</cp:keywords>
  <dc:description>generated by python-docx</dc:description>
  <cp:lastModifiedBy/>
  <cp:revision>1</cp:revision>
  <dcterms:created xsi:type="dcterms:W3CDTF">2013-12-23T23:15:00Z</dcterms:created>
  <dcterms:modified xsi:type="dcterms:W3CDTF">2013-12-23T23:15:00Z</dcterms:modified>
  <cp:category/>
</cp:coreProperties>
</file>