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First Dose Only</w:t>
      </w:r>
    </w:p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>
          <w:trHeight w:val="5000" w:hRule="atLeast"/>
        </w:trPr>
        <w:tc>
          <w:tcPr>
            <w:tcW w:w="5000" w:type="dxa"/>
          </w:tcPr>
          <w:p>
            <w:r>
              <w:drawing>
                <wp:inline>
                  <wp:extent cx="2743200" cy="3657600"/>
                  <wp:docPr id="7" name="Chart7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5000" w:type="dxa"/>
          </w:tcPr>
          <w:p>
            <w:r>
              <w:drawing>
                <wp:inline>
                  <wp:extent cx="2743200" cy="3657600"/>
                  <wp:docPr id="8" name="Chart8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rPr>
          <w:sz w:val="32"/>
          <w:szCs w:val="32"/>
          <w:b w:val="1"/>
          <w:bCs w:val="1"/>
        </w:rPr>
        <w:t xml:space="preserve">Complete</w:t>
      </w:r>
    </w:p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>
          <w:trHeight w:val="5000" w:hRule="atLeast"/>
        </w:trPr>
        <w:tc>
          <w:tcPr>
            <w:tcW w:w="5000" w:type="dxa"/>
          </w:tcPr>
          <w:p>
            <w:r>
              <w:drawing>
                <wp:inline>
                  <wp:extent cx="2743200" cy="3657600"/>
                  <wp:docPr id="9" name="Chart9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000" w:type="dxa"/>
          </w:tcPr>
          <w:p>
            <w:r>
              <w:drawing>
                <wp:inline>
                  <wp:extent cx="2743200" cy="3657600"/>
                  <wp:docPr id="10" name="Chart10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rPr>
          <w:sz w:val="32"/>
          <w:szCs w:val="32"/>
          <w:b w:val="1"/>
          <w:bCs w:val="1"/>
        </w:rPr>
        <w:t xml:space="preserve">Complete</w:t>
      </w:r>
    </w:p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>
          <w:trHeight w:val="5000" w:hRule="atLeast"/>
        </w:trPr>
        <w:tc>
          <w:tcPr>
            <w:tcW w:w="5000" w:type="dxa"/>
          </w:tcPr>
          <w:p>
            <w:r>
              <w:drawing>
                <wp:inline>
                  <wp:extent cx="2743200" cy="3657600"/>
                  <wp:docPr id="11" name="Chart11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000" w:type="dxa"/>
          </w:tcPr>
          <w:p>
            <w:r>
              <w:drawing>
                <wp:inline>
                  <wp:extent cx="2743200" cy="3657600"/>
                  <wp:docPr id="12" name="Chart12"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>
      <w:pPr>
        <w:sectPr>
          <w:type w:val="contin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Student</w:t>
      </w:r>
    </w:p>
    <w:tbl>
      <w:tblGrid>
        <w:gridCol w:w="1850" w:type="dxa"/>
        <w:gridCol w:w="1850" w:type="dxa"/>
        <w:gridCol w:w="1850" w:type="dxa"/>
        <w:gridCol w:w="1850" w:type="dxa"/>
        <w:gridCol w:w="1850" w:type="dxa"/>
        <w:gridCol w:w="1850" w:type="dxa"/>
        <w:gridCol w:w="1850" w:type="dxa"/>
        <w:gridCol w:w="1850" w:type="dxa"/>
        <w:gridCol w:w="185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ID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Name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Gender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Year Level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First Dose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Second Dose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Vaccine Manufacturer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Booster</w:t>
            </w:r>
          </w:p>
        </w:tc>
        <w:tc>
          <w:tcPr>
            <w:tcW w:w="1850" w:type="dxa"/>
            <w:shd w:val="clear" w:fill="022e43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Booster Manufacturer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21-123456</w:t>
            </w:r>
          </w:p>
        </w:tc>
        <w:tc>
          <w:tcPr>
            <w:tcW w:w="1200" w:type="dxa"/>
          </w:tcPr>
          <w:p>
            <w:pPr/>
            <w:r>
              <w:rPr/>
              <w:t xml:space="preserve">jackie chen chan</w:t>
            </w:r>
          </w:p>
        </w:tc>
        <w:tc>
          <w:tcPr>
            <w:tcW w:w="1200" w:type="dxa"/>
          </w:tcPr>
          <w:p>
            <w:pPr/>
            <w:r>
              <w:rPr/>
              <w:t xml:space="preserve">Female</w:t>
            </w:r>
          </w:p>
        </w:tc>
        <w:tc>
          <w:tcPr>
            <w:tcW w:w="1200" w:type="dxa"/>
          </w:tcPr>
          <w:p>
            <w:pPr/>
            <w:r>
              <w:rPr/>
              <w:t xml:space="preserve">Grade 8</w:t>
            </w:r>
          </w:p>
        </w:tc>
        <w:tc>
          <w:tcPr>
            <w:tcW w:w="1200" w:type="dxa"/>
          </w:tcPr>
          <w:p>
            <w:pPr/>
            <w:r>
              <w:rPr/>
              <w:t xml:space="preserve">2020-08-20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</w:tcPr>
          <w:p>
            <w:pPr/>
            <w:r>
              <w:rPr/>
              <w:t xml:space="preserve">black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/>
          <a:lstStyle/>
          <a:p>
            <a:pPr>
              <a:defRPr/>
            </a:pPr>
            <a:r>
              <a:rPr/>
              <a:t>Title</a:t>
            </a:r>
            <a:endParaRPr/>
          </a:p>
        </c:rich>
      </c:tx>
    </c:title>
    <c:legend>
      <c:legendPos val="r"/>
    </c:legend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ptCount val="4"/>
              <c:pt idx="0">
                <c:v>5</c:v>
              </c:pt>
              <c:pt idx="1">
                <c:v>1</c:v>
              </c:pt>
              <c:pt idx="2">
                <c:v>3</c:v>
              </c:pt>
              <c:pt idx="3">
                <c:v>5</c:v>
              </c:pt>
            </c:numLit>
          </c:val>
          <c:dPt>
            <c:idx val="0"/>
            <c:spPr>
              <a:solidFill>
                <a:srgbClr val="3A557A"/>
              </a:solidFill>
            </c:spPr>
          </c:dPt>
          <c:dPt>
            <c:idx val="1"/>
            <c:spPr>
              <a:solidFill>
                <a:srgbClr val="90B7CD"/>
              </a:solidFill>
            </c:spPr>
          </c:dPt>
          <c:dPt>
            <c:idx val="2"/>
            <c:spPr>
              <a:solidFill>
                <a:srgbClr val="D4EEEE"/>
              </a:solidFill>
            </c:spPr>
          </c:dPt>
          <c:dPt>
            <c:idx val="3"/>
            <c:spPr>
              <a:solidFill>
                <a:srgbClr val="F2AE08"/>
              </a:solidFill>
            </c:spPr>
          </c:dPt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2022-11-26T19:22:22+08:00</dcterms:created>
  <dcterms:modified xsi:type="dcterms:W3CDTF">2022-11-26T19:22:22+08:00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