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vertAnchor="text" w:horzAnchor="margin" w:tblpX="199" w:tblpY="-120"/>
        <w:tblW w:w="104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310"/>
        <w:gridCol w:w="6180"/>
      </w:tblGrid>
      <w:tr w:rsidR="00B92EC6" w:rsidRPr="00F95904" w14:paraId="35DC8448" w14:textId="77777777" w:rsidTr="00091DB8">
        <w:tc>
          <w:tcPr>
            <w:tcW w:w="4310" w:type="dxa"/>
          </w:tcPr>
          <w:p w14:paraId="07FD326F" w14:textId="3464167A" w:rsidR="001F4181" w:rsidRPr="00F95904" w:rsidRDefault="002E423B" w:rsidP="001F4181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36"/>
                <w:szCs w:val="36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t>MORGAN RENNIE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br/>
            </w:r>
            <w:r w:rsidR="0047131D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36"/>
                <w:szCs w:val="36"/>
              </w:rPr>
              <w:t>Analytics and Engineering</w:t>
            </w:r>
          </w:p>
          <w:p w14:paraId="5B0C1D71" w14:textId="668515E8" w:rsidR="002E423B" w:rsidRPr="00F95904" w:rsidRDefault="002E423B" w:rsidP="001F4181">
            <w:pPr>
              <w:spacing w:after="60"/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+44 (0)7523 432 671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br/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>London, United Kingdom</w:t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44"/>
                <w:szCs w:val="44"/>
              </w:rPr>
              <w:br/>
            </w:r>
            <w:hyperlink r:id="rId7" w:history="1">
              <w:r w:rsidR="001F4181"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morgan.a.rennie@gmail.com</w:t>
              </w:r>
            </w:hyperlink>
            <w:r w:rsidR="001F4181"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Profiles: </w:t>
            </w:r>
            <w:hyperlink r:id="rId8" w:history="1">
              <w:r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LinkedIn</w:t>
              </w:r>
            </w:hyperlink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| </w:t>
            </w:r>
            <w:hyperlink r:id="rId9" w:history="1">
              <w:r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Tableau</w:t>
              </w:r>
            </w:hyperlink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| </w:t>
            </w:r>
            <w:hyperlink r:id="rId10" w:history="1">
              <w:r w:rsidRPr="00F95904">
                <w:rPr>
                  <w:rStyle w:val="Hyperlink"/>
                  <w:rFonts w:ascii="Times New Roman" w:hAnsi="Times New Roman" w:cs="Times New Roman"/>
                  <w:color w:val="404040" w:themeColor="text1" w:themeTint="BF"/>
                </w:rPr>
                <w:t>GitHub</w:t>
              </w:r>
            </w:hyperlink>
          </w:p>
        </w:tc>
        <w:tc>
          <w:tcPr>
            <w:tcW w:w="6180" w:type="dxa"/>
          </w:tcPr>
          <w:p w14:paraId="7AD25795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</w:p>
          <w:p w14:paraId="7276DFAB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SUMMARY</w:t>
            </w:r>
          </w:p>
          <w:p w14:paraId="556F9CBB" w14:textId="407D075D" w:rsidR="002E423B" w:rsidRPr="00F95904" w:rsidRDefault="0089729F" w:rsidP="00F95904">
            <w:pPr>
              <w:spacing w:before="20" w:after="120"/>
              <w:jc w:val="both"/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Morgan is a</w:t>
            </w:r>
            <w:r w:rsidR="00B32C9B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n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 xml:space="preserve"> </w:t>
            </w:r>
            <w:r w:rsidR="00B32C9B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 xml:space="preserve">Engineering and 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Analytics Consultant with expertise in data visuali</w:t>
            </w:r>
            <w:r w:rsidR="00196211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s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 xml:space="preserve">ation, ETL, and </w:t>
            </w:r>
            <w:r w:rsidR="00B32C9B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pipeline development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 xml:space="preserve"> across various industries. Recogni</w:t>
            </w:r>
            <w:r w:rsidR="00196211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s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ed by Tableau for excellence in visual design, Morgan utili</w:t>
            </w:r>
            <w:r w:rsidR="00A24545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s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 xml:space="preserve">es tools like Tableau, </w:t>
            </w:r>
            <w:proofErr w:type="spellStart"/>
            <w:r w:rsidR="00636485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dbt</w:t>
            </w:r>
            <w:proofErr w:type="spellEnd"/>
            <w:r w:rsidR="00636485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 xml:space="preserve">, 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18"/>
                <w:szCs w:val="18"/>
              </w:rPr>
              <w:t>SQL, and Alteryx to deliver data-driven insights that enhance decision-making. With experience in automating processes, leading impactful projects, and living across several continents,  Morgan brings a blend of technical skills and consulting expertise to solve complex data challenges.</w:t>
            </w:r>
          </w:p>
        </w:tc>
      </w:tr>
    </w:tbl>
    <w:p w14:paraId="2A0EA600" w14:textId="084DAE3E" w:rsidR="001D68F6" w:rsidRPr="00F95904" w:rsidRDefault="001D68F6" w:rsidP="001F4181">
      <w:pPr>
        <w:tabs>
          <w:tab w:val="left" w:pos="4847"/>
        </w:tabs>
        <w:spacing w:after="0"/>
        <w:ind w:right="-1"/>
        <w:rPr>
          <w:rFonts w:ascii="Times New Roman" w:hAnsi="Times New Roman" w:cs="Times New Roman"/>
          <w:color w:val="404040" w:themeColor="text1" w:themeTint="BF"/>
          <w:sz w:val="4"/>
          <w:szCs w:val="4"/>
        </w:rPr>
      </w:pPr>
    </w:p>
    <w:tbl>
      <w:tblPr>
        <w:tblStyle w:val="TableGrid"/>
        <w:tblpPr w:leftFromText="180" w:rightFromText="180" w:vertAnchor="text" w:horzAnchor="margin" w:tblpX="199" w:tblpY="566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10632"/>
      </w:tblGrid>
      <w:tr w:rsidR="00B92EC6" w:rsidRPr="00F95904" w14:paraId="0B045B6E" w14:textId="77777777" w:rsidTr="00C451AD">
        <w:tc>
          <w:tcPr>
            <w:tcW w:w="10632" w:type="dxa"/>
          </w:tcPr>
          <w:p w14:paraId="14C95667" w14:textId="5608F85E" w:rsidR="0089729F" w:rsidRPr="00F95904" w:rsidRDefault="0089729F" w:rsidP="00C451AD">
            <w:pPr>
              <w:pStyle w:val="ListParagraph"/>
              <w:ind w:left="0" w:right="-1"/>
              <w:jc w:val="both"/>
              <w:rPr>
                <w:rFonts w:ascii="Times New Roman" w:hAnsi="Times New Roman" w:cs="Times New Roman"/>
                <w:color w:val="404040" w:themeColor="text1" w:themeTint="BF"/>
                <w:sz w:val="12"/>
                <w:szCs w:val="12"/>
              </w:rPr>
            </w:pPr>
            <w:r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Visualisation, 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Tableau</w:t>
            </w:r>
            <w:r w:rsidR="00196211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(Desktop, Server, Cloud, Prep)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2E4F41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Microsoft 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Power BI, </w:t>
            </w:r>
            <w:r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ETL</w:t>
            </w:r>
            <w:r w:rsidR="00196211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/ELT</w:t>
            </w:r>
            <w:r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</w:t>
            </w:r>
            <w:proofErr w:type="spellStart"/>
            <w:r w:rsidR="00FC2BA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dbt</w:t>
            </w:r>
            <w:proofErr w:type="spellEnd"/>
            <w:r w:rsidR="003F7BD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SQL (Snowflake, Oracle, MySQL, PostgreSQL), Alteryx</w:t>
            </w:r>
            <w:r w:rsidR="00196211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(Designer, Server)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Python, </w:t>
            </w:r>
            <w:r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Database Engineering, </w:t>
            </w:r>
            <w:r w:rsidR="002E423B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Git</w:t>
            </w:r>
            <w:r w:rsidR="00A56643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Hub</w:t>
            </w:r>
            <w:r w:rsidR="002702C4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, AWS, Salesforce, Excel</w:t>
            </w:r>
            <w:r w:rsidR="003F7BD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</w:t>
            </w:r>
            <w:r w:rsidR="003F7BD0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Data Cleansing</w:t>
            </w:r>
            <w:r w:rsidR="003F7BD0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.</w:t>
            </w:r>
            <w:r w:rsidR="002702C4" w:rsidRPr="001E31C7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7B50D9"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</w:p>
        </w:tc>
      </w:tr>
    </w:tbl>
    <w:p w14:paraId="5695329B" w14:textId="22AC3BA0" w:rsidR="001F4181" w:rsidRPr="00F95904" w:rsidRDefault="009F0704" w:rsidP="002702C4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6CA0772" wp14:editId="1063166D">
                <wp:simplePos x="0" y="0"/>
                <wp:positionH relativeFrom="column">
                  <wp:posOffset>172720</wp:posOffset>
                </wp:positionH>
                <wp:positionV relativeFrom="paragraph">
                  <wp:posOffset>209389</wp:posOffset>
                </wp:positionV>
                <wp:extent cx="6678295" cy="9525"/>
                <wp:effectExtent l="0" t="0" r="27305" b="28575"/>
                <wp:wrapNone/>
                <wp:docPr id="2142178110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20A52EF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3" o:spid="_x0000_s1026" type="#_x0000_t32" style="position:absolute;margin-left:13.6pt;margin-top:16.5pt;width:525.85pt;height: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"/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TECHNICAL SKILLS</w:t>
      </w:r>
    </w:p>
    <w:p w14:paraId="487B7DA1" w14:textId="20E073F3" w:rsidR="002E423B" w:rsidRPr="00F95904" w:rsidRDefault="0089729F" w:rsidP="002E423B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CA0772" wp14:editId="1B83DB3B">
                <wp:simplePos x="0" y="0"/>
                <wp:positionH relativeFrom="margin">
                  <wp:align>center</wp:align>
                </wp:positionH>
                <wp:positionV relativeFrom="paragraph">
                  <wp:posOffset>688039</wp:posOffset>
                </wp:positionV>
                <wp:extent cx="6678295" cy="9525"/>
                <wp:effectExtent l="0" t="0" r="27305" b="28575"/>
                <wp:wrapNone/>
                <wp:docPr id="563599077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ACB57C" id="AutoShape 4" o:spid="_x0000_s1026" type="#_x0000_t32" style="position:absolute;margin-left:0;margin-top:54.2pt;width:525.85pt;height: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">
                <w10:wrap anchorx="margin"/>
              </v:shape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EXPERIENCE</w:t>
      </w:r>
    </w:p>
    <w:tbl>
      <w:tblPr>
        <w:tblStyle w:val="TableGrid"/>
        <w:tblpPr w:leftFromText="180" w:rightFromText="180" w:vertAnchor="text" w:horzAnchor="margin" w:tblpXSpec="center" w:tblpY="54"/>
        <w:tblW w:w="1063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9781"/>
        <w:gridCol w:w="851"/>
      </w:tblGrid>
      <w:tr w:rsidR="00B92EC6" w:rsidRPr="00F95904" w14:paraId="34271F39" w14:textId="77777777" w:rsidTr="00B95C1C">
        <w:tc>
          <w:tcPr>
            <w:tcW w:w="9781" w:type="dxa"/>
          </w:tcPr>
          <w:p w14:paraId="05DA4B77" w14:textId="7FFAA343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Data Analytics and Visuali</w:t>
            </w:r>
            <w:r w:rsidR="00196211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s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ation Consultant</w:t>
            </w:r>
            <w:r w:rsidR="00FC2BA6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 xml:space="preserve"> (2022) | Data Engineering Consultant (2025)</w:t>
            </w:r>
          </w:p>
          <w:p w14:paraId="228DCF80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The Information Lab, The Data School</w:t>
            </w:r>
          </w:p>
          <w:p w14:paraId="4D92037F" w14:textId="081EB055" w:rsidR="001F4181" w:rsidRPr="00AF32FE" w:rsidRDefault="00A56643" w:rsidP="00091DB8">
            <w:pPr>
              <w:pStyle w:val="ListParagraph"/>
              <w:numPr>
                <w:ilvl w:val="0"/>
                <w:numId w:val="4"/>
              </w:numPr>
              <w:spacing w:after="160" w:line="259" w:lineRule="auto"/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Undertook a highly competitive four-month intensive data analytics training program with one of the UK's top data analytics consultancies, followed by two years of consulting engagements across various industries</w:t>
            </w:r>
            <w:r w:rsidR="001A07F9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(Finance, Logistics, NGO, Media, FMCG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)</w:t>
            </w:r>
            <w:r w:rsidR="001A07F9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51B87B02" w14:textId="6D07C27C" w:rsidR="00D50FF8" w:rsidRPr="00AF32FE" w:rsidRDefault="00D50FF8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Recogni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ed </w:t>
            </w:r>
            <w:r w:rsidR="00013EAE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and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awarded Viz of the Day for exceptional data visuali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s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ation</w:t>
            </w:r>
            <w:r w:rsidR="00013EAE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by Tableau, ranked as a top 1000 Tableau Public user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in terms of public dashboard favourites</w:t>
            </w:r>
            <w:r w:rsidR="00013EAE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.</w:t>
            </w:r>
          </w:p>
          <w:p w14:paraId="624DFC7E" w14:textId="20928086" w:rsidR="006A4C5C" w:rsidRPr="00AF32FE" w:rsidRDefault="00242C4A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Produced</w:t>
            </w:r>
            <w:r w:rsidR="00D50FF8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60B3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award-winning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D50FF8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Power BI dashboards based on s</w:t>
            </w:r>
            <w:r w:rsidR="006A4C5C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urvey data for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 </w:t>
            </w:r>
            <w:r w:rsidR="006A4C5C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FMCG, luxury consumer brand, measuring customer purchasing attitudes and behaviours. </w:t>
            </w:r>
          </w:p>
          <w:p w14:paraId="4DEC11A4" w14:textId="103070F0" w:rsidR="0089729F" w:rsidRPr="00AF32FE" w:rsidRDefault="0089729F" w:rsidP="00091DB8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Led an 8-member team to deliver four performance and insights dashboards for an international banking client, </w:t>
            </w:r>
            <w:r w:rsidR="00FC2BA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allowing for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data-driven decision-making.</w:t>
            </w:r>
          </w:p>
          <w:p w14:paraId="3777320D" w14:textId="40461356" w:rsidR="00B32C9B" w:rsidRDefault="0089729F" w:rsidP="00B32C9B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Developed </w:t>
            </w:r>
            <w:r w:rsidR="00060B3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S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ustainable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evelopment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G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oals (SDG)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dashboard for an NGO, presented at the United Nations, showcasing the impact of data in global sustainability initiatives.</w:t>
            </w:r>
          </w:p>
          <w:p w14:paraId="46AB6FD1" w14:textId="0D4F70E6" w:rsidR="00B32C9B" w:rsidRDefault="00B32C9B" w:rsidP="00B32C9B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Presented </w:t>
            </w:r>
            <w:r w:rsidR="00060B35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Utilising</w:t>
            </w:r>
            <w:r w:rsidRPr="00B32C9B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 xml:space="preserve"> Dynamic Workflows in Alteryx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at JP Morgan’s annual </w:t>
            </w:r>
            <w:r w:rsidR="007509CF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analytics summit</w:t>
            </w:r>
            <w:r w:rsidR="00060B3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(</w:t>
            </w:r>
            <w:r w:rsidR="00060B35" w:rsidRPr="00060B35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60+ in attendance</w:t>
            </w:r>
            <w:r w:rsidR="00060B35" w:rsidRPr="00060B3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)</w:t>
            </w:r>
            <w:r w:rsidRPr="00060B3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.</w:t>
            </w:r>
          </w:p>
          <w:p w14:paraId="01793F1C" w14:textId="45B45F74" w:rsidR="00FC2BA6" w:rsidRPr="00B95C1C" w:rsidRDefault="00FC2BA6" w:rsidP="00B32C9B">
            <w:pPr>
              <w:pStyle w:val="ListParagraph"/>
              <w:numPr>
                <w:ilvl w:val="0"/>
                <w:numId w:val="4"/>
              </w:numPr>
              <w:ind w:left="508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Developed Alteryx Workflows for </w:t>
            </w:r>
            <w:r w:rsidR="007565D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 </w:t>
            </w: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Media Company</w:t>
            </w:r>
            <w:r w:rsidR="007565D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saving </w:t>
            </w:r>
            <w:r w:rsidR="007565DB" w:rsidRPr="007565DB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1.68 FTEs</w:t>
            </w:r>
            <w:r w:rsidR="007565DB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annually.</w:t>
            </w:r>
          </w:p>
          <w:p w14:paraId="355E2EFA" w14:textId="105CA9D5" w:rsidR="0089729F" w:rsidRPr="00F95904" w:rsidRDefault="0089729F" w:rsidP="0089729F">
            <w:pPr>
              <w:pStyle w:val="ListParagraph"/>
              <w:ind w:left="508"/>
              <w:rPr>
                <w:rFonts w:ascii="Times New Roman" w:hAnsi="Times New Roman" w:cs="Times New Roman"/>
                <w:color w:val="404040" w:themeColor="text1" w:themeTint="BF"/>
                <w:sz w:val="10"/>
                <w:szCs w:val="10"/>
              </w:rPr>
            </w:pPr>
          </w:p>
        </w:tc>
        <w:tc>
          <w:tcPr>
            <w:tcW w:w="851" w:type="dxa"/>
          </w:tcPr>
          <w:p w14:paraId="362AA623" w14:textId="51A3D32A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Dec 22 </w:t>
            </w:r>
            <w:r w:rsidR="00B32C9B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br/>
            </w:r>
            <w:r w:rsidR="00657259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-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Present</w:t>
            </w:r>
          </w:p>
          <w:p w14:paraId="793CFF9D" w14:textId="77777777" w:rsidR="00F659E9" w:rsidRPr="00F95904" w:rsidRDefault="00F659E9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</w:p>
        </w:tc>
      </w:tr>
      <w:tr w:rsidR="00B92EC6" w:rsidRPr="00F95904" w14:paraId="5B2CD895" w14:textId="77777777" w:rsidTr="00B95C1C">
        <w:tc>
          <w:tcPr>
            <w:tcW w:w="9781" w:type="dxa"/>
          </w:tcPr>
          <w:p w14:paraId="5BE5AAD7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Advanced Analytics and Reporting Analyst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</w:p>
          <w:p w14:paraId="14D7F1D8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International Airline Group (IAG) Cargo, Logistics and Operations, 6+3 Month contract</w:t>
            </w:r>
          </w:p>
          <w:p w14:paraId="395FC9F6" w14:textId="32F70966" w:rsidR="00F027B6" w:rsidRPr="00AF32FE" w:rsidRDefault="00F027B6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Built a SQL-based dataset in Oracle tracking cargo journeys through 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40+ events tracked in 5 different systems through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Heathrow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and the warehouses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streamlining existing data to reduce data errors (from </w:t>
            </w:r>
            <w:r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40% to &lt;8%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) and query runtime by </w:t>
            </w:r>
            <w:r w:rsidR="00151404"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+</w:t>
            </w:r>
            <w:r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9</w:t>
            </w:r>
            <w:r w:rsidR="00151404"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0</w:t>
            </w:r>
            <w:r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%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, which greatly improved operational insights and tracking accuracy.</w:t>
            </w:r>
          </w:p>
          <w:p w14:paraId="2AD3A701" w14:textId="1646311C" w:rsidR="00F027B6" w:rsidRPr="00AF32FE" w:rsidRDefault="00F027B6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Developed 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Tableau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dashboards 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according to visualisation best practices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to monitor and </w:t>
            </w:r>
            <w:r w:rsidR="00D50FF8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analyse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cargo performance,</w:t>
            </w:r>
            <w:r w:rsidR="00E371B9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allowing stakeholders to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E371B9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identify inappropriate SLA’s, optimise warehouse cargo assignments,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highlight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operational stress points, and</w:t>
            </w:r>
            <w:r w:rsidR="00060B3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additionally,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  <w:r w:rsidR="00060B3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provided</w:t>
            </w:r>
            <w:r w:rsid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the ability to begin a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root-cause analysis for performance failures.</w:t>
            </w:r>
          </w:p>
          <w:p w14:paraId="0DABA741" w14:textId="3F3A39CF" w:rsidR="00F027B6" w:rsidRPr="00AF32FE" w:rsidRDefault="00F027B6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Presented project outcomes and dashboards at multiple stakeholder meetings, including IAG’s Tech Town Hall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(</w:t>
            </w:r>
            <w:r w:rsidR="00196211"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80+</w:t>
            </w:r>
            <w:r w:rsidR="00196211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in attendance) and bi-monthly C-Suite steering groups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, enhancing </w:t>
            </w:r>
            <w:r w:rsidR="00060B3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organisation-wide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data-driven decision-making</w:t>
            </w:r>
            <w:r w:rsidR="00060B35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.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</w:t>
            </w:r>
          </w:p>
          <w:p w14:paraId="20C38F1C" w14:textId="11306BC3" w:rsidR="001F4181" w:rsidRDefault="00F659E9" w:rsidP="00091DB8">
            <w:pPr>
              <w:pStyle w:val="ListParagraph"/>
              <w:numPr>
                <w:ilvl w:val="0"/>
                <w:numId w:val="4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Reducing analyst incident investigation time by consolidating </w:t>
            </w:r>
            <w:r w:rsidR="00657259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cross departmental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information into a single self-service dashboard.</w:t>
            </w:r>
          </w:p>
          <w:p w14:paraId="0860703C" w14:textId="77777777" w:rsidR="002E423B" w:rsidRPr="00F95904" w:rsidRDefault="002E423B" w:rsidP="002E423B">
            <w:pPr>
              <w:pStyle w:val="ListParagraph"/>
              <w:ind w:left="0"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14"/>
                <w:szCs w:val="14"/>
              </w:rPr>
            </w:pPr>
          </w:p>
        </w:tc>
        <w:tc>
          <w:tcPr>
            <w:tcW w:w="851" w:type="dxa"/>
          </w:tcPr>
          <w:p w14:paraId="76BE617F" w14:textId="14E8C91A" w:rsidR="002E423B" w:rsidRPr="00F95904" w:rsidRDefault="002E423B" w:rsidP="00B32C9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May 2</w:t>
            </w:r>
            <w:r w:rsidR="00BE362F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4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  <w:r w:rsidR="00B32C9B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br/>
            </w:r>
            <w:r w:rsidR="00BE362F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- Mar 25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</w:t>
            </w:r>
          </w:p>
          <w:p w14:paraId="00AF2BB8" w14:textId="77777777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</w:p>
        </w:tc>
      </w:tr>
      <w:tr w:rsidR="00B92EC6" w:rsidRPr="00F95904" w14:paraId="01A18E22" w14:textId="77777777" w:rsidTr="00B95C1C">
        <w:tc>
          <w:tcPr>
            <w:tcW w:w="9781" w:type="dxa"/>
          </w:tcPr>
          <w:p w14:paraId="627DA272" w14:textId="77777777" w:rsidR="002E423B" w:rsidRPr="00F95904" w:rsidRDefault="002E423B" w:rsidP="002E423B">
            <w:pPr>
              <w:ind w:right="-1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Business Intelligence Analyst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20"/>
                <w:szCs w:val="20"/>
              </w:rPr>
              <w:t>Paramount Pictures/Viacom CBS, Media and Telecom, 2x 6 Month Contracts</w:t>
            </w:r>
          </w:p>
          <w:p w14:paraId="08CDDE50" w14:textId="438FF297" w:rsidR="002E423B" w:rsidRPr="00AF32FE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Automated data extraction into Snowflake, utilising SQL in the E</w:t>
            </w:r>
            <w:r w:rsidR="008B73D6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LT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process, reducing manual processing time by 94%, saving </w:t>
            </w:r>
            <w:r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>0.6 FTE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annually.</w:t>
            </w:r>
          </w:p>
          <w:p w14:paraId="5CD64FF1" w14:textId="7D407130" w:rsidR="002E423B" w:rsidRPr="00AF32FE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Designed a suite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of Tableau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dashboards that improved resource utilisation tracking and analysis, enhancing senior leadership’s decision-making ability.</w:t>
            </w:r>
          </w:p>
          <w:p w14:paraId="24C5C930" w14:textId="05D816DC" w:rsidR="002E423B" w:rsidRPr="00AF32FE" w:rsidRDefault="002E423B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Redesigned a suite of </w:t>
            </w:r>
            <w:r w:rsidR="0047131D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Tableau </w:t>
            </w: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dashboards to improve user experience and utilisation of data, reducing time-to-insight</w:t>
            </w:r>
            <w:r w:rsidR="00B92EC6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 and introduction of a major departmental KPI dashboard. </w:t>
            </w:r>
          </w:p>
          <w:p w14:paraId="6F2510A2" w14:textId="6D5EE492" w:rsidR="00013EAE" w:rsidRPr="00AF32FE" w:rsidRDefault="0047131D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Created a project management dashboard with custom SQL in Tableau, reducing </w:t>
            </w:r>
            <w:r w:rsidR="002E423B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senior managers’ investigation time by 50%, streamlining quarterly presentations and weekly analysis, saving </w:t>
            </w:r>
            <w:r w:rsidR="002E423B" w:rsidRPr="00AF32FE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20"/>
                <w:szCs w:val="20"/>
              </w:rPr>
              <w:t xml:space="preserve">1.2 FTE </w:t>
            </w:r>
            <w:r w:rsidR="002E423B"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annually. </w:t>
            </w:r>
          </w:p>
          <w:p w14:paraId="2DE49419" w14:textId="77777777" w:rsidR="00013EAE" w:rsidRPr="00AF32FE" w:rsidRDefault="00013EAE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Managed and trained a team member, fostering skill development and knowledge sharing. </w:t>
            </w:r>
          </w:p>
          <w:p w14:paraId="6645D4C4" w14:textId="77777777" w:rsidR="001F4181" w:rsidRPr="00AF32FE" w:rsidRDefault="00013EAE" w:rsidP="00091DB8">
            <w:pPr>
              <w:pStyle w:val="ListParagraph"/>
              <w:numPr>
                <w:ilvl w:val="0"/>
                <w:numId w:val="3"/>
              </w:numPr>
              <w:ind w:left="508" w:right="-1" w:hanging="283"/>
              <w:jc w:val="both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AF32FE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Acted as a support desk technician, effectively liaising with stakeholders to capture requirements and bridge communication between end users and technical tools.</w:t>
            </w:r>
          </w:p>
          <w:p w14:paraId="437B2A74" w14:textId="0F24D4B1" w:rsidR="007B50D9" w:rsidRPr="00F95904" w:rsidRDefault="007B50D9" w:rsidP="00657259">
            <w:pPr>
              <w:pStyle w:val="ListParagraph"/>
              <w:ind w:left="508" w:right="-1"/>
              <w:rPr>
                <w:rFonts w:ascii="Times New Roman" w:hAnsi="Times New Roman" w:cs="Times New Roman"/>
                <w:color w:val="404040" w:themeColor="text1" w:themeTint="BF"/>
                <w:sz w:val="8"/>
                <w:szCs w:val="8"/>
              </w:rPr>
            </w:pPr>
          </w:p>
        </w:tc>
        <w:tc>
          <w:tcPr>
            <w:tcW w:w="851" w:type="dxa"/>
          </w:tcPr>
          <w:p w14:paraId="671872E3" w14:textId="4177B1ED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Apr 23 </w:t>
            </w:r>
            <w:r w:rsidR="00B32C9B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br/>
            </w:r>
            <w:r w:rsidR="001F4181"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>-</w:t>
            </w: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Apr 24</w:t>
            </w:r>
          </w:p>
          <w:p w14:paraId="2FFC6AFF" w14:textId="77777777" w:rsidR="002E423B" w:rsidRPr="00F95904" w:rsidRDefault="002E423B" w:rsidP="002E423B">
            <w:pPr>
              <w:ind w:right="-1"/>
              <w:jc w:val="right"/>
              <w:rPr>
                <w:rFonts w:ascii="Times New Roman" w:hAnsi="Times New Roman" w:cs="Times New Roman"/>
                <w:i/>
                <w:iCs/>
                <w:color w:val="404040" w:themeColor="text1" w:themeTint="BF"/>
                <w:sz w:val="18"/>
                <w:szCs w:val="18"/>
              </w:rPr>
            </w:pPr>
          </w:p>
        </w:tc>
      </w:tr>
    </w:tbl>
    <w:p w14:paraId="667B4F75" w14:textId="144D7BEC" w:rsidR="001D68F6" w:rsidRPr="00F95904" w:rsidRDefault="00B95C1C" w:rsidP="0075518E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6CA0772" wp14:editId="02263FBC">
                <wp:simplePos x="0" y="0"/>
                <wp:positionH relativeFrom="margin">
                  <wp:posOffset>167450</wp:posOffset>
                </wp:positionH>
                <wp:positionV relativeFrom="paragraph">
                  <wp:posOffset>6370320</wp:posOffset>
                </wp:positionV>
                <wp:extent cx="6678295" cy="9525"/>
                <wp:effectExtent l="0" t="0" r="27305" b="28575"/>
                <wp:wrapNone/>
                <wp:docPr id="163385443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E079978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13.2pt;margin-top:501.6pt;width:525.85pt;height:.7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">
                <w10:wrap anchorx="margin"/>
              </v:shape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EDUCATION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214"/>
        <w:gridCol w:w="1451"/>
      </w:tblGrid>
      <w:tr w:rsidR="00B92EC6" w:rsidRPr="00F95904" w14:paraId="2860520F" w14:textId="77777777" w:rsidTr="00151404">
        <w:tc>
          <w:tcPr>
            <w:tcW w:w="9214" w:type="dxa"/>
          </w:tcPr>
          <w:p w14:paraId="5A39518B" w14:textId="2CF37EA0" w:rsidR="004B2323" w:rsidRDefault="00843140" w:rsidP="0075518E">
            <w:pPr>
              <w:ind w:right="-1"/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</w:rPr>
              <w:t>BA in Finance; First Class (1st); University of Stirling, Scotland</w:t>
            </w: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br/>
            </w:r>
            <w:r w:rsidRPr="00F95904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Awarded Best Undergraduate Finance Dissertation</w:t>
            </w:r>
            <w:r w:rsidR="00497B58"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 xml:space="preserve">: </w:t>
            </w:r>
          </w:p>
          <w:p w14:paraId="458E7105" w14:textId="4297F25A" w:rsidR="00843140" w:rsidRPr="00F95904" w:rsidRDefault="004B2323" w:rsidP="0075518E">
            <w:pPr>
              <w:ind w:right="-1"/>
              <w:rPr>
                <w:rFonts w:ascii="Times New Roman" w:hAnsi="Times New Roman" w:cs="Times New Roman"/>
                <w:i/>
                <w:color w:val="404040" w:themeColor="text1" w:themeTint="BF"/>
                <w:sz w:val="10"/>
                <w:szCs w:val="10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  <w:sz w:val="20"/>
                <w:szCs w:val="20"/>
              </w:rPr>
              <w:t>“</w:t>
            </w:r>
            <w:r w:rsidR="00843140" w:rsidRPr="00F95904">
              <w:rPr>
                <w:rFonts w:ascii="Times New Roman" w:hAnsi="Times New Roman" w:cs="Times New Roman"/>
                <w:i/>
                <w:color w:val="404040" w:themeColor="text1" w:themeTint="BF"/>
                <w:sz w:val="20"/>
                <w:szCs w:val="20"/>
              </w:rPr>
              <w:t>The Use of Sentiment Analysis in Forecasting the FTSE100</w:t>
            </w:r>
            <w:r>
              <w:rPr>
                <w:rFonts w:ascii="Times New Roman" w:hAnsi="Times New Roman" w:cs="Times New Roman"/>
                <w:i/>
                <w:color w:val="404040" w:themeColor="text1" w:themeTint="BF"/>
                <w:sz w:val="20"/>
                <w:szCs w:val="20"/>
              </w:rPr>
              <w:t>”</w:t>
            </w:r>
            <w:r w:rsidR="00657259" w:rsidRPr="00F95904">
              <w:rPr>
                <w:rFonts w:ascii="Times New Roman" w:hAnsi="Times New Roman" w:cs="Times New Roman"/>
                <w:i/>
                <w:color w:val="404040" w:themeColor="text1" w:themeTint="BF"/>
                <w:sz w:val="20"/>
                <w:szCs w:val="20"/>
              </w:rPr>
              <w:br/>
            </w:r>
          </w:p>
          <w:p w14:paraId="11D94092" w14:textId="13AB6B5F" w:rsidR="007B50D9" w:rsidRPr="00F95904" w:rsidRDefault="007B50D9" w:rsidP="0075518E">
            <w:pPr>
              <w:ind w:right="-1"/>
              <w:rPr>
                <w:rFonts w:ascii="Times New Roman" w:hAnsi="Times New Roman" w:cs="Times New Roman"/>
                <w:color w:val="404040" w:themeColor="text1" w:themeTint="BF"/>
                <w:sz w:val="2"/>
                <w:szCs w:val="2"/>
              </w:rPr>
            </w:pPr>
          </w:p>
        </w:tc>
        <w:tc>
          <w:tcPr>
            <w:tcW w:w="1451" w:type="dxa"/>
          </w:tcPr>
          <w:p w14:paraId="33F51C1B" w14:textId="25DD284E" w:rsidR="00A56643" w:rsidRPr="00F95904" w:rsidRDefault="00A56643" w:rsidP="00A56643">
            <w:pPr>
              <w:ind w:right="-1"/>
              <w:jc w:val="right"/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</w:pPr>
            <w:r w:rsidRPr="00F95904">
              <w:rPr>
                <w:rFonts w:ascii="Times New Roman" w:hAnsi="Times New Roman" w:cs="Times New Roman"/>
                <w:b/>
                <w:bCs/>
                <w:color w:val="404040" w:themeColor="text1" w:themeTint="BF"/>
                <w:sz w:val="18"/>
                <w:szCs w:val="18"/>
              </w:rPr>
              <w:t xml:space="preserve"> 2017-2021</w:t>
            </w:r>
          </w:p>
          <w:p w14:paraId="2EF87A5C" w14:textId="77777777" w:rsidR="00843140" w:rsidRDefault="00843140" w:rsidP="0075518E">
            <w:pPr>
              <w:ind w:right="-1"/>
              <w:jc w:val="right"/>
              <w:rPr>
                <w:rFonts w:ascii="Times New Roman" w:hAnsi="Times New Roman" w:cs="Times New Roman"/>
                <w:color w:val="404040" w:themeColor="text1" w:themeTint="BF"/>
              </w:rPr>
            </w:pPr>
          </w:p>
          <w:p w14:paraId="3FB5468C" w14:textId="594B2C73" w:rsidR="00497B58" w:rsidRPr="00F95904" w:rsidRDefault="00497B58" w:rsidP="0075518E">
            <w:pPr>
              <w:ind w:right="-1"/>
              <w:jc w:val="right"/>
              <w:rPr>
                <w:rFonts w:ascii="Times New Roman" w:hAnsi="Times New Roman" w:cs="Times New Roman"/>
                <w:color w:val="404040" w:themeColor="text1" w:themeTint="BF"/>
              </w:rPr>
            </w:pPr>
          </w:p>
        </w:tc>
      </w:tr>
    </w:tbl>
    <w:p w14:paraId="7ADC8F24" w14:textId="50A9743E" w:rsidR="00F1268F" w:rsidRPr="00F95904" w:rsidRDefault="009F0704" w:rsidP="0075518E">
      <w:pPr>
        <w:ind w:right="-1"/>
        <w:jc w:val="center"/>
        <w:rPr>
          <w:rFonts w:ascii="Times New Roman" w:hAnsi="Times New Roman" w:cs="Times New Roman"/>
          <w:b/>
          <w:bCs/>
          <w:color w:val="404040" w:themeColor="text1" w:themeTint="BF"/>
        </w:rPr>
      </w:pPr>
      <w:r w:rsidRPr="00F95904">
        <w:rPr>
          <w:rFonts w:ascii="Times New Roman" w:hAnsi="Times New Roman" w:cs="Times New Roman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CA0772" wp14:editId="2D799B24">
                <wp:simplePos x="0" y="0"/>
                <wp:positionH relativeFrom="column">
                  <wp:posOffset>172720</wp:posOffset>
                </wp:positionH>
                <wp:positionV relativeFrom="paragraph">
                  <wp:posOffset>213834</wp:posOffset>
                </wp:positionV>
                <wp:extent cx="6678295" cy="9525"/>
                <wp:effectExtent l="0" t="0" r="27305" b="28575"/>
                <wp:wrapNone/>
                <wp:docPr id="107671278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78295" cy="95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38815" id="AutoShape 6" o:spid="_x0000_s1026" type="#_x0000_t32" style="position:absolute;margin-left:13.6pt;margin-top:16.85pt;width:525.85pt;height: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"/>
            </w:pict>
          </mc:Fallback>
        </mc:AlternateContent>
      </w:r>
      <w:r w:rsidR="00F1268F" w:rsidRPr="00F95904">
        <w:rPr>
          <w:rFonts w:ascii="Times New Roman" w:hAnsi="Times New Roman" w:cs="Times New Roman"/>
          <w:b/>
          <w:bCs/>
          <w:color w:val="404040" w:themeColor="text1" w:themeTint="BF"/>
        </w:rPr>
        <w:t>QUALIFICATIONS/AWARDS</w:t>
      </w:r>
    </w:p>
    <w:tbl>
      <w:tblPr>
        <w:tblStyle w:val="TableGrid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45"/>
        <w:gridCol w:w="5278"/>
      </w:tblGrid>
      <w:tr w:rsidR="00B92EC6" w:rsidRPr="00F95904" w14:paraId="572DDFC9" w14:textId="77777777" w:rsidTr="00151404">
        <w:tc>
          <w:tcPr>
            <w:tcW w:w="5245" w:type="dxa"/>
          </w:tcPr>
          <w:p w14:paraId="19103750" w14:textId="66C6331B" w:rsidR="00F1268F" w:rsidRPr="00F95904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Tableau Certified Data Analyst,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2023</w:t>
            </w:r>
          </w:p>
          <w:p w14:paraId="6401B6E4" w14:textId="77777777" w:rsidR="00F1268F" w:rsidRPr="00C90A96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Viz of the Day,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Tableau 2024</w:t>
            </w:r>
          </w:p>
          <w:p w14:paraId="4E774E7E" w14:textId="70022B3D" w:rsidR="00C90A96" w:rsidRPr="00BE362F" w:rsidRDefault="00060B35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proofErr w:type="spellStart"/>
            <w:r>
              <w:rPr>
                <w:rFonts w:ascii="Times New Roman" w:hAnsi="Times New Roman" w:cs="Times New Roman"/>
                <w:color w:val="404040" w:themeColor="text1" w:themeTint="BF"/>
              </w:rPr>
              <w:t>dbt</w:t>
            </w:r>
            <w:proofErr w:type="spellEnd"/>
            <w:r w:rsidR="00C90A96">
              <w:rPr>
                <w:rFonts w:ascii="Times New Roman" w:hAnsi="Times New Roman" w:cs="Times New Roman"/>
                <w:color w:val="404040" w:themeColor="text1" w:themeTint="BF"/>
              </w:rPr>
              <w:t xml:space="preserve"> Fundamentals, </w:t>
            </w:r>
            <w:r w:rsidR="00C90A96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 xml:space="preserve">2024 </w:t>
            </w:r>
          </w:p>
          <w:p w14:paraId="33DE203F" w14:textId="61F2D0F9" w:rsidR="00BE362F" w:rsidRPr="00F95904" w:rsidRDefault="00BE362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Snowflake Hands-on Badge (1), </w:t>
            </w:r>
            <w:r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2025</w:t>
            </w:r>
          </w:p>
        </w:tc>
        <w:tc>
          <w:tcPr>
            <w:tcW w:w="5278" w:type="dxa"/>
          </w:tcPr>
          <w:p w14:paraId="0918199A" w14:textId="5C310992" w:rsidR="00F1268F" w:rsidRPr="00F95904" w:rsidRDefault="00F1268F" w:rsidP="0075518E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Alteryx Designer </w:t>
            </w:r>
            <w:r w:rsidR="0047131D">
              <w:rPr>
                <w:rFonts w:ascii="Times New Roman" w:hAnsi="Times New Roman" w:cs="Times New Roman"/>
                <w:color w:val="404040" w:themeColor="text1" w:themeTint="BF"/>
              </w:rPr>
              <w:t>Advanced</w:t>
            </w:r>
            <w:r w:rsidR="0047131D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, 2024</w:t>
            </w:r>
            <w:r w:rsidR="001E31C7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 xml:space="preserve"> (Core, 2022)</w:t>
            </w:r>
          </w:p>
          <w:p w14:paraId="540E0BFF" w14:textId="77777777" w:rsidR="00BF547D" w:rsidRPr="00BF547D" w:rsidRDefault="00F1268F" w:rsidP="00BF547D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F95904">
              <w:rPr>
                <w:rFonts w:ascii="Times New Roman" w:hAnsi="Times New Roman" w:cs="Times New Roman"/>
                <w:color w:val="404040" w:themeColor="text1" w:themeTint="BF"/>
              </w:rPr>
              <w:t xml:space="preserve">Power BI Data Analyst (PL-300), </w:t>
            </w:r>
            <w:r w:rsidRPr="00F95904"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2024</w:t>
            </w:r>
          </w:p>
          <w:p w14:paraId="4D40BF0F" w14:textId="77777777" w:rsidR="00BF547D" w:rsidRPr="00BE362F" w:rsidRDefault="00BF547D" w:rsidP="00BF547D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Databricks Fundamentals, </w:t>
            </w:r>
            <w:r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2024</w:t>
            </w:r>
          </w:p>
          <w:p w14:paraId="6B87E375" w14:textId="06B31EEB" w:rsidR="00BE362F" w:rsidRPr="00BF547D" w:rsidRDefault="00BE362F" w:rsidP="00BF547D">
            <w:pPr>
              <w:pStyle w:val="ListParagraph"/>
              <w:numPr>
                <w:ilvl w:val="0"/>
                <w:numId w:val="2"/>
              </w:numPr>
              <w:ind w:left="0" w:right="-1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AWS Cloud Practitioner, </w:t>
            </w:r>
            <w:r>
              <w:rPr>
                <w:rFonts w:ascii="Times New Roman" w:hAnsi="Times New Roman" w:cs="Times New Roman"/>
                <w:i/>
                <w:iCs/>
                <w:color w:val="404040" w:themeColor="text1" w:themeTint="BF"/>
              </w:rPr>
              <w:t>2025</w:t>
            </w:r>
          </w:p>
        </w:tc>
      </w:tr>
    </w:tbl>
    <w:p w14:paraId="11ABC450" w14:textId="141AF8A9" w:rsidR="004D570C" w:rsidRPr="001E31C7" w:rsidRDefault="004D570C" w:rsidP="004D2273">
      <w:pPr>
        <w:ind w:right="-1"/>
        <w:rPr>
          <w:rFonts w:ascii="Times New Roman" w:hAnsi="Times New Roman" w:cs="Times New Roman"/>
          <w:color w:val="404040" w:themeColor="text1" w:themeTint="BF"/>
        </w:rPr>
      </w:pPr>
    </w:p>
    <w:sectPr w:rsidR="004D570C" w:rsidRPr="001E31C7" w:rsidSect="001E31C7">
      <w:pgSz w:w="11906" w:h="16838"/>
      <w:pgMar w:top="426" w:right="424" w:bottom="0" w:left="426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3B0B5A" w14:textId="77777777" w:rsidR="00A92DD8" w:rsidRPr="000401C2" w:rsidRDefault="00A92DD8" w:rsidP="001D68F6">
      <w:pPr>
        <w:spacing w:after="0" w:line="240" w:lineRule="auto"/>
      </w:pPr>
      <w:r w:rsidRPr="000401C2">
        <w:separator/>
      </w:r>
    </w:p>
  </w:endnote>
  <w:endnote w:type="continuationSeparator" w:id="0">
    <w:p w14:paraId="093F597C" w14:textId="77777777" w:rsidR="00A92DD8" w:rsidRPr="000401C2" w:rsidRDefault="00A92DD8" w:rsidP="001D68F6">
      <w:pPr>
        <w:spacing w:after="0" w:line="240" w:lineRule="auto"/>
      </w:pPr>
      <w:r w:rsidRPr="000401C2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73417BD" w14:textId="77777777" w:rsidR="00A92DD8" w:rsidRPr="000401C2" w:rsidRDefault="00A92DD8" w:rsidP="001D68F6">
      <w:pPr>
        <w:spacing w:after="0" w:line="240" w:lineRule="auto"/>
      </w:pPr>
      <w:r w:rsidRPr="000401C2">
        <w:separator/>
      </w:r>
    </w:p>
  </w:footnote>
  <w:footnote w:type="continuationSeparator" w:id="0">
    <w:p w14:paraId="41604768" w14:textId="77777777" w:rsidR="00A92DD8" w:rsidRPr="000401C2" w:rsidRDefault="00A92DD8" w:rsidP="001D68F6">
      <w:pPr>
        <w:spacing w:after="0" w:line="240" w:lineRule="auto"/>
      </w:pPr>
      <w:r w:rsidRPr="000401C2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D7057D"/>
    <w:multiLevelType w:val="hybridMultilevel"/>
    <w:tmpl w:val="6BF067F0"/>
    <w:lvl w:ilvl="0" w:tplc="F424B70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821B51"/>
    <w:multiLevelType w:val="hybridMultilevel"/>
    <w:tmpl w:val="47867158"/>
    <w:lvl w:ilvl="0" w:tplc="1E54F2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680BE1"/>
    <w:multiLevelType w:val="hybridMultilevel"/>
    <w:tmpl w:val="BFC0A1D4"/>
    <w:lvl w:ilvl="0" w:tplc="C80E38EA">
      <w:start w:val="2"/>
      <w:numFmt w:val="upperLetter"/>
      <w:lvlText w:val="%1"/>
      <w:lvlJc w:val="left"/>
      <w:pPr>
        <w:ind w:left="590" w:hanging="447"/>
      </w:pPr>
      <w:rPr>
        <w:lang w:val="en-US" w:eastAsia="en-US" w:bidi="ar-SA"/>
      </w:rPr>
    </w:lvl>
    <w:lvl w:ilvl="1" w:tplc="BBE49642">
      <w:numFmt w:val="bullet"/>
      <w:lvlText w:val="-"/>
      <w:lvlJc w:val="left"/>
      <w:pPr>
        <w:ind w:left="475" w:hanging="135"/>
      </w:pPr>
      <w:rPr>
        <w:rFonts w:ascii="Trebuchet MS" w:eastAsia="Trebuchet MS" w:hAnsi="Trebuchet MS" w:cs="Trebuchet MS" w:hint="default"/>
        <w:w w:val="96"/>
        <w:sz w:val="22"/>
        <w:szCs w:val="22"/>
        <w:lang w:val="en-US" w:eastAsia="en-US" w:bidi="ar-SA"/>
      </w:rPr>
    </w:lvl>
    <w:lvl w:ilvl="2" w:tplc="D870D712">
      <w:numFmt w:val="bullet"/>
      <w:lvlText w:val="•"/>
      <w:lvlJc w:val="left"/>
      <w:pPr>
        <w:ind w:left="1326" w:hanging="135"/>
      </w:pPr>
      <w:rPr>
        <w:lang w:val="en-US" w:eastAsia="en-US" w:bidi="ar-SA"/>
      </w:rPr>
    </w:lvl>
    <w:lvl w:ilvl="3" w:tplc="8F72B590">
      <w:numFmt w:val="bullet"/>
      <w:lvlText w:val="•"/>
      <w:lvlJc w:val="left"/>
      <w:pPr>
        <w:ind w:left="2053" w:hanging="135"/>
      </w:pPr>
      <w:rPr>
        <w:lang w:val="en-US" w:eastAsia="en-US" w:bidi="ar-SA"/>
      </w:rPr>
    </w:lvl>
    <w:lvl w:ilvl="4" w:tplc="D80A9ADA">
      <w:numFmt w:val="bullet"/>
      <w:lvlText w:val="•"/>
      <w:lvlJc w:val="left"/>
      <w:pPr>
        <w:ind w:left="2779" w:hanging="135"/>
      </w:pPr>
      <w:rPr>
        <w:lang w:val="en-US" w:eastAsia="en-US" w:bidi="ar-SA"/>
      </w:rPr>
    </w:lvl>
    <w:lvl w:ilvl="5" w:tplc="4426F020">
      <w:numFmt w:val="bullet"/>
      <w:lvlText w:val="•"/>
      <w:lvlJc w:val="left"/>
      <w:pPr>
        <w:ind w:left="3506" w:hanging="135"/>
      </w:pPr>
      <w:rPr>
        <w:lang w:val="en-US" w:eastAsia="en-US" w:bidi="ar-SA"/>
      </w:rPr>
    </w:lvl>
    <w:lvl w:ilvl="6" w:tplc="8F009546">
      <w:numFmt w:val="bullet"/>
      <w:lvlText w:val="•"/>
      <w:lvlJc w:val="left"/>
      <w:pPr>
        <w:ind w:left="4232" w:hanging="135"/>
      </w:pPr>
      <w:rPr>
        <w:lang w:val="en-US" w:eastAsia="en-US" w:bidi="ar-SA"/>
      </w:rPr>
    </w:lvl>
    <w:lvl w:ilvl="7" w:tplc="0FBACDB6">
      <w:numFmt w:val="bullet"/>
      <w:lvlText w:val="•"/>
      <w:lvlJc w:val="left"/>
      <w:pPr>
        <w:ind w:left="4959" w:hanging="135"/>
      </w:pPr>
      <w:rPr>
        <w:lang w:val="en-US" w:eastAsia="en-US" w:bidi="ar-SA"/>
      </w:rPr>
    </w:lvl>
    <w:lvl w:ilvl="8" w:tplc="6D862012">
      <w:numFmt w:val="bullet"/>
      <w:lvlText w:val="•"/>
      <w:lvlJc w:val="left"/>
      <w:pPr>
        <w:ind w:left="5685" w:hanging="135"/>
      </w:pPr>
      <w:rPr>
        <w:lang w:val="en-US" w:eastAsia="en-US" w:bidi="ar-SA"/>
      </w:rPr>
    </w:lvl>
  </w:abstractNum>
  <w:abstractNum w:abstractNumId="3" w15:restartNumberingAfterBreak="0">
    <w:nsid w:val="63492A50"/>
    <w:multiLevelType w:val="hybridMultilevel"/>
    <w:tmpl w:val="8BC0E282"/>
    <w:lvl w:ilvl="0" w:tplc="1DFA58B4">
      <w:start w:val="5"/>
      <w:numFmt w:val="bullet"/>
      <w:lvlText w:val="-"/>
      <w:lvlJc w:val="left"/>
      <w:pPr>
        <w:ind w:left="-349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4" w15:restartNumberingAfterBreak="0">
    <w:nsid w:val="78E825B3"/>
    <w:multiLevelType w:val="hybridMultilevel"/>
    <w:tmpl w:val="CBA646EE"/>
    <w:lvl w:ilvl="0" w:tplc="7716196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9583228">
    <w:abstractNumId w:val="2"/>
    <w:lvlOverride w:ilvl="0">
      <w:startOverride w:val="2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 w16cid:durableId="1941719288">
    <w:abstractNumId w:val="3"/>
  </w:num>
  <w:num w:numId="3" w16cid:durableId="729307955">
    <w:abstractNumId w:val="0"/>
  </w:num>
  <w:num w:numId="4" w16cid:durableId="390662258">
    <w:abstractNumId w:val="4"/>
  </w:num>
  <w:num w:numId="5" w16cid:durableId="558564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/>
  <w:defaultTabStop w:val="720"/>
  <w:characterSpacingControl w:val="doNotCompress"/>
  <w:hdrShapeDefaults>
    <o:shapedefaults v:ext="edit" spidmax="2050">
      <o:colormru v:ext="edit" colors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68F6"/>
    <w:rsid w:val="0000317D"/>
    <w:rsid w:val="00013EAE"/>
    <w:rsid w:val="000401C2"/>
    <w:rsid w:val="00060B35"/>
    <w:rsid w:val="000857DB"/>
    <w:rsid w:val="00091DB8"/>
    <w:rsid w:val="000C63CF"/>
    <w:rsid w:val="00111ED0"/>
    <w:rsid w:val="001456DD"/>
    <w:rsid w:val="00151404"/>
    <w:rsid w:val="0016451F"/>
    <w:rsid w:val="00187E40"/>
    <w:rsid w:val="00196211"/>
    <w:rsid w:val="001A07F9"/>
    <w:rsid w:val="001A5102"/>
    <w:rsid w:val="001B56C7"/>
    <w:rsid w:val="001C385A"/>
    <w:rsid w:val="001D68F6"/>
    <w:rsid w:val="001E31C7"/>
    <w:rsid w:val="001F4181"/>
    <w:rsid w:val="00207763"/>
    <w:rsid w:val="002267FB"/>
    <w:rsid w:val="00242C4A"/>
    <w:rsid w:val="00261CF3"/>
    <w:rsid w:val="002702C4"/>
    <w:rsid w:val="002C4415"/>
    <w:rsid w:val="002E423B"/>
    <w:rsid w:val="002E4F41"/>
    <w:rsid w:val="00305CC7"/>
    <w:rsid w:val="0037526F"/>
    <w:rsid w:val="003F7BD0"/>
    <w:rsid w:val="0047131D"/>
    <w:rsid w:val="004727FA"/>
    <w:rsid w:val="0049579B"/>
    <w:rsid w:val="00497B58"/>
    <w:rsid w:val="004A2EAF"/>
    <w:rsid w:val="004B2323"/>
    <w:rsid w:val="004D2273"/>
    <w:rsid w:val="004D570C"/>
    <w:rsid w:val="005235A6"/>
    <w:rsid w:val="00593F01"/>
    <w:rsid w:val="005A6065"/>
    <w:rsid w:val="005D038C"/>
    <w:rsid w:val="005D1AD4"/>
    <w:rsid w:val="00636485"/>
    <w:rsid w:val="00657259"/>
    <w:rsid w:val="006A4C5C"/>
    <w:rsid w:val="006A681E"/>
    <w:rsid w:val="00702B6D"/>
    <w:rsid w:val="00707314"/>
    <w:rsid w:val="007509CF"/>
    <w:rsid w:val="007510EA"/>
    <w:rsid w:val="0075518E"/>
    <w:rsid w:val="007565DB"/>
    <w:rsid w:val="00762A14"/>
    <w:rsid w:val="0077100E"/>
    <w:rsid w:val="007A494F"/>
    <w:rsid w:val="007A6630"/>
    <w:rsid w:val="007A779A"/>
    <w:rsid w:val="007B50D9"/>
    <w:rsid w:val="008144F8"/>
    <w:rsid w:val="008174EF"/>
    <w:rsid w:val="00843140"/>
    <w:rsid w:val="0089729F"/>
    <w:rsid w:val="008B73D6"/>
    <w:rsid w:val="0091484D"/>
    <w:rsid w:val="009320DC"/>
    <w:rsid w:val="009326A4"/>
    <w:rsid w:val="009326D7"/>
    <w:rsid w:val="00944BD2"/>
    <w:rsid w:val="009459C8"/>
    <w:rsid w:val="009936CE"/>
    <w:rsid w:val="009C3BA5"/>
    <w:rsid w:val="009D65BE"/>
    <w:rsid w:val="009F0704"/>
    <w:rsid w:val="009F7091"/>
    <w:rsid w:val="00A24545"/>
    <w:rsid w:val="00A3684E"/>
    <w:rsid w:val="00A368B6"/>
    <w:rsid w:val="00A56643"/>
    <w:rsid w:val="00A8523C"/>
    <w:rsid w:val="00A92DD8"/>
    <w:rsid w:val="00A9626A"/>
    <w:rsid w:val="00AB6E79"/>
    <w:rsid w:val="00AF32FE"/>
    <w:rsid w:val="00B32C9B"/>
    <w:rsid w:val="00B73A1A"/>
    <w:rsid w:val="00B87CB1"/>
    <w:rsid w:val="00B92EC6"/>
    <w:rsid w:val="00B95254"/>
    <w:rsid w:val="00B95C1C"/>
    <w:rsid w:val="00BE362F"/>
    <w:rsid w:val="00BF547D"/>
    <w:rsid w:val="00C451AD"/>
    <w:rsid w:val="00C816C8"/>
    <w:rsid w:val="00C90A96"/>
    <w:rsid w:val="00CF5CB8"/>
    <w:rsid w:val="00D02547"/>
    <w:rsid w:val="00D05D10"/>
    <w:rsid w:val="00D12F61"/>
    <w:rsid w:val="00D21BFB"/>
    <w:rsid w:val="00D50FF8"/>
    <w:rsid w:val="00D956B6"/>
    <w:rsid w:val="00DC0ADE"/>
    <w:rsid w:val="00DF3436"/>
    <w:rsid w:val="00E01E74"/>
    <w:rsid w:val="00E01FD5"/>
    <w:rsid w:val="00E06529"/>
    <w:rsid w:val="00E17B6D"/>
    <w:rsid w:val="00E371B9"/>
    <w:rsid w:val="00E628B0"/>
    <w:rsid w:val="00E819B6"/>
    <w:rsid w:val="00E916C1"/>
    <w:rsid w:val="00EA5632"/>
    <w:rsid w:val="00EB173F"/>
    <w:rsid w:val="00F027B6"/>
    <w:rsid w:val="00F03C57"/>
    <w:rsid w:val="00F1268F"/>
    <w:rsid w:val="00F656C9"/>
    <w:rsid w:val="00F659E9"/>
    <w:rsid w:val="00F95904"/>
    <w:rsid w:val="00FC2BA6"/>
    <w:rsid w:val="00FD6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white"/>
    </o:shapedefaults>
    <o:shapelayout v:ext="edit">
      <o:idmap v:ext="edit" data="2"/>
    </o:shapelayout>
  </w:shapeDefaults>
  <w:decimalSymbol w:val="."/>
  <w:listSeparator w:val=","/>
  <w14:docId w14:val="07DE8763"/>
  <w15:chartTrackingRefBased/>
  <w15:docId w15:val="{30656B64-168C-4318-926A-E6B7EC547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6643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D68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D68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D68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68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68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68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68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68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68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68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68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D68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68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68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68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68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68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68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68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68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68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68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68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68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D68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68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68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68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68F6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68F6"/>
  </w:style>
  <w:style w:type="paragraph" w:styleId="Footer">
    <w:name w:val="footer"/>
    <w:basedOn w:val="Normal"/>
    <w:link w:val="FooterChar"/>
    <w:uiPriority w:val="99"/>
    <w:unhideWhenUsed/>
    <w:rsid w:val="001D68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68F6"/>
  </w:style>
  <w:style w:type="character" w:styleId="Hyperlink">
    <w:name w:val="Hyperlink"/>
    <w:basedOn w:val="DefaultParagraphFont"/>
    <w:uiPriority w:val="99"/>
    <w:unhideWhenUsed/>
    <w:rsid w:val="001D68F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68F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8B73D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B73D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B73D6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B73D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B73D6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2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8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7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035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0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67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morgan-rennie/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morgan.a.rennie@gmail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github.com/MorganRenni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ublic.tableau.com/app/profile/morgan.rennie/vizz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706</Words>
  <Characters>4401</Characters>
  <Application>Microsoft Office Word</Application>
  <DocSecurity>0</DocSecurity>
  <Lines>95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 Alexander Rennie</dc:creator>
  <cp:keywords/>
  <dc:description/>
  <cp:lastModifiedBy>Morgan Alexander Rennie</cp:lastModifiedBy>
  <cp:revision>7</cp:revision>
  <cp:lastPrinted>2024-11-21T15:45:00Z</cp:lastPrinted>
  <dcterms:created xsi:type="dcterms:W3CDTF">2025-04-24T08:15:00Z</dcterms:created>
  <dcterms:modified xsi:type="dcterms:W3CDTF">2025-04-25T10:30:00Z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246f8618-2d37-4454-9d86-8f0026769e13</vt:lpwstr>
  </property>
</Properties>
</file>