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F2330"/>
          <w:sz w:val="40"/>
          <w:szCs w:val="40"/>
        </w:rPr>
        <w:t xml:space="preserve">Coastline Auto Detailing — Glen Mills, PA</w:t>
      </w:r>
    </w:p>
    <w:p>
      <w:pPr>
        <w:pBdr>
          <w:bottom w:val="single" w:color="0E7775" w:sz="8" w:space="6"/>
        </w:pBdr>
        <w:spacing w:after="120"/>
      </w:pPr>
      <w:r>
        <w:rPr>
          <w:rFonts w:ascii="Arial" w:cs="Arial" w:eastAsia="Arial" w:hAnsi="Arial"/>
          <w:color w:val="5B7380"/>
          <w:sz w:val="22"/>
          <w:szCs w:val="22"/>
        </w:rPr>
        <w:t xml:space="preserve">Second location business plan · Target launch: March 2028 · Prepared September 2026</w:t>
      </w:r>
    </w:p>
    <w:p>
      <w:pPr>
        <w:spacing w:after="240"/>
      </w:pPr>
      <w:r>
        <w:rPr>
          <w:rFonts w:ascii="Arial" w:cs="Arial" w:eastAsia="Arial" w:hAnsi="Arial"/>
          <w:i/>
          <w:iCs/>
          <w:color w:val="666666"/>
          <w:sz w:val="18"/>
          <w:szCs w:val="18"/>
        </w:rPr>
        <w:t xml:space="preserve">© 2026 Morgan / Coastline Auto Detailing. All rights reserved. Confidential — do not copy or share without written permission.</w:t>
      </w:r>
    </w:p>
    <w:p>
      <w:pPr>
        <w:pStyle w:val="Heading1"/>
        <w:spacing w:after="120" w:before="280"/>
      </w:pPr>
      <w:r>
        <w:rPr>
          <w:rFonts w:ascii="Arial" w:cs="Arial" w:eastAsia="Arial" w:hAnsi="Arial"/>
          <w:b/>
          <w:bCs/>
          <w:color w:val="0E7775"/>
          <w:sz w:val="30"/>
          <w:szCs w:val="30"/>
        </w:rPr>
        <w:t xml:space="preserve">1. Overview</w:t>
      </w:r>
    </w:p>
    <w:p>
      <w:pPr>
        <w:spacing w:after="120"/>
      </w:pPr>
      <w:r>
        <w:rPr>
          <w:rFonts w:ascii="Arial" w:cs="Arial" w:eastAsia="Arial" w:hAnsi="Arial"/>
          <w:sz w:val="22"/>
          <w:szCs w:val="22"/>
        </w:rPr>
        <w:t xml:space="preserve">Coastline Auto Detailing will open a second mobile detailing location serving Glen Mills, PA (19342) and the surrounding Delaware County and Chester County area, including Media, Chadds Ford and West Chester. It will run the same way as Athens, GA: Morgan runs the business; local technicians and subcontractors do the work; leads come from Google Local Services Ads first, then Meta ads for ceramic coating and high-ticket jobs.</w:t>
      </w:r>
    </w:p>
    <w:p>
      <w:pPr>
        <w:pStyle w:val="Heading1"/>
        <w:spacing w:after="120" w:before="280"/>
      </w:pPr>
      <w:r>
        <w:rPr>
          <w:rFonts w:ascii="Arial" w:cs="Arial" w:eastAsia="Arial" w:hAnsi="Arial"/>
          <w:b/>
          <w:bCs/>
          <w:color w:val="0E7775"/>
          <w:sz w:val="30"/>
          <w:szCs w:val="30"/>
        </w:rPr>
        <w:t xml:space="preserve">2. Services and pricing</w:t>
      </w:r>
    </w:p>
    <w:p>
      <w:pPr>
        <w:spacing w:after="120"/>
      </w:pPr>
      <w:r>
        <w:rPr>
          <w:rFonts w:ascii="Arial" w:cs="Arial" w:eastAsia="Arial" w:hAnsi="Arial"/>
          <w:sz w:val="22"/>
          <w:szCs w:val="22"/>
        </w:rPr>
        <w:t xml:space="preserve">Starting point is the Athens price list. Set final PA prices in September 2027 after checking local competitors.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gridCol w:w="1700"/>
        <w:gridCol w:w="1340"/>
      </w:tblGrid>
      <w:tr>
        <w:tc>
          <w:tcPr>
            <w:tcW w:type="dxa" w:w="3400"/>
            <w:shd w:fill="0E7775" w:color="auto"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1700"/>
            <w:shd w:fill="0E7775" w:color="auto" w:val="clear"/>
            <w:tcMar>
              <w:top w:type="dxa" w:w="60"/>
              <w:left w:type="dxa" w:w="100"/>
              <w:bottom w:type="dxa" w:w="60"/>
              <w:right w:type="dxa" w:w="100"/>
            </w:tcMar>
          </w:tcPr>
          <w:p>
            <w:r>
              <w:rPr>
                <w:rFonts w:ascii="Arial" w:cs="Arial" w:eastAsia="Arial" w:hAnsi="Arial"/>
                <w:b/>
                <w:bCs/>
                <w:color w:val="FFFFFF"/>
                <w:sz w:val="20"/>
                <w:szCs w:val="20"/>
              </w:rPr>
              <w:t xml:space="preserve">Athens price</w:t>
            </w:r>
          </w:p>
        </w:tc>
        <w:tc>
          <w:tcPr>
            <w:tcW w:type="dxa" w:w="1700"/>
            <w:shd w:fill="0E7775" w:color="auto" w:val="clear"/>
            <w:tcMar>
              <w:top w:type="dxa" w:w="60"/>
              <w:left w:type="dxa" w:w="100"/>
              <w:bottom w:type="dxa" w:w="60"/>
              <w:right w:type="dxa" w:w="100"/>
            </w:tcMar>
          </w:tcPr>
          <w:p>
            <w:r>
              <w:rPr>
                <w:rFonts w:ascii="Arial" w:cs="Arial" w:eastAsia="Arial" w:hAnsi="Arial"/>
                <w:b/>
                <w:bCs/>
                <w:color w:val="FFFFFF"/>
                <w:sz w:val="20"/>
                <w:szCs w:val="20"/>
              </w:rPr>
              <w:t xml:space="preserve">Tech pay</w:t>
            </w:r>
          </w:p>
        </w:tc>
        <w:tc>
          <w:tcPr>
            <w:tcW w:type="dxa" w:w="1700"/>
            <w:shd w:fill="0E7775" w:color="auto" w:val="clear"/>
            <w:tcMar>
              <w:top w:type="dxa" w:w="60"/>
              <w:left w:type="dxa" w:w="100"/>
              <w:bottom w:type="dxa" w:w="60"/>
              <w:right w:type="dxa" w:w="100"/>
            </w:tcMar>
          </w:tcPr>
          <w:p>
            <w:r>
              <w:rPr>
                <w:rFonts w:ascii="Arial" w:cs="Arial" w:eastAsia="Arial" w:hAnsi="Arial"/>
                <w:b/>
                <w:bCs/>
                <w:color w:val="FFFFFF"/>
                <w:sz w:val="20"/>
                <w:szCs w:val="20"/>
              </w:rPr>
              <w:t xml:space="preserve">Lead fee</w:t>
            </w:r>
          </w:p>
        </w:tc>
        <w:tc>
          <w:tcPr>
            <w:tcW w:type="dxa" w:w="1340"/>
            <w:shd w:fill="0E7775" w:color="auto" w:val="clear"/>
            <w:tcMar>
              <w:top w:type="dxa" w:w="60"/>
              <w:left w:type="dxa" w:w="100"/>
              <w:bottom w:type="dxa" w:w="60"/>
              <w:right w:type="dxa" w:w="100"/>
            </w:tcMar>
          </w:tcPr>
          <w:p>
            <w:r>
              <w:rPr>
                <w:rFonts w:ascii="Arial" w:cs="Arial" w:eastAsia="Arial" w:hAnsi="Arial"/>
                <w:b/>
                <w:bCs/>
                <w:color w:val="FFFFFF"/>
                <w:sz w:val="20"/>
                <w:szCs w:val="20"/>
              </w:rPr>
              <w:t xml:space="preserve">Kept</w:t>
            </w:r>
          </w:p>
        </w:tc>
      </w:tr>
      <w:tr>
        <w:tc>
          <w:tcPr>
            <w:tcW w:type="dxa" w:w="3400"/>
            <w:tcMar>
              <w:top w:type="dxa" w:w="60"/>
              <w:left w:type="dxa" w:w="100"/>
              <w:bottom w:type="dxa" w:w="60"/>
              <w:right w:type="dxa" w:w="100"/>
            </w:tcMar>
          </w:tcPr>
          <w:p>
            <w:r>
              <w:rPr>
                <w:rFonts w:ascii="Arial" w:cs="Arial" w:eastAsia="Arial" w:hAnsi="Arial"/>
                <w:b w:val="false"/>
                <w:bCs w:val="false"/>
                <w:color w:val="000000"/>
                <w:sz w:val="20"/>
                <w:szCs w:val="20"/>
              </w:rPr>
              <w:t xml:space="preserve">Full detail</w:t>
            </w:r>
          </w:p>
        </w:tc>
        <w:tc>
          <w:tcPr>
            <w:tcW w:type="dxa" w:w="1700"/>
            <w:tcMar>
              <w:top w:type="dxa" w:w="60"/>
              <w:left w:type="dxa" w:w="100"/>
              <w:bottom w:type="dxa" w:w="60"/>
              <w:right w:type="dxa" w:w="100"/>
            </w:tcMar>
          </w:tcPr>
          <w:p>
            <w:r>
              <w:rPr>
                <w:rFonts w:ascii="Arial" w:cs="Arial" w:eastAsia="Arial" w:hAnsi="Arial"/>
                <w:b w:val="false"/>
                <w:bCs w:val="false"/>
                <w:color w:val="000000"/>
                <w:sz w:val="20"/>
                <w:szCs w:val="20"/>
              </w:rPr>
              <w:t xml:space="preserve">$250</w:t>
            </w:r>
          </w:p>
        </w:tc>
        <w:tc>
          <w:tcPr>
            <w:tcW w:type="dxa" w:w="1700"/>
            <w:tcMar>
              <w:top w:type="dxa" w:w="60"/>
              <w:left w:type="dxa" w:w="100"/>
              <w:bottom w:type="dxa" w:w="60"/>
              <w:right w:type="dxa" w:w="100"/>
            </w:tcMar>
          </w:tcPr>
          <w:p>
            <w:r>
              <w:rPr>
                <w:rFonts w:ascii="Arial" w:cs="Arial" w:eastAsia="Arial" w:hAnsi="Arial"/>
                <w:b w:val="false"/>
                <w:bCs w:val="false"/>
                <w:color w:val="000000"/>
                <w:sz w:val="20"/>
                <w:szCs w:val="20"/>
              </w:rPr>
              <w:t xml:space="preserve">$85</w:t>
            </w:r>
          </w:p>
        </w:tc>
        <w:tc>
          <w:tcPr>
            <w:tcW w:type="dxa" w:w="1700"/>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1340"/>
            <w:tcMar>
              <w:top w:type="dxa" w:w="60"/>
              <w:left w:type="dxa" w:w="100"/>
              <w:bottom w:type="dxa" w:w="60"/>
              <w:right w:type="dxa" w:w="100"/>
            </w:tcMar>
          </w:tcPr>
          <w:p>
            <w:r>
              <w:rPr>
                <w:rFonts w:ascii="Arial" w:cs="Arial" w:eastAsia="Arial" w:hAnsi="Arial"/>
                <w:b w:val="false"/>
                <w:bCs w:val="false"/>
                <w:color w:val="000000"/>
                <w:sz w:val="20"/>
                <w:szCs w:val="20"/>
              </w:rPr>
              <w:t xml:space="preserve">$140</w:t>
            </w:r>
          </w:p>
        </w:tc>
      </w:tr>
      <w:tr>
        <w:tc>
          <w:tcPr>
            <w:tcW w:type="dxa" w:w="3400"/>
            <w:tcMar>
              <w:top w:type="dxa" w:w="60"/>
              <w:left w:type="dxa" w:w="100"/>
              <w:bottom w:type="dxa" w:w="60"/>
              <w:right w:type="dxa" w:w="100"/>
            </w:tcMar>
          </w:tcPr>
          <w:p>
            <w:r>
              <w:rPr>
                <w:rFonts w:ascii="Arial" w:cs="Arial" w:eastAsia="Arial" w:hAnsi="Arial"/>
                <w:b w:val="false"/>
                <w:bCs w:val="false"/>
                <w:color w:val="000000"/>
                <w:sz w:val="20"/>
                <w:szCs w:val="20"/>
              </w:rPr>
              <w:t xml:space="preserve">Interior detail</w:t>
            </w:r>
          </w:p>
        </w:tc>
        <w:tc>
          <w:tcPr>
            <w:tcW w:type="dxa" w:w="1700"/>
            <w:tcMar>
              <w:top w:type="dxa" w:w="60"/>
              <w:left w:type="dxa" w:w="100"/>
              <w:bottom w:type="dxa" w:w="60"/>
              <w:right w:type="dxa" w:w="100"/>
            </w:tcMar>
          </w:tcPr>
          <w:p>
            <w:r>
              <w:rPr>
                <w:rFonts w:ascii="Arial" w:cs="Arial" w:eastAsia="Arial" w:hAnsi="Arial"/>
                <w:b w:val="false"/>
                <w:bCs w:val="false"/>
                <w:color w:val="000000"/>
                <w:sz w:val="20"/>
                <w:szCs w:val="20"/>
              </w:rPr>
              <w:t xml:space="preserve">$200</w:t>
            </w:r>
          </w:p>
        </w:tc>
        <w:tc>
          <w:tcPr>
            <w:tcW w:type="dxa" w:w="1700"/>
            <w:tcMar>
              <w:top w:type="dxa" w:w="60"/>
              <w:left w:type="dxa" w:w="100"/>
              <w:bottom w:type="dxa" w:w="60"/>
              <w:right w:type="dxa" w:w="100"/>
            </w:tcMar>
          </w:tcPr>
          <w:p>
            <w:r>
              <w:rPr>
                <w:rFonts w:ascii="Arial" w:cs="Arial" w:eastAsia="Arial" w:hAnsi="Arial"/>
                <w:b w:val="false"/>
                <w:bCs w:val="false"/>
                <w:color w:val="000000"/>
                <w:sz w:val="20"/>
                <w:szCs w:val="20"/>
              </w:rPr>
              <w:t xml:space="preserve">$70</w:t>
            </w:r>
          </w:p>
        </w:tc>
        <w:tc>
          <w:tcPr>
            <w:tcW w:type="dxa" w:w="1700"/>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1340"/>
            <w:tcMar>
              <w:top w:type="dxa" w:w="60"/>
              <w:left w:type="dxa" w:w="100"/>
              <w:bottom w:type="dxa" w:w="60"/>
              <w:right w:type="dxa" w:w="100"/>
            </w:tcMar>
          </w:tcPr>
          <w:p>
            <w:r>
              <w:rPr>
                <w:rFonts w:ascii="Arial" w:cs="Arial" w:eastAsia="Arial" w:hAnsi="Arial"/>
                <w:b w:val="false"/>
                <w:bCs w:val="false"/>
                <w:color w:val="000000"/>
                <w:sz w:val="20"/>
                <w:szCs w:val="20"/>
              </w:rPr>
              <w:t xml:space="preserve">$105</w:t>
            </w:r>
          </w:p>
        </w:tc>
      </w:tr>
      <w:tr>
        <w:tc>
          <w:tcPr>
            <w:tcW w:type="dxa" w:w="3400"/>
            <w:tcMar>
              <w:top w:type="dxa" w:w="60"/>
              <w:left w:type="dxa" w:w="100"/>
              <w:bottom w:type="dxa" w:w="60"/>
              <w:right w:type="dxa" w:w="100"/>
            </w:tcMar>
          </w:tcPr>
          <w:p>
            <w:r>
              <w:rPr>
                <w:rFonts w:ascii="Arial" w:cs="Arial" w:eastAsia="Arial" w:hAnsi="Arial"/>
                <w:b w:val="false"/>
                <w:bCs w:val="false"/>
                <w:color w:val="000000"/>
                <w:sz w:val="20"/>
                <w:szCs w:val="20"/>
              </w:rPr>
              <w:t xml:space="preserve">Exterior wash</w:t>
            </w:r>
          </w:p>
        </w:tc>
        <w:tc>
          <w:tcPr>
            <w:tcW w:type="dxa" w:w="1700"/>
            <w:tcMar>
              <w:top w:type="dxa" w:w="60"/>
              <w:left w:type="dxa" w:w="100"/>
              <w:bottom w:type="dxa" w:w="60"/>
              <w:right w:type="dxa" w:w="100"/>
            </w:tcMar>
          </w:tcPr>
          <w:p>
            <w:r>
              <w:rPr>
                <w:rFonts w:ascii="Arial" w:cs="Arial" w:eastAsia="Arial" w:hAnsi="Arial"/>
                <w:b w:val="false"/>
                <w:bCs w:val="false"/>
                <w:color w:val="000000"/>
                <w:sz w:val="20"/>
                <w:szCs w:val="20"/>
              </w:rPr>
              <w:t xml:space="preserve">$170</w:t>
            </w:r>
          </w:p>
        </w:tc>
        <w:tc>
          <w:tcPr>
            <w:tcW w:type="dxa" w:w="1700"/>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1700"/>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1340"/>
            <w:tcMar>
              <w:top w:type="dxa" w:w="60"/>
              <w:left w:type="dxa" w:w="100"/>
              <w:bottom w:type="dxa" w:w="60"/>
              <w:right w:type="dxa" w:w="100"/>
            </w:tcMar>
          </w:tcPr>
          <w:p>
            <w:r>
              <w:rPr>
                <w:rFonts w:ascii="Arial" w:cs="Arial" w:eastAsia="Arial" w:hAnsi="Arial"/>
                <w:b w:val="false"/>
                <w:bCs w:val="false"/>
                <w:color w:val="000000"/>
                <w:sz w:val="20"/>
                <w:szCs w:val="20"/>
              </w:rPr>
              <w:t xml:space="preserve">$105</w:t>
            </w:r>
          </w:p>
        </w:tc>
      </w:tr>
      <w:tr>
        <w:tc>
          <w:tcPr>
            <w:tcW w:type="dxa" w:w="3400"/>
            <w:tcMar>
              <w:top w:type="dxa" w:w="60"/>
              <w:left w:type="dxa" w:w="100"/>
              <w:bottom w:type="dxa" w:w="60"/>
              <w:right w:type="dxa" w:w="100"/>
            </w:tcMar>
          </w:tcPr>
          <w:p>
            <w:r>
              <w:rPr>
                <w:rFonts w:ascii="Arial" w:cs="Arial" w:eastAsia="Arial" w:hAnsi="Arial"/>
                <w:b w:val="false"/>
                <w:bCs w:val="false"/>
                <w:color w:val="000000"/>
                <w:sz w:val="20"/>
                <w:szCs w:val="20"/>
              </w:rPr>
              <w:t xml:space="preserve">Ceramic coating / paint correction</w:t>
            </w:r>
          </w:p>
        </w:tc>
        <w:tc>
          <w:tcPr>
            <w:tcW w:type="dxa" w:w="1700"/>
            <w:tcMar>
              <w:top w:type="dxa" w:w="60"/>
              <w:left w:type="dxa" w:w="100"/>
              <w:bottom w:type="dxa" w:w="60"/>
              <w:right w:type="dxa" w:w="100"/>
            </w:tcMar>
          </w:tcPr>
          <w:p>
            <w:r>
              <w:rPr>
                <w:rFonts w:ascii="Arial" w:cs="Arial" w:eastAsia="Arial" w:hAnsi="Arial"/>
                <w:b w:val="false"/>
                <w:bCs w:val="false"/>
                <w:color w:val="000000"/>
                <w:sz w:val="20"/>
                <w:szCs w:val="20"/>
              </w:rPr>
              <w:t xml:space="preserve">TBD</w:t>
            </w:r>
          </w:p>
        </w:tc>
        <w:tc>
          <w:tcPr>
            <w:tcW w:type="dxa" w:w="1700"/>
            <w:tcMar>
              <w:top w:type="dxa" w:w="60"/>
              <w:left w:type="dxa" w:w="100"/>
              <w:bottom w:type="dxa" w:w="60"/>
              <w:right w:type="dxa" w:w="100"/>
            </w:tcMar>
          </w:tcPr>
          <w:p>
            <w:r>
              <w:rPr>
                <w:rFonts w:ascii="Arial" w:cs="Arial" w:eastAsia="Arial" w:hAnsi="Arial"/>
                <w:b w:val="false"/>
                <w:bCs w:val="false"/>
                <w:color w:val="000000"/>
                <w:sz w:val="20"/>
                <w:szCs w:val="20"/>
              </w:rPr>
              <w:t xml:space="preserve">~30–35%</w:t>
            </w:r>
          </w:p>
        </w:tc>
        <w:tc>
          <w:tcPr>
            <w:tcW w:type="dxa" w:w="1700"/>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1340"/>
            <w:tcMar>
              <w:top w:type="dxa" w:w="60"/>
              <w:left w:type="dxa" w:w="100"/>
              <w:bottom w:type="dxa" w:w="60"/>
              <w:right w:type="dxa" w:w="100"/>
            </w:tcMar>
          </w:tcPr>
          <w:p>
            <w:r>
              <w:rPr>
                <w:rFonts w:ascii="Arial" w:cs="Arial" w:eastAsia="Arial" w:hAnsi="Arial"/>
                <w:b w:val="false"/>
                <w:bCs w:val="false"/>
                <w:color w:val="000000"/>
                <w:sz w:val="20"/>
                <w:szCs w:val="20"/>
              </w:rPr>
              <w:t xml:space="preserve">TBD</w:t>
            </w:r>
          </w:p>
        </w:tc>
      </w:tr>
    </w:tbl>
    <w:p>
      <w:pPr>
        <w:spacing w:after="120"/>
      </w:pPr>
    </w:p>
    <w:p>
      <w:pPr>
        <w:pStyle w:val="Heading1"/>
        <w:spacing w:after="120" w:before="280"/>
      </w:pPr>
      <w:r>
        <w:rPr>
          <w:rFonts w:ascii="Arial" w:cs="Arial" w:eastAsia="Arial" w:hAnsi="Arial"/>
          <w:b/>
          <w:bCs/>
          <w:color w:val="0E7775"/>
          <w:sz w:val="30"/>
          <w:szCs w:val="30"/>
        </w:rPr>
        <w:t xml:space="preserve">3. Timeline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shd w:fill="0E7775" w:color="auto" w:val="clear"/>
            <w:tcMar>
              <w:top w:type="dxa" w:w="60"/>
              <w:left w:type="dxa" w:w="100"/>
              <w:bottom w:type="dxa" w:w="60"/>
              <w:right w:type="dxa" w:w="100"/>
            </w:tcMar>
          </w:tcPr>
          <w:p>
            <w:r>
              <w:rPr>
                <w:rFonts w:ascii="Arial" w:cs="Arial" w:eastAsia="Arial" w:hAnsi="Arial"/>
                <w:b/>
                <w:bCs/>
                <w:color w:val="FFFFFF"/>
                <w:sz w:val="20"/>
                <w:szCs w:val="20"/>
              </w:rPr>
              <w:t xml:space="preserve">When</w:t>
            </w:r>
          </w:p>
        </w:tc>
        <w:tc>
          <w:tcPr>
            <w:tcW w:type="dxa" w:w="7440"/>
            <w:shd w:fill="0E7775" w:color="auto" w:val="clear"/>
            <w:tcMar>
              <w:top w:type="dxa" w:w="60"/>
              <w:left w:type="dxa" w:w="100"/>
              <w:bottom w:type="dxa" w:w="60"/>
              <w:right w:type="dxa" w:w="100"/>
            </w:tcMar>
          </w:tcPr>
          <w:p>
            <w:r>
              <w:rPr>
                <w:rFonts w:ascii="Arial" w:cs="Arial" w:eastAsia="Arial" w:hAnsi="Arial"/>
                <w:b/>
                <w:bCs/>
                <w:color w:val="FFFFFF"/>
                <w:sz w:val="20"/>
                <w:szCs w:val="20"/>
              </w:rPr>
              <w:t xml:space="preserve">What</w:t>
            </w:r>
          </w:p>
        </w:tc>
      </w:tr>
      <w:tr>
        <w:tc>
          <w:tcPr>
            <w:tcW w:type="dxa" w:w="2400"/>
            <w:tcMar>
              <w:top w:type="dxa" w:w="60"/>
              <w:left w:type="dxa" w:w="100"/>
              <w:bottom w:type="dxa" w:w="60"/>
              <w:right w:type="dxa" w:w="100"/>
            </w:tcMar>
          </w:tcPr>
          <w:p>
            <w:r>
              <w:rPr>
                <w:rFonts w:ascii="Arial" w:cs="Arial" w:eastAsia="Arial" w:hAnsi="Arial"/>
                <w:b w:val="false"/>
                <w:bCs w:val="false"/>
                <w:color w:val="000000"/>
                <w:sz w:val="20"/>
                <w:szCs w:val="20"/>
              </w:rPr>
              <w:t xml:space="preserve">Sep 2027</w:t>
            </w:r>
          </w:p>
        </w:tc>
        <w:tc>
          <w:tcPr>
            <w:tcW w:type="dxa" w:w="7440"/>
            <w:tcMar>
              <w:top w:type="dxa" w:w="60"/>
              <w:left w:type="dxa" w:w="100"/>
              <w:bottom w:type="dxa" w:w="60"/>
              <w:right w:type="dxa" w:w="100"/>
            </w:tcMar>
          </w:tcPr>
          <w:p>
            <w:r>
              <w:rPr>
                <w:rFonts w:ascii="Arial" w:cs="Arial" w:eastAsia="Arial" w:hAnsi="Arial"/>
                <w:b w:val="false"/>
                <w:bCs w:val="false"/>
                <w:color w:val="000000"/>
                <w:sz w:val="20"/>
                <w:szCs w:val="20"/>
              </w:rPr>
              <w:t xml:space="preserve">Business setup: entity decision with an accountant; PA foreign registration ($250 filing fee, if using the Georgia LLC) with a PA registered agent; insurance covering PA; tax and licensing check; PA price list.</w:t>
            </w:r>
          </w:p>
        </w:tc>
      </w:tr>
      <w:tr>
        <w:tc>
          <w:tcPr>
            <w:tcW w:type="dxa" w:w="2400"/>
            <w:tcMar>
              <w:top w:type="dxa" w:w="60"/>
              <w:left w:type="dxa" w:w="100"/>
              <w:bottom w:type="dxa" w:w="60"/>
              <w:right w:type="dxa" w:w="100"/>
            </w:tcMar>
          </w:tcPr>
          <w:p>
            <w:r>
              <w:rPr>
                <w:rFonts w:ascii="Arial" w:cs="Arial" w:eastAsia="Arial" w:hAnsi="Arial"/>
                <w:b w:val="false"/>
                <w:bCs w:val="false"/>
                <w:color w:val="000000"/>
                <w:sz w:val="20"/>
                <w:szCs w:val="20"/>
              </w:rPr>
              <w:t xml:space="preserve">Oct–Nov 2027</w:t>
            </w:r>
          </w:p>
        </w:tc>
        <w:tc>
          <w:tcPr>
            <w:tcW w:type="dxa" w:w="7440"/>
            <w:tcMar>
              <w:top w:type="dxa" w:w="60"/>
              <w:left w:type="dxa" w:w="100"/>
              <w:bottom w:type="dxa" w:w="60"/>
              <w:right w:type="dxa" w:w="100"/>
            </w:tcMar>
          </w:tcPr>
          <w:p>
            <w:r>
              <w:rPr>
                <w:rFonts w:ascii="Arial" w:cs="Arial" w:eastAsia="Arial" w:hAnsi="Arial"/>
                <w:b w:val="false"/>
                <w:bCs w:val="false"/>
                <w:color w:val="000000"/>
                <w:sz w:val="20"/>
                <w:szCs w:val="20"/>
              </w:rPr>
              <w:t xml:space="preserve">Marketing setup: Google Business Profile (Glen Mills service area), local number in GoHighLevel, Glen Mills website page, booking and follow-up automations.</w:t>
            </w:r>
          </w:p>
        </w:tc>
      </w:tr>
      <w:tr>
        <w:tc>
          <w:tcPr>
            <w:tcW w:type="dxa" w:w="2400"/>
            <w:tcMar>
              <w:top w:type="dxa" w:w="60"/>
              <w:left w:type="dxa" w:w="100"/>
              <w:bottom w:type="dxa" w:w="60"/>
              <w:right w:type="dxa" w:w="100"/>
            </w:tcMar>
          </w:tcPr>
          <w:p>
            <w:r>
              <w:rPr>
                <w:rFonts w:ascii="Arial" w:cs="Arial" w:eastAsia="Arial" w:hAnsi="Arial"/>
                <w:b w:val="false"/>
                <w:bCs w:val="false"/>
                <w:color w:val="000000"/>
                <w:sz w:val="20"/>
                <w:szCs w:val="20"/>
              </w:rPr>
              <w:t xml:space="preserve">Dec 2027–Jan 2028</w:t>
            </w:r>
          </w:p>
        </w:tc>
        <w:tc>
          <w:tcPr>
            <w:tcW w:type="dxa" w:w="7440"/>
            <w:tcMar>
              <w:top w:type="dxa" w:w="60"/>
              <w:left w:type="dxa" w:w="100"/>
              <w:bottom w:type="dxa" w:w="60"/>
              <w:right w:type="dxa" w:w="100"/>
            </w:tcMar>
          </w:tcPr>
          <w:p>
            <w:r>
              <w:rPr>
                <w:rFonts w:ascii="Arial" w:cs="Arial" w:eastAsia="Arial" w:hAnsi="Arial"/>
                <w:b w:val="false"/>
                <w:bCs w:val="false"/>
                <w:color w:val="000000"/>
                <w:sz w:val="20"/>
                <w:szCs w:val="20"/>
              </w:rPr>
              <w:t xml:space="preserve">Team: hire 2 technicians and sign 1–2 subcontractors; paid test details before hiring.</w:t>
            </w:r>
          </w:p>
        </w:tc>
      </w:tr>
      <w:tr>
        <w:tc>
          <w:tcPr>
            <w:tcW w:type="dxa" w:w="2400"/>
            <w:tcMar>
              <w:top w:type="dxa" w:w="60"/>
              <w:left w:type="dxa" w:w="100"/>
              <w:bottom w:type="dxa" w:w="60"/>
              <w:right w:type="dxa" w:w="100"/>
            </w:tcMar>
          </w:tcPr>
          <w:p>
            <w:r>
              <w:rPr>
                <w:rFonts w:ascii="Arial" w:cs="Arial" w:eastAsia="Arial" w:hAnsi="Arial"/>
                <w:b w:val="false"/>
                <w:bCs w:val="false"/>
                <w:color w:val="000000"/>
                <w:sz w:val="20"/>
                <w:szCs w:val="20"/>
              </w:rPr>
              <w:t xml:space="preserve">Feb 2028</w:t>
            </w:r>
          </w:p>
        </w:tc>
        <w:tc>
          <w:tcPr>
            <w:tcW w:type="dxa" w:w="7440"/>
            <w:tcMar>
              <w:top w:type="dxa" w:w="60"/>
              <w:left w:type="dxa" w:w="100"/>
              <w:bottom w:type="dxa" w:w="60"/>
              <w:right w:type="dxa" w:w="100"/>
            </w:tcMar>
          </w:tcPr>
          <w:p>
            <w:r>
              <w:rPr>
                <w:rFonts w:ascii="Arial" w:cs="Arial" w:eastAsia="Arial" w:hAnsi="Arial"/>
                <w:b w:val="false"/>
                <w:bCs w:val="false"/>
                <w:color w:val="000000"/>
                <w:sz w:val="20"/>
                <w:szCs w:val="20"/>
              </w:rPr>
              <w:t xml:space="preserve">Launch prep: training, equipment, Google Local Services Ads approval in PA, soft-launch customers, subcontractor agreements.</w:t>
            </w:r>
          </w:p>
        </w:tc>
      </w:tr>
      <w:tr>
        <w:tc>
          <w:tcPr>
            <w:tcW w:type="dxa" w:w="2400"/>
            <w:tcMar>
              <w:top w:type="dxa" w:w="60"/>
              <w:left w:type="dxa" w:w="100"/>
              <w:bottom w:type="dxa" w:w="60"/>
              <w:right w:type="dxa" w:w="100"/>
            </w:tcMar>
          </w:tcPr>
          <w:p>
            <w:r>
              <w:rPr>
                <w:rFonts w:ascii="Arial" w:cs="Arial" w:eastAsia="Arial" w:hAnsi="Arial"/>
                <w:b w:val="false"/>
                <w:bCs w:val="false"/>
                <w:color w:val="000000"/>
                <w:sz w:val="20"/>
                <w:szCs w:val="20"/>
              </w:rPr>
              <w:t xml:space="preserve">Mar 2028</w:t>
            </w:r>
          </w:p>
        </w:tc>
        <w:tc>
          <w:tcPr>
            <w:tcW w:type="dxa" w:w="7440"/>
            <w:tcMar>
              <w:top w:type="dxa" w:w="60"/>
              <w:left w:type="dxa" w:w="100"/>
              <w:bottom w:type="dxa" w:w="60"/>
              <w:right w:type="dxa" w:w="100"/>
            </w:tcMar>
          </w:tcPr>
          <w:p>
            <w:r>
              <w:rPr>
                <w:rFonts w:ascii="Arial" w:cs="Arial" w:eastAsia="Arial" w:hAnsi="Arial"/>
                <w:b w:val="false"/>
                <w:bCs w:val="false"/>
                <w:color w:val="000000"/>
                <w:sz w:val="20"/>
                <w:szCs w:val="20"/>
              </w:rPr>
              <w:t xml:space="preserve">Launch.</w:t>
            </w:r>
          </w:p>
        </w:tc>
      </w:tr>
    </w:tbl>
    <w:p>
      <w:pPr>
        <w:spacing w:after="120"/>
      </w:pPr>
    </w:p>
    <w:p>
      <w:pPr>
        <w:pStyle w:val="Heading1"/>
        <w:spacing w:after="120" w:before="280"/>
      </w:pPr>
      <w:r>
        <w:rPr>
          <w:rFonts w:ascii="Arial" w:cs="Arial" w:eastAsia="Arial" w:hAnsi="Arial"/>
          <w:b/>
          <w:bCs/>
          <w:color w:val="0E7775"/>
          <w:sz w:val="30"/>
          <w:szCs w:val="30"/>
        </w:rPr>
        <w:t xml:space="preserve">4. Team</w:t>
      </w:r>
    </w:p>
    <w:p>
      <w:pPr>
        <w:pStyle w:val="Heading2"/>
        <w:spacing w:after="80" w:before="200"/>
      </w:pPr>
      <w:r>
        <w:rPr>
          <w:rFonts w:ascii="Arial" w:cs="Arial" w:eastAsia="Arial" w:hAnsi="Arial"/>
          <w:b/>
          <w:bCs/>
          <w:sz w:val="24"/>
          <w:szCs w:val="24"/>
        </w:rPr>
        <w:t xml:space="preserve">Technicians</w:t>
      </w:r>
    </w:p>
    <w:p>
      <w:pPr>
        <w:pStyle w:val="ListParagraph"/>
        <w:numPr>
          <w:ilvl w:val="0"/>
          <w:numId w:val="2"/>
        </w:numPr>
        <w:spacing w:after="60"/>
      </w:pPr>
      <w:r>
        <w:rPr>
          <w:rFonts w:ascii="Arial" w:cs="Arial" w:eastAsia="Arial" w:hAnsi="Arial"/>
          <w:sz w:val="22"/>
          <w:szCs w:val="22"/>
        </w:rPr>
        <w:t xml:space="preserve">Local benchmark (Sep 2026): dealership detailers in Glen Mills earn about $15–20/hour (CarShop Glen Mills $15–17; Concordville Nissan $18–20).</w:t>
      </w:r>
    </w:p>
    <w:p>
      <w:pPr>
        <w:pStyle w:val="ListParagraph"/>
        <w:numPr>
          <w:ilvl w:val="0"/>
          <w:numId w:val="2"/>
        </w:numPr>
        <w:spacing w:after="60"/>
      </w:pPr>
      <w:r>
        <w:rPr>
          <w:rFonts w:ascii="Arial" w:cs="Arial" w:eastAsia="Arial" w:hAnsi="Arial"/>
          <w:sz w:val="22"/>
          <w:szCs w:val="22"/>
        </w:rPr>
        <w:t xml:space="preserve">Coastline pays per job. At Athens rates, 3 full details a day is $255/day, which beats dealership pay.</w:t>
      </w:r>
    </w:p>
    <w:p>
      <w:pPr>
        <w:pStyle w:val="ListParagraph"/>
        <w:numPr>
          <w:ilvl w:val="0"/>
          <w:numId w:val="2"/>
        </w:numPr>
        <w:spacing w:after="60"/>
      </w:pPr>
      <w:r>
        <w:rPr>
          <w:rFonts w:ascii="Arial" w:cs="Arial" w:eastAsia="Arial" w:hAnsi="Arial"/>
          <w:sz w:val="22"/>
          <w:szCs w:val="22"/>
        </w:rPr>
        <w:t xml:space="preserve">Recruit through Indeed, ZipRecruiter, local dealerships and car washes on Baltimore Pike, community college auto programs, and referrals from Athens techs.</w:t>
      </w:r>
    </w:p>
    <w:p>
      <w:pPr>
        <w:pStyle w:val="ListParagraph"/>
        <w:numPr>
          <w:ilvl w:val="0"/>
          <w:numId w:val="2"/>
        </w:numPr>
        <w:spacing w:after="60"/>
      </w:pPr>
      <w:r>
        <w:rPr>
          <w:rFonts w:ascii="Arial" w:cs="Arial" w:eastAsia="Arial" w:hAnsi="Arial"/>
          <w:sz w:val="22"/>
          <w:szCs w:val="22"/>
        </w:rPr>
        <w:t xml:space="preserve">Offer per-job pay, paid training and a path to lead tech. Always run a paid test detail.</w:t>
      </w:r>
    </w:p>
    <w:p>
      <w:pPr>
        <w:pStyle w:val="Heading2"/>
        <w:spacing w:after="80" w:before="200"/>
      </w:pPr>
      <w:r>
        <w:rPr>
          <w:rFonts w:ascii="Arial" w:cs="Arial" w:eastAsia="Arial" w:hAnsi="Arial"/>
          <w:b/>
          <w:bCs/>
          <w:sz w:val="24"/>
          <w:szCs w:val="24"/>
        </w:rPr>
        <w:t xml:space="preserve">Subcontractor candidates (researched Sep 2026)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300"/>
        <w:gridCol w:w="3800"/>
        <w:gridCol w:w="2740"/>
      </w:tblGrid>
      <w:tr>
        <w:tc>
          <w:tcPr>
            <w:tcW w:type="dxa" w:w="3300"/>
            <w:shd w:fill="0E7775" w:color="auto" w:val="clear"/>
            <w:tcMar>
              <w:top w:type="dxa" w:w="60"/>
              <w:left w:type="dxa" w:w="100"/>
              <w:bottom w:type="dxa" w:w="60"/>
              <w:right w:type="dxa" w:w="100"/>
            </w:tcMar>
          </w:tcPr>
          <w:p>
            <w:r>
              <w:rPr>
                <w:rFonts w:ascii="Arial" w:cs="Arial" w:eastAsia="Arial" w:hAnsi="Arial"/>
                <w:b/>
                <w:bCs/>
                <w:color w:val="FFFFFF"/>
                <w:sz w:val="20"/>
                <w:szCs w:val="20"/>
              </w:rPr>
              <w:t xml:space="preserve">Business</w:t>
            </w:r>
          </w:p>
        </w:tc>
        <w:tc>
          <w:tcPr>
            <w:tcW w:type="dxa" w:w="3800"/>
            <w:shd w:fill="0E7775" w:color="auto"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2740"/>
            <w:shd w:fill="0E7775" w:color="auto" w:val="clear"/>
            <w:tcMar>
              <w:top w:type="dxa" w:w="60"/>
              <w:left w:type="dxa" w:w="100"/>
              <w:bottom w:type="dxa" w:w="60"/>
              <w:right w:type="dxa" w:w="100"/>
            </w:tcMar>
          </w:tcPr>
          <w:p>
            <w:r>
              <w:rPr>
                <w:rFonts w:ascii="Arial" w:cs="Arial" w:eastAsia="Arial" w:hAnsi="Arial"/>
                <w:b/>
                <w:bCs/>
                <w:color w:val="FFFFFF"/>
                <w:sz w:val="20"/>
                <w:szCs w:val="20"/>
              </w:rPr>
              <w:t xml:space="preserve">Contact</w:t>
            </w:r>
          </w:p>
        </w:tc>
      </w:tr>
      <w:tr>
        <w:tc>
          <w:tcPr>
            <w:tcW w:type="dxa" w:w="3300"/>
            <w:tcMar>
              <w:top w:type="dxa" w:w="60"/>
              <w:left w:type="dxa" w:w="100"/>
              <w:bottom w:type="dxa" w:w="60"/>
              <w:right w:type="dxa" w:w="100"/>
            </w:tcMar>
          </w:tcPr>
          <w:p>
            <w:r>
              <w:rPr>
                <w:rFonts w:ascii="Arial" w:cs="Arial" w:eastAsia="Arial" w:hAnsi="Arial"/>
                <w:b w:val="false"/>
                <w:bCs w:val="false"/>
                <w:color w:val="000000"/>
                <w:sz w:val="20"/>
                <w:szCs w:val="20"/>
              </w:rPr>
              <w:t xml:space="preserve">Spearko's Mobile Auto Detailing</w:t>
            </w:r>
          </w:p>
        </w:tc>
        <w:tc>
          <w:tcPr>
            <w:tcW w:type="dxa" w:w="3800"/>
            <w:tcMar>
              <w:top w:type="dxa" w:w="60"/>
              <w:left w:type="dxa" w:w="100"/>
              <w:bottom w:type="dxa" w:w="60"/>
              <w:right w:type="dxa" w:w="100"/>
            </w:tcMar>
          </w:tcPr>
          <w:p>
            <w:r>
              <w:rPr>
                <w:rFonts w:ascii="Arial" w:cs="Arial" w:eastAsia="Arial" w:hAnsi="Arial"/>
                <w:b w:val="false"/>
                <w:bCs w:val="false"/>
                <w:color w:val="000000"/>
                <w:sz w:val="20"/>
                <w:szCs w:val="20"/>
              </w:rPr>
              <w:t xml:space="preserve">Glen Mills; Delaware + Chester County</w:t>
            </w:r>
          </w:p>
        </w:tc>
        <w:tc>
          <w:tcPr>
            <w:tcW w:type="dxa" w:w="2740"/>
            <w:tcMar>
              <w:top w:type="dxa" w:w="60"/>
              <w:left w:type="dxa" w:w="100"/>
              <w:bottom w:type="dxa" w:w="60"/>
              <w:right w:type="dxa" w:w="100"/>
            </w:tcMar>
          </w:tcPr>
          <w:p>
            <w:r>
              <w:rPr>
                <w:rFonts w:ascii="Arial" w:cs="Arial" w:eastAsia="Arial" w:hAnsi="Arial"/>
                <w:b w:val="false"/>
                <w:bCs w:val="false"/>
                <w:color w:val="000000"/>
                <w:sz w:val="20"/>
                <w:szCs w:val="20"/>
              </w:rPr>
              <w:t xml:space="preserve">+1 570-350-1773</w:t>
            </w:r>
          </w:p>
        </w:tc>
      </w:tr>
      <w:tr>
        <w:tc>
          <w:tcPr>
            <w:tcW w:type="dxa" w:w="3300"/>
            <w:tcMar>
              <w:top w:type="dxa" w:w="60"/>
              <w:left w:type="dxa" w:w="100"/>
              <w:bottom w:type="dxa" w:w="60"/>
              <w:right w:type="dxa" w:w="100"/>
            </w:tcMar>
          </w:tcPr>
          <w:p>
            <w:r>
              <w:rPr>
                <w:rFonts w:ascii="Arial" w:cs="Arial" w:eastAsia="Arial" w:hAnsi="Arial"/>
                <w:b w:val="false"/>
                <w:bCs w:val="false"/>
                <w:color w:val="000000"/>
                <w:sz w:val="20"/>
                <w:szCs w:val="20"/>
              </w:rPr>
              <w:t xml:space="preserve">Attention To Detail Mobile Detailing</w:t>
            </w:r>
          </w:p>
        </w:tc>
        <w:tc>
          <w:tcPr>
            <w:tcW w:type="dxa" w:w="3800"/>
            <w:tcMar>
              <w:top w:type="dxa" w:w="60"/>
              <w:left w:type="dxa" w:w="100"/>
              <w:bottom w:type="dxa" w:w="60"/>
              <w:right w:type="dxa" w:w="100"/>
            </w:tcMar>
          </w:tcPr>
          <w:p>
            <w:r>
              <w:rPr>
                <w:rFonts w:ascii="Arial" w:cs="Arial" w:eastAsia="Arial" w:hAnsi="Arial"/>
                <w:b w:val="false"/>
                <w:bCs w:val="false"/>
                <w:color w:val="000000"/>
                <w:sz w:val="20"/>
                <w:szCs w:val="20"/>
              </w:rPr>
              <w:t xml:space="preserve">Glen Mills; PA, NJ, DE; fleet work</w:t>
            </w:r>
          </w:p>
        </w:tc>
        <w:tc>
          <w:tcPr>
            <w:tcW w:type="dxa" w:w="2740"/>
            <w:tcMar>
              <w:top w:type="dxa" w:w="60"/>
              <w:left w:type="dxa" w:w="100"/>
              <w:bottom w:type="dxa" w:w="60"/>
              <w:right w:type="dxa" w:w="100"/>
            </w:tcMar>
          </w:tcPr>
          <w:p>
            <w:r>
              <w:rPr>
                <w:rFonts w:ascii="Arial" w:cs="Arial" w:eastAsia="Arial" w:hAnsi="Arial"/>
                <w:b w:val="false"/>
                <w:bCs w:val="false"/>
                <w:color w:val="000000"/>
                <w:sz w:val="20"/>
                <w:szCs w:val="20"/>
              </w:rPr>
              <w:t xml:space="preserve">(833) 533-8245</w:t>
            </w:r>
          </w:p>
        </w:tc>
      </w:tr>
      <w:tr>
        <w:tc>
          <w:tcPr>
            <w:tcW w:type="dxa" w:w="3300"/>
            <w:tcMar>
              <w:top w:type="dxa" w:w="60"/>
              <w:left w:type="dxa" w:w="100"/>
              <w:bottom w:type="dxa" w:w="60"/>
              <w:right w:type="dxa" w:w="100"/>
            </w:tcMar>
          </w:tcPr>
          <w:p>
            <w:r>
              <w:rPr>
                <w:rFonts w:ascii="Arial" w:cs="Arial" w:eastAsia="Arial" w:hAnsi="Arial"/>
                <w:b w:val="false"/>
                <w:bCs w:val="false"/>
                <w:color w:val="000000"/>
                <w:sz w:val="20"/>
                <w:szCs w:val="20"/>
              </w:rPr>
              <w:t xml:space="preserve">RideRevived LLC</w:t>
            </w:r>
          </w:p>
        </w:tc>
        <w:tc>
          <w:tcPr>
            <w:tcW w:type="dxa" w:w="3800"/>
            <w:tcMar>
              <w:top w:type="dxa" w:w="60"/>
              <w:left w:type="dxa" w:w="100"/>
              <w:bottom w:type="dxa" w:w="60"/>
              <w:right w:type="dxa" w:w="100"/>
            </w:tcMar>
          </w:tcPr>
          <w:p>
            <w:r>
              <w:rPr>
                <w:rFonts w:ascii="Arial" w:cs="Arial" w:eastAsia="Arial" w:hAnsi="Arial"/>
                <w:b w:val="false"/>
                <w:bCs w:val="false"/>
                <w:color w:val="000000"/>
                <w:sz w:val="20"/>
                <w:szCs w:val="20"/>
              </w:rPr>
              <w:t xml:space="preserve">Glen Mills, Chadds Ford; paint correction</w:t>
            </w:r>
          </w:p>
        </w:tc>
        <w:tc>
          <w:tcPr>
            <w:tcW w:type="dxa" w:w="2740"/>
            <w:tcMar>
              <w:top w:type="dxa" w:w="60"/>
              <w:left w:type="dxa" w:w="100"/>
              <w:bottom w:type="dxa" w:w="60"/>
              <w:right w:type="dxa" w:w="100"/>
            </w:tcMar>
          </w:tcPr>
          <w:p>
            <w:r>
              <w:rPr>
                <w:rFonts w:ascii="Arial" w:cs="Arial" w:eastAsia="Arial" w:hAnsi="Arial"/>
                <w:b w:val="false"/>
                <w:bCs w:val="false"/>
                <w:color w:val="000000"/>
                <w:sz w:val="20"/>
                <w:szCs w:val="20"/>
              </w:rPr>
              <w:t xml:space="preserve">riderevived.com</w:t>
            </w:r>
          </w:p>
        </w:tc>
      </w:tr>
      <w:tr>
        <w:tc>
          <w:tcPr>
            <w:tcW w:type="dxa" w:w="3300"/>
            <w:tcMar>
              <w:top w:type="dxa" w:w="60"/>
              <w:left w:type="dxa" w:w="100"/>
              <w:bottom w:type="dxa" w:w="60"/>
              <w:right w:type="dxa" w:w="100"/>
            </w:tcMar>
          </w:tcPr>
          <w:p>
            <w:r>
              <w:rPr>
                <w:rFonts w:ascii="Arial" w:cs="Arial" w:eastAsia="Arial" w:hAnsi="Arial"/>
                <w:b w:val="false"/>
                <w:bCs w:val="false"/>
                <w:color w:val="000000"/>
                <w:sz w:val="20"/>
                <w:szCs w:val="20"/>
              </w:rPr>
              <w:t xml:space="preserve">On-Site Detailing</w:t>
            </w:r>
          </w:p>
        </w:tc>
        <w:tc>
          <w:tcPr>
            <w:tcW w:type="dxa" w:w="3800"/>
            <w:tcMar>
              <w:top w:type="dxa" w:w="60"/>
              <w:left w:type="dxa" w:w="100"/>
              <w:bottom w:type="dxa" w:w="60"/>
              <w:right w:type="dxa" w:w="100"/>
            </w:tcMar>
          </w:tcPr>
          <w:p>
            <w:r>
              <w:rPr>
                <w:rFonts w:ascii="Arial" w:cs="Arial" w:eastAsia="Arial" w:hAnsi="Arial"/>
                <w:b w:val="false"/>
                <w:bCs w:val="false"/>
                <w:color w:val="000000"/>
                <w:sz w:val="20"/>
                <w:szCs w:val="20"/>
              </w:rPr>
              <w:t xml:space="preserve">Chadds Ford, West Chester</w:t>
            </w:r>
          </w:p>
        </w:tc>
        <w:tc>
          <w:tcPr>
            <w:tcW w:type="dxa" w:w="2740"/>
            <w:tcMar>
              <w:top w:type="dxa" w:w="60"/>
              <w:left w:type="dxa" w:w="100"/>
              <w:bottom w:type="dxa" w:w="60"/>
              <w:right w:type="dxa" w:w="100"/>
            </w:tcMar>
          </w:tcPr>
          <w:p>
            <w:r>
              <w:rPr>
                <w:rFonts w:ascii="Arial" w:cs="Arial" w:eastAsia="Arial" w:hAnsi="Arial"/>
                <w:b w:val="false"/>
                <w:bCs w:val="false"/>
                <w:color w:val="000000"/>
                <w:sz w:val="20"/>
                <w:szCs w:val="20"/>
              </w:rPr>
              <w:t xml:space="preserve">onsitedetailing.net</w:t>
            </w:r>
          </w:p>
        </w:tc>
      </w:tr>
      <w:tr>
        <w:tc>
          <w:tcPr>
            <w:tcW w:type="dxa" w:w="3300"/>
            <w:tcMar>
              <w:top w:type="dxa" w:w="60"/>
              <w:left w:type="dxa" w:w="100"/>
              <w:bottom w:type="dxa" w:w="60"/>
              <w:right w:type="dxa" w:w="100"/>
            </w:tcMar>
          </w:tcPr>
          <w:p>
            <w:r>
              <w:rPr>
                <w:rFonts w:ascii="Arial" w:cs="Arial" w:eastAsia="Arial" w:hAnsi="Arial"/>
                <w:b w:val="false"/>
                <w:bCs w:val="false"/>
                <w:color w:val="000000"/>
                <w:sz w:val="20"/>
                <w:szCs w:val="20"/>
              </w:rPr>
              <w:t xml:space="preserve">Blackline Auto Detailing</w:t>
            </w:r>
          </w:p>
        </w:tc>
        <w:tc>
          <w:tcPr>
            <w:tcW w:type="dxa" w:w="3800"/>
            <w:tcMar>
              <w:top w:type="dxa" w:w="60"/>
              <w:left w:type="dxa" w:w="100"/>
              <w:bottom w:type="dxa" w:w="60"/>
              <w:right w:type="dxa" w:w="100"/>
            </w:tcMar>
          </w:tcPr>
          <w:p>
            <w:r>
              <w:rPr>
                <w:rFonts w:ascii="Arial" w:cs="Arial" w:eastAsia="Arial" w:hAnsi="Arial"/>
                <w:b w:val="false"/>
                <w:bCs w:val="false"/>
                <w:color w:val="000000"/>
                <w:sz w:val="20"/>
                <w:szCs w:val="20"/>
              </w:rPr>
              <w:t xml:space="preserve">West Chester / Chester County</w:t>
            </w:r>
          </w:p>
        </w:tc>
        <w:tc>
          <w:tcPr>
            <w:tcW w:type="dxa" w:w="2740"/>
            <w:tcMar>
              <w:top w:type="dxa" w:w="60"/>
              <w:left w:type="dxa" w:w="100"/>
              <w:bottom w:type="dxa" w:w="60"/>
              <w:right w:type="dxa" w:w="100"/>
            </w:tcMar>
          </w:tcPr>
          <w:p>
            <w:r>
              <w:rPr>
                <w:rFonts w:ascii="Arial" w:cs="Arial" w:eastAsia="Arial" w:hAnsi="Arial"/>
                <w:b w:val="false"/>
                <w:bCs w:val="false"/>
                <w:color w:val="000000"/>
                <w:sz w:val="20"/>
                <w:szCs w:val="20"/>
              </w:rPr>
              <w:t xml:space="preserve">autodetailingofchestercounty.com</w:t>
            </w:r>
          </w:p>
        </w:tc>
      </w:tr>
    </w:tbl>
    <w:p>
      <w:pPr>
        <w:spacing w:after="120"/>
      </w:pPr>
    </w:p>
    <w:p>
      <w:pPr>
        <w:spacing w:after="120"/>
      </w:pPr>
      <w:r>
        <w:rPr>
          <w:rFonts w:ascii="Arial" w:cs="Arial" w:eastAsia="Arial" w:hAnsi="Arial"/>
          <w:sz w:val="22"/>
          <w:szCs w:val="22"/>
        </w:rPr>
        <w:t xml:space="preserve">Every subcontractor agreement must cover: per-job price, the Coastline quality checklist, customer ownership (customers belong to Coastline), no soliciting Coastline customers, and a certificate of insurance.</w:t>
      </w:r>
    </w:p>
    <w:p>
      <w:pPr>
        <w:pStyle w:val="Heading1"/>
        <w:spacing w:after="120" w:before="280"/>
      </w:pPr>
      <w:r>
        <w:rPr>
          <w:rFonts w:ascii="Arial" w:cs="Arial" w:eastAsia="Arial" w:hAnsi="Arial"/>
          <w:b/>
          <w:bCs/>
          <w:color w:val="0E7775"/>
          <w:sz w:val="30"/>
          <w:szCs w:val="30"/>
        </w:rPr>
        <w:t xml:space="preserve">5. Marketing</w:t>
      </w:r>
    </w:p>
    <w:p>
      <w:pPr>
        <w:pStyle w:val="ListParagraph"/>
        <w:numPr>
          <w:ilvl w:val="0"/>
          <w:numId w:val="2"/>
        </w:numPr>
        <w:spacing w:after="60"/>
      </w:pPr>
      <w:r>
        <w:rPr>
          <w:rFonts w:ascii="Arial" w:cs="Arial" w:eastAsia="Arial" w:hAnsi="Arial"/>
          <w:sz w:val="22"/>
          <w:szCs w:val="22"/>
        </w:rPr>
        <w:t xml:space="preserve">Google Local Services Ads from day one; answer every lead within 5 minutes.</w:t>
      </w:r>
    </w:p>
    <w:p>
      <w:pPr>
        <w:pStyle w:val="ListParagraph"/>
        <w:numPr>
          <w:ilvl w:val="0"/>
          <w:numId w:val="2"/>
        </w:numPr>
        <w:spacing w:after="60"/>
      </w:pPr>
      <w:r>
        <w:rPr>
          <w:rFonts w:ascii="Arial" w:cs="Arial" w:eastAsia="Arial" w:hAnsi="Arial"/>
          <w:sz w:val="22"/>
          <w:szCs w:val="22"/>
        </w:rPr>
        <w:t xml:space="preserve">1–2 Google reviews a day from the first week.</w:t>
      </w:r>
    </w:p>
    <w:p>
      <w:pPr>
        <w:pStyle w:val="ListParagraph"/>
        <w:numPr>
          <w:ilvl w:val="0"/>
          <w:numId w:val="2"/>
        </w:numPr>
        <w:spacing w:after="60"/>
      </w:pPr>
      <w:r>
        <w:rPr>
          <w:rFonts w:ascii="Arial" w:cs="Arial" w:eastAsia="Arial" w:hAnsi="Arial"/>
          <w:sz w:val="22"/>
          <w:szCs w:val="22"/>
        </w:rPr>
        <w:t xml:space="preserve">Daily Instagram posts with local before/afters.</w:t>
      </w:r>
    </w:p>
    <w:p>
      <w:pPr>
        <w:pStyle w:val="ListParagraph"/>
        <w:numPr>
          <w:ilvl w:val="0"/>
          <w:numId w:val="2"/>
        </w:numPr>
        <w:spacing w:after="60"/>
      </w:pPr>
      <w:r>
        <w:rPr>
          <w:rFonts w:ascii="Arial" w:cs="Arial" w:eastAsia="Arial" w:hAnsi="Arial"/>
          <w:sz w:val="22"/>
          <w:szCs w:val="22"/>
        </w:rPr>
        <w:t xml:space="preserve">Meta ceramic coating ads once there are local before/afters.</w:t>
      </w:r>
    </w:p>
    <w:p>
      <w:pPr>
        <w:pStyle w:val="Heading1"/>
        <w:spacing w:after="120" w:before="280"/>
      </w:pPr>
      <w:r>
        <w:rPr>
          <w:rFonts w:ascii="Arial" w:cs="Arial" w:eastAsia="Arial" w:hAnsi="Arial"/>
          <w:b/>
          <w:bCs/>
          <w:color w:val="0E7775"/>
          <w:sz w:val="30"/>
          <w:szCs w:val="30"/>
        </w:rPr>
        <w:t xml:space="preserve">6. Launch budget (to be filled with real quotes)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0"/>
        <w:gridCol w:w="3840"/>
      </w:tblGrid>
      <w:tr>
        <w:tc>
          <w:tcPr>
            <w:tcW w:type="dxa" w:w="6000"/>
            <w:shd w:fill="0E7775" w:color="auto"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3840"/>
            <w:shd w:fill="0E7775" w:color="auto" w:val="clear"/>
            <w:tcMar>
              <w:top w:type="dxa" w:w="60"/>
              <w:left w:type="dxa" w:w="100"/>
              <w:bottom w:type="dxa" w:w="60"/>
              <w:right w:type="dxa" w:w="100"/>
            </w:tcMar>
          </w:tcPr>
          <w:p>
            <w:r>
              <w:rPr>
                <w:rFonts w:ascii="Arial" w:cs="Arial" w:eastAsia="Arial" w:hAnsi="Arial"/>
                <w:b/>
                <w:bCs/>
                <w:color w:val="FFFFFF"/>
                <w:sz w:val="20"/>
                <w:szCs w:val="20"/>
              </w:rPr>
              <w:t xml:space="preserve">Estimate</w:t>
            </w:r>
          </w:p>
        </w:tc>
      </w:tr>
      <w:tr>
        <w:tc>
          <w:tcPr>
            <w:tcW w:type="dxa" w:w="6000"/>
            <w:tcMar>
              <w:top w:type="dxa" w:w="60"/>
              <w:left w:type="dxa" w:w="100"/>
              <w:bottom w:type="dxa" w:w="60"/>
              <w:right w:type="dxa" w:w="100"/>
            </w:tcMar>
          </w:tcPr>
          <w:p>
            <w:r>
              <w:rPr>
                <w:rFonts w:ascii="Arial" w:cs="Arial" w:eastAsia="Arial" w:hAnsi="Arial"/>
                <w:b w:val="false"/>
                <w:bCs w:val="false"/>
                <w:color w:val="000000"/>
                <w:sz w:val="20"/>
                <w:szCs w:val="20"/>
              </w:rPr>
              <w:t xml:space="preserve">PA foreign registration filing fee</w:t>
            </w:r>
          </w:p>
        </w:tc>
        <w:tc>
          <w:tcPr>
            <w:tcW w:type="dxa" w:w="3840"/>
            <w:tcMar>
              <w:top w:type="dxa" w:w="60"/>
              <w:left w:type="dxa" w:w="100"/>
              <w:bottom w:type="dxa" w:w="60"/>
              <w:right w:type="dxa" w:w="100"/>
            </w:tcMar>
          </w:tcPr>
          <w:p>
            <w:r>
              <w:rPr>
                <w:rFonts w:ascii="Arial" w:cs="Arial" w:eastAsia="Arial" w:hAnsi="Arial"/>
                <w:b w:val="false"/>
                <w:bCs w:val="false"/>
                <w:color w:val="000000"/>
                <w:sz w:val="20"/>
                <w:szCs w:val="20"/>
              </w:rPr>
              <w:t xml:space="preserve">$250 (PA Dept. of State, 2026)</w:t>
            </w:r>
          </w:p>
        </w:tc>
      </w:tr>
      <w:tr>
        <w:tc>
          <w:tcPr>
            <w:tcW w:type="dxa" w:w="6000"/>
            <w:tcMar>
              <w:top w:type="dxa" w:w="60"/>
              <w:left w:type="dxa" w:w="100"/>
              <w:bottom w:type="dxa" w:w="60"/>
              <w:right w:type="dxa" w:w="100"/>
            </w:tcMar>
          </w:tcPr>
          <w:p>
            <w:r>
              <w:rPr>
                <w:rFonts w:ascii="Arial" w:cs="Arial" w:eastAsia="Arial" w:hAnsi="Arial"/>
                <w:b w:val="false"/>
                <w:bCs w:val="false"/>
                <w:color w:val="000000"/>
                <w:sz w:val="20"/>
                <w:szCs w:val="20"/>
              </w:rPr>
              <w:t xml:space="preserve">PA registered agent (per year)</w:t>
            </w:r>
          </w:p>
        </w:tc>
        <w:tc>
          <w:tcPr>
            <w:tcW w:type="dxa" w:w="3840"/>
            <w:tcMar>
              <w:top w:type="dxa" w:w="60"/>
              <w:left w:type="dxa" w:w="100"/>
              <w:bottom w:type="dxa" w:w="60"/>
              <w:right w:type="dxa" w:w="100"/>
            </w:tcMar>
          </w:tcPr>
          <w:p>
            <w:r>
              <w:rPr>
                <w:rFonts w:ascii="Arial" w:cs="Arial" w:eastAsia="Arial" w:hAnsi="Arial"/>
                <w:b w:val="false"/>
                <w:bCs w:val="false"/>
                <w:color w:val="000000"/>
                <w:sz w:val="20"/>
                <w:szCs w:val="20"/>
              </w:rPr>
              <w:t xml:space="preserve">Get quote</w:t>
            </w:r>
          </w:p>
        </w:tc>
      </w:tr>
      <w:tr>
        <w:tc>
          <w:tcPr>
            <w:tcW w:type="dxa" w:w="6000"/>
            <w:tcMar>
              <w:top w:type="dxa" w:w="60"/>
              <w:left w:type="dxa" w:w="100"/>
              <w:bottom w:type="dxa" w:w="60"/>
              <w:right w:type="dxa" w:w="100"/>
            </w:tcMar>
          </w:tcPr>
          <w:p>
            <w:r>
              <w:rPr>
                <w:rFonts w:ascii="Arial" w:cs="Arial" w:eastAsia="Arial" w:hAnsi="Arial"/>
                <w:b w:val="false"/>
                <w:bCs w:val="false"/>
                <w:color w:val="000000"/>
                <w:sz w:val="20"/>
                <w:szCs w:val="20"/>
              </w:rPr>
              <w:t xml:space="preserve">Commercial liability insurance</w:t>
            </w:r>
          </w:p>
        </w:tc>
        <w:tc>
          <w:tcPr>
            <w:tcW w:type="dxa" w:w="3840"/>
            <w:tcMar>
              <w:top w:type="dxa" w:w="60"/>
              <w:left w:type="dxa" w:w="100"/>
              <w:bottom w:type="dxa" w:w="60"/>
              <w:right w:type="dxa" w:w="100"/>
            </w:tcMar>
          </w:tcPr>
          <w:p>
            <w:r>
              <w:rPr>
                <w:rFonts w:ascii="Arial" w:cs="Arial" w:eastAsia="Arial" w:hAnsi="Arial"/>
                <w:b w:val="false"/>
                <w:bCs w:val="false"/>
                <w:color w:val="000000"/>
                <w:sz w:val="20"/>
                <w:szCs w:val="20"/>
              </w:rPr>
              <w:t xml:space="preserve">Get quote</w:t>
            </w:r>
          </w:p>
        </w:tc>
      </w:tr>
      <w:tr>
        <w:tc>
          <w:tcPr>
            <w:tcW w:type="dxa" w:w="6000"/>
            <w:tcMar>
              <w:top w:type="dxa" w:w="60"/>
              <w:left w:type="dxa" w:w="100"/>
              <w:bottom w:type="dxa" w:w="60"/>
              <w:right w:type="dxa" w:w="100"/>
            </w:tcMar>
          </w:tcPr>
          <w:p>
            <w:r>
              <w:rPr>
                <w:rFonts w:ascii="Arial" w:cs="Arial" w:eastAsia="Arial" w:hAnsi="Arial"/>
                <w:b w:val="false"/>
                <w:bCs w:val="false"/>
                <w:color w:val="000000"/>
                <w:sz w:val="20"/>
                <w:szCs w:val="20"/>
              </w:rPr>
              <w:t xml:space="preserve">Equipment and supplies for PA techs</w:t>
            </w:r>
          </w:p>
        </w:tc>
        <w:tc>
          <w:tcPr>
            <w:tcW w:type="dxa" w:w="3840"/>
            <w:tcMar>
              <w:top w:type="dxa" w:w="60"/>
              <w:left w:type="dxa" w:w="100"/>
              <w:bottom w:type="dxa" w:w="60"/>
              <w:right w:type="dxa" w:w="100"/>
            </w:tcMar>
          </w:tcPr>
          <w:p>
            <w:r>
              <w:rPr>
                <w:rFonts w:ascii="Arial" w:cs="Arial" w:eastAsia="Arial" w:hAnsi="Arial"/>
                <w:b w:val="false"/>
                <w:bCs w:val="false"/>
                <w:color w:val="000000"/>
                <w:sz w:val="20"/>
                <w:szCs w:val="20"/>
              </w:rPr>
              <w:t xml:space="preserve">Estimate</w:t>
            </w:r>
          </w:p>
        </w:tc>
      </w:tr>
      <w:tr>
        <w:tc>
          <w:tcPr>
            <w:tcW w:type="dxa" w:w="6000"/>
            <w:tcMar>
              <w:top w:type="dxa" w:w="60"/>
              <w:left w:type="dxa" w:w="100"/>
              <w:bottom w:type="dxa" w:w="60"/>
              <w:right w:type="dxa" w:w="100"/>
            </w:tcMar>
          </w:tcPr>
          <w:p>
            <w:r>
              <w:rPr>
                <w:rFonts w:ascii="Arial" w:cs="Arial" w:eastAsia="Arial" w:hAnsi="Arial"/>
                <w:b w:val="false"/>
                <w:bCs w:val="false"/>
                <w:color w:val="000000"/>
                <w:sz w:val="20"/>
                <w:szCs w:val="20"/>
              </w:rPr>
              <w:t xml:space="preserve">Google Local Services Ads (first month)</w:t>
            </w:r>
          </w:p>
        </w:tc>
        <w:tc>
          <w:tcPr>
            <w:tcW w:type="dxa" w:w="3840"/>
            <w:tcMar>
              <w:top w:type="dxa" w:w="60"/>
              <w:left w:type="dxa" w:w="100"/>
              <w:bottom w:type="dxa" w:w="60"/>
              <w:right w:type="dxa" w:w="100"/>
            </w:tcMar>
          </w:tcPr>
          <w:p>
            <w:r>
              <w:rPr>
                <w:rFonts w:ascii="Arial" w:cs="Arial" w:eastAsia="Arial" w:hAnsi="Arial"/>
                <w:b w:val="false"/>
                <w:bCs w:val="false"/>
                <w:color w:val="000000"/>
                <w:sz w:val="20"/>
                <w:szCs w:val="20"/>
              </w:rPr>
              <w:t xml:space="preserve">Budget</w:t>
            </w:r>
          </w:p>
        </w:tc>
      </w:tr>
      <w:tr>
        <w:tc>
          <w:tcPr>
            <w:tcW w:type="dxa" w:w="6000"/>
            <w:tcMar>
              <w:top w:type="dxa" w:w="60"/>
              <w:left w:type="dxa" w:w="100"/>
              <w:bottom w:type="dxa" w:w="60"/>
              <w:right w:type="dxa" w:w="100"/>
            </w:tcMar>
          </w:tcPr>
          <w:p>
            <w:r>
              <w:rPr>
                <w:rFonts w:ascii="Arial" w:cs="Arial" w:eastAsia="Arial" w:hAnsi="Arial"/>
                <w:b w:val="false"/>
                <w:bCs w:val="false"/>
                <w:color w:val="000000"/>
                <w:sz w:val="20"/>
                <w:szCs w:val="20"/>
              </w:rPr>
              <w:t xml:space="preserve">Website page, profile, printing</w:t>
            </w:r>
          </w:p>
        </w:tc>
        <w:tc>
          <w:tcPr>
            <w:tcW w:type="dxa" w:w="3840"/>
            <w:tcMar>
              <w:top w:type="dxa" w:w="60"/>
              <w:left w:type="dxa" w:w="100"/>
              <w:bottom w:type="dxa" w:w="60"/>
              <w:right w:type="dxa" w:w="100"/>
            </w:tcMar>
          </w:tcPr>
          <w:p>
            <w:r>
              <w:rPr>
                <w:rFonts w:ascii="Arial" w:cs="Arial" w:eastAsia="Arial" w:hAnsi="Arial"/>
                <w:b w:val="false"/>
                <w:bCs w:val="false"/>
                <w:color w:val="000000"/>
                <w:sz w:val="20"/>
                <w:szCs w:val="20"/>
              </w:rPr>
              <w:t xml:space="preserve">Estimate</w:t>
            </w:r>
          </w:p>
        </w:tc>
      </w:tr>
      <w:tr>
        <w:tc>
          <w:tcPr>
            <w:tcW w:type="dxa" w:w="6000"/>
            <w:tcMar>
              <w:top w:type="dxa" w:w="60"/>
              <w:left w:type="dxa" w:w="100"/>
              <w:bottom w:type="dxa" w:w="60"/>
              <w:right w:type="dxa" w:w="100"/>
            </w:tcMar>
          </w:tcPr>
          <w:p>
            <w:r>
              <w:rPr>
                <w:rFonts w:ascii="Arial" w:cs="Arial" w:eastAsia="Arial" w:hAnsi="Arial"/>
                <w:b w:val="false"/>
                <w:bCs w:val="false"/>
                <w:color w:val="000000"/>
                <w:sz w:val="20"/>
                <w:szCs w:val="20"/>
              </w:rPr>
              <w:t xml:space="preserve">Paid test details</w:t>
            </w:r>
          </w:p>
        </w:tc>
        <w:tc>
          <w:tcPr>
            <w:tcW w:type="dxa" w:w="3840"/>
            <w:tcMar>
              <w:top w:type="dxa" w:w="60"/>
              <w:left w:type="dxa" w:w="100"/>
              <w:bottom w:type="dxa" w:w="60"/>
              <w:right w:type="dxa" w:w="100"/>
            </w:tcMar>
          </w:tcPr>
          <w:p>
            <w:r>
              <w:rPr>
                <w:rFonts w:ascii="Arial" w:cs="Arial" w:eastAsia="Arial" w:hAnsi="Arial"/>
                <w:b w:val="false"/>
                <w:bCs w:val="false"/>
                <w:color w:val="000000"/>
                <w:sz w:val="20"/>
                <w:szCs w:val="20"/>
              </w:rPr>
              <w:t xml:space="preserve">Estimate</w:t>
            </w:r>
          </w:p>
        </w:tc>
      </w:tr>
      <w:tr>
        <w:tc>
          <w:tcPr>
            <w:tcW w:type="dxa" w:w="6000"/>
            <w:tcMar>
              <w:top w:type="dxa" w:w="60"/>
              <w:left w:type="dxa" w:w="100"/>
              <w:bottom w:type="dxa" w:w="60"/>
              <w:right w:type="dxa" w:w="100"/>
            </w:tcMar>
          </w:tcPr>
          <w:p>
            <w:r>
              <w:rPr>
                <w:rFonts w:ascii="Arial" w:cs="Arial" w:eastAsia="Arial" w:hAnsi="Arial"/>
                <w:b w:val="false"/>
                <w:bCs w:val="false"/>
                <w:color w:val="000000"/>
                <w:sz w:val="20"/>
                <w:szCs w:val="20"/>
              </w:rPr>
              <w:t xml:space="preserve">Buffer</w:t>
            </w:r>
          </w:p>
        </w:tc>
        <w:tc>
          <w:tcPr>
            <w:tcW w:type="dxa" w:w="3840"/>
            <w:tcMar>
              <w:top w:type="dxa" w:w="60"/>
              <w:left w:type="dxa" w:w="100"/>
              <w:bottom w:type="dxa" w:w="60"/>
              <w:right w:type="dxa" w:w="100"/>
            </w:tcMar>
          </w:tcPr>
          <w:p>
            <w:r>
              <w:rPr>
                <w:rFonts w:ascii="Arial" w:cs="Arial" w:eastAsia="Arial" w:hAnsi="Arial"/>
                <w:b w:val="false"/>
                <w:bCs w:val="false"/>
                <w:color w:val="000000"/>
                <w:sz w:val="20"/>
                <w:szCs w:val="20"/>
              </w:rPr>
              <w:t xml:space="preserve">Estimate</w:t>
            </w:r>
          </w:p>
        </w:tc>
      </w:tr>
    </w:tbl>
    <w:p>
      <w:pPr>
        <w:spacing w:after="120"/>
      </w:pPr>
    </w:p>
    <w:p>
      <w:pPr>
        <w:spacing w:after="120"/>
        <w:rPr>
          <w:i/>
          <w:iCs/>
          <w:color w:val="555555"/>
        </w:rPr>
      </w:pPr>
      <w:r>
        <w:rPr>
          <w:rFonts w:ascii="Arial" w:cs="Arial" w:eastAsia="Arial" w:hAnsi="Arial"/>
          <w:i/>
          <w:iCs/>
          <w:color w:val="555555"/>
          <w:sz w:val="22"/>
          <w:szCs w:val="22"/>
        </w:rPr>
        <w:t xml:space="preserve">Job postings, businesses and fees change. Re-check everything at each milestone. Jarvis sends reminders on Sep 1 2027, Dec 1 2027, Feb 1 2028 and Mar 1 2028.</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2026 Morgan / Coastline Auto Detailing. All rights reserved. Confidential — do not copy or share without written permission.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Coastline Auto Detailing — Glen Mills, PA</dc:title>
  <dc:creator>Morgan — Coastline Auto Detailing</dc:creator>
  <cp:lastModifiedBy>Un-named</cp:lastModifiedBy>
  <cp:revision>1</cp:revision>
  <dcterms:created xsi:type="dcterms:W3CDTF">2026-09-25T08:35:24.507Z</dcterms:created>
  <dcterms:modified xsi:type="dcterms:W3CDTF">2026-09-25T08:35:24.507Z</dcterms:modified>
</cp:coreProperties>
</file>

<file path=docProps/custom.xml><?xml version="1.0" encoding="utf-8"?>
<Properties xmlns="http://schemas.openxmlformats.org/officeDocument/2006/custom-properties" xmlns:vt="http://schemas.openxmlformats.org/officeDocument/2006/docPropsVTypes"/>
</file>