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4E72" w14:textId="77777777" w:rsidR="00F50F4B" w:rsidRDefault="00F50F4B">
      <w:pPr>
        <w:spacing w:before="3000"/>
      </w:pPr>
    </w:p>
    <w:p w14:paraId="6D0D2B07" w14:textId="77777777" w:rsidR="00F50F4B" w:rsidRDefault="00000000">
      <w:pPr>
        <w:spacing w:after="200"/>
        <w:jc w:val="center"/>
      </w:pPr>
      <w:r>
        <w:rPr>
          <w:b/>
          <w:bCs/>
          <w:caps/>
          <w:color w:val="F97316"/>
          <w:sz w:val="28"/>
          <w:szCs w:val="28"/>
        </w:rPr>
        <w:t>WHITE PAPER</w:t>
      </w:r>
    </w:p>
    <w:p w14:paraId="2D388D8D" w14:textId="77777777" w:rsidR="00F50F4B" w:rsidRDefault="00000000">
      <w:pPr>
        <w:spacing w:after="100"/>
        <w:jc w:val="center"/>
      </w:pPr>
      <w:r>
        <w:rPr>
          <w:color w:val="E2E8F0"/>
          <w:sz w:val="20"/>
          <w:szCs w:val="20"/>
        </w:rPr>
        <w:t>────────────────────────────────────────</w:t>
      </w:r>
    </w:p>
    <w:p w14:paraId="6D9B242D" w14:textId="77777777" w:rsidR="00F50F4B" w:rsidRDefault="00000000">
      <w:pPr>
        <w:spacing w:after="400"/>
        <w:jc w:val="center"/>
      </w:pPr>
      <w:r>
        <w:rPr>
          <w:b/>
          <w:bCs/>
          <w:color w:val="1E40AF"/>
          <w:sz w:val="52"/>
          <w:szCs w:val="52"/>
        </w:rPr>
        <w:t>Bewertung von kleinen und mittleren Unternehmen</w:t>
      </w:r>
    </w:p>
    <w:p w14:paraId="73C7B6E6" w14:textId="77777777" w:rsidR="00F50F4B" w:rsidRDefault="00000000">
      <w:pPr>
        <w:spacing w:after="200"/>
        <w:jc w:val="center"/>
      </w:pPr>
      <w:r>
        <w:rPr>
          <w:color w:val="475569"/>
          <w:sz w:val="26"/>
          <w:szCs w:val="26"/>
        </w:rPr>
        <w:t>Grundlagen, Verfahren und Besonderheiten der KMU-Bewertung</w:t>
      </w:r>
    </w:p>
    <w:p w14:paraId="4FC08CC4" w14:textId="77777777" w:rsidR="00F50F4B" w:rsidRDefault="00F50F4B">
      <w:pPr>
        <w:spacing w:before="1500"/>
      </w:pPr>
    </w:p>
    <w:p w14:paraId="28E514BF" w14:textId="77777777" w:rsidR="00F50F4B" w:rsidRDefault="00000000">
      <w:pPr>
        <w:spacing w:after="80"/>
        <w:jc w:val="center"/>
      </w:pPr>
      <w:r>
        <w:rPr>
          <w:b/>
          <w:bCs/>
          <w:color w:val="1E40AF"/>
          <w:sz w:val="24"/>
          <w:szCs w:val="24"/>
        </w:rPr>
        <w:t>Morgenwert Valuation &amp; Advisory GmbH</w:t>
      </w:r>
    </w:p>
    <w:p w14:paraId="7759992F" w14:textId="77777777" w:rsidR="00F50F4B" w:rsidRDefault="00000000">
      <w:pPr>
        <w:spacing w:after="80"/>
        <w:jc w:val="center"/>
      </w:pPr>
      <w:r>
        <w:rPr>
          <w:color w:val="475569"/>
          <w:sz w:val="20"/>
          <w:szCs w:val="20"/>
        </w:rPr>
        <w:t>Stefan Euring</w:t>
      </w:r>
    </w:p>
    <w:p w14:paraId="435689F3" w14:textId="77777777" w:rsidR="00F50F4B" w:rsidRDefault="00000000">
      <w:pPr>
        <w:spacing w:after="80"/>
        <w:jc w:val="center"/>
      </w:pPr>
      <w:r>
        <w:rPr>
          <w:color w:val="94A3B8"/>
          <w:sz w:val="20"/>
          <w:szCs w:val="20"/>
        </w:rPr>
        <w:t>2026</w:t>
      </w:r>
    </w:p>
    <w:p w14:paraId="69F6FC14" w14:textId="77777777" w:rsidR="00F50F4B" w:rsidRDefault="00000000">
      <w:r>
        <w:br w:type="page"/>
      </w:r>
    </w:p>
    <w:p w14:paraId="43316C13" w14:textId="77777777" w:rsidR="00F50F4B" w:rsidRDefault="00F50F4B">
      <w:pPr>
        <w:sectPr w:rsidR="00F50F4B">
          <w:footerReference w:type="default" r:id="rId7"/>
          <w:pgSz w:w="11906" w:h="16838"/>
          <w:pgMar w:top="1440" w:right="1440" w:bottom="1440" w:left="1440" w:header="708" w:footer="708" w:gutter="0"/>
          <w:cols w:space="720"/>
          <w:docGrid w:linePitch="360"/>
        </w:sectPr>
      </w:pPr>
    </w:p>
    <w:p w14:paraId="5A0BE274" w14:textId="77777777" w:rsidR="00F50F4B" w:rsidRDefault="00000000">
      <w:pPr>
        <w:spacing w:after="400"/>
      </w:pPr>
      <w:r>
        <w:rPr>
          <w:b/>
          <w:bCs/>
          <w:color w:val="1E40AF"/>
          <w:sz w:val="36"/>
          <w:szCs w:val="36"/>
        </w:rPr>
        <w:lastRenderedPageBreak/>
        <w:t>Inhaltsverzeichnis</w:t>
      </w:r>
    </w:p>
    <w:sdt>
      <w:sdtPr>
        <w:alias w:val="Inhaltsverzeichnis"/>
        <w:id w:val="-937297846"/>
      </w:sdtPr>
      <w:sdtContent>
        <w:p w14:paraId="04AACC69" w14:textId="36BAA164" w:rsidR="00E862A3"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2150117" w:history="1">
            <w:r w:rsidR="00E862A3" w:rsidRPr="00D71C72">
              <w:rPr>
                <w:rStyle w:val="Hyperlink"/>
                <w:noProof/>
              </w:rPr>
              <w:t>1  Einleitung</w:t>
            </w:r>
            <w:r w:rsidR="00E862A3">
              <w:rPr>
                <w:noProof/>
              </w:rPr>
              <w:tab/>
            </w:r>
            <w:r w:rsidR="00E862A3">
              <w:rPr>
                <w:noProof/>
              </w:rPr>
              <w:fldChar w:fldCharType="begin"/>
            </w:r>
            <w:r w:rsidR="00E862A3">
              <w:rPr>
                <w:noProof/>
              </w:rPr>
              <w:instrText xml:space="preserve"> PAGEREF _Toc222150117 \h </w:instrText>
            </w:r>
            <w:r w:rsidR="00E862A3">
              <w:rPr>
                <w:noProof/>
              </w:rPr>
            </w:r>
            <w:r w:rsidR="00E862A3">
              <w:rPr>
                <w:noProof/>
              </w:rPr>
              <w:fldChar w:fldCharType="separate"/>
            </w:r>
            <w:r w:rsidR="00E862A3">
              <w:rPr>
                <w:noProof/>
              </w:rPr>
              <w:t>4</w:t>
            </w:r>
            <w:r w:rsidR="00E862A3">
              <w:rPr>
                <w:noProof/>
              </w:rPr>
              <w:fldChar w:fldCharType="end"/>
            </w:r>
          </w:hyperlink>
        </w:p>
        <w:p w14:paraId="27709A3C" w14:textId="72545897" w:rsidR="00E862A3" w:rsidRDefault="00E862A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150118" w:history="1">
            <w:r w:rsidRPr="00D71C72">
              <w:rPr>
                <w:rStyle w:val="Hyperlink"/>
                <w:noProof/>
              </w:rPr>
              <w:t>2  Grundlagen der Unternehmensbewertung</w:t>
            </w:r>
            <w:r>
              <w:rPr>
                <w:noProof/>
              </w:rPr>
              <w:tab/>
            </w:r>
            <w:r>
              <w:rPr>
                <w:noProof/>
              </w:rPr>
              <w:fldChar w:fldCharType="begin"/>
            </w:r>
            <w:r>
              <w:rPr>
                <w:noProof/>
              </w:rPr>
              <w:instrText xml:space="preserve"> PAGEREF _Toc222150118 \h </w:instrText>
            </w:r>
            <w:r>
              <w:rPr>
                <w:noProof/>
              </w:rPr>
            </w:r>
            <w:r>
              <w:rPr>
                <w:noProof/>
              </w:rPr>
              <w:fldChar w:fldCharType="separate"/>
            </w:r>
            <w:r>
              <w:rPr>
                <w:noProof/>
              </w:rPr>
              <w:t>5</w:t>
            </w:r>
            <w:r>
              <w:rPr>
                <w:noProof/>
              </w:rPr>
              <w:fldChar w:fldCharType="end"/>
            </w:r>
          </w:hyperlink>
        </w:p>
        <w:p w14:paraId="25D9AB38" w14:textId="6EE74AEC"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19" w:history="1">
            <w:r w:rsidRPr="00D71C72">
              <w:rPr>
                <w:rStyle w:val="Hyperlink"/>
                <w:noProof/>
              </w:rPr>
              <w:t>2.1  Bewertungsanlässe und Funktion des Gutachters</w:t>
            </w:r>
            <w:r>
              <w:rPr>
                <w:noProof/>
              </w:rPr>
              <w:tab/>
            </w:r>
            <w:r>
              <w:rPr>
                <w:noProof/>
              </w:rPr>
              <w:fldChar w:fldCharType="begin"/>
            </w:r>
            <w:r>
              <w:rPr>
                <w:noProof/>
              </w:rPr>
              <w:instrText xml:space="preserve"> PAGEREF _Toc222150119 \h </w:instrText>
            </w:r>
            <w:r>
              <w:rPr>
                <w:noProof/>
              </w:rPr>
            </w:r>
            <w:r>
              <w:rPr>
                <w:noProof/>
              </w:rPr>
              <w:fldChar w:fldCharType="separate"/>
            </w:r>
            <w:r>
              <w:rPr>
                <w:noProof/>
              </w:rPr>
              <w:t>5</w:t>
            </w:r>
            <w:r>
              <w:rPr>
                <w:noProof/>
              </w:rPr>
              <w:fldChar w:fldCharType="end"/>
            </w:r>
          </w:hyperlink>
        </w:p>
        <w:p w14:paraId="2A8A3865" w14:textId="32F16159"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20" w:history="1">
            <w:r w:rsidRPr="00D71C72">
              <w:rPr>
                <w:rStyle w:val="Hyperlink"/>
                <w:noProof/>
              </w:rPr>
              <w:t>Bewertungsanlässe im Überblick</w:t>
            </w:r>
            <w:r>
              <w:rPr>
                <w:noProof/>
              </w:rPr>
              <w:tab/>
            </w:r>
            <w:r>
              <w:rPr>
                <w:noProof/>
              </w:rPr>
              <w:fldChar w:fldCharType="begin"/>
            </w:r>
            <w:r>
              <w:rPr>
                <w:noProof/>
              </w:rPr>
              <w:instrText xml:space="preserve"> PAGEREF _Toc222150120 \h </w:instrText>
            </w:r>
            <w:r>
              <w:rPr>
                <w:noProof/>
              </w:rPr>
            </w:r>
            <w:r>
              <w:rPr>
                <w:noProof/>
              </w:rPr>
              <w:fldChar w:fldCharType="separate"/>
            </w:r>
            <w:r>
              <w:rPr>
                <w:noProof/>
              </w:rPr>
              <w:t>5</w:t>
            </w:r>
            <w:r>
              <w:rPr>
                <w:noProof/>
              </w:rPr>
              <w:fldChar w:fldCharType="end"/>
            </w:r>
          </w:hyperlink>
        </w:p>
        <w:p w14:paraId="13A24540" w14:textId="6A491D9C"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21" w:history="1">
            <w:r w:rsidRPr="00D71C72">
              <w:rPr>
                <w:rStyle w:val="Hyperlink"/>
                <w:noProof/>
              </w:rPr>
              <w:t>Typisierungen und Objektivierungen des IDW S1 im Überblick</w:t>
            </w:r>
            <w:r>
              <w:rPr>
                <w:noProof/>
              </w:rPr>
              <w:tab/>
            </w:r>
            <w:r>
              <w:rPr>
                <w:noProof/>
              </w:rPr>
              <w:fldChar w:fldCharType="begin"/>
            </w:r>
            <w:r>
              <w:rPr>
                <w:noProof/>
              </w:rPr>
              <w:instrText xml:space="preserve"> PAGEREF _Toc222150121 \h </w:instrText>
            </w:r>
            <w:r>
              <w:rPr>
                <w:noProof/>
              </w:rPr>
            </w:r>
            <w:r>
              <w:rPr>
                <w:noProof/>
              </w:rPr>
              <w:fldChar w:fldCharType="separate"/>
            </w:r>
            <w:r>
              <w:rPr>
                <w:noProof/>
              </w:rPr>
              <w:t>6</w:t>
            </w:r>
            <w:r>
              <w:rPr>
                <w:noProof/>
              </w:rPr>
              <w:fldChar w:fldCharType="end"/>
            </w:r>
          </w:hyperlink>
        </w:p>
        <w:p w14:paraId="53475176" w14:textId="6D50D53C"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22" w:history="1">
            <w:r w:rsidRPr="00D71C72">
              <w:rPr>
                <w:rStyle w:val="Hyperlink"/>
                <w:noProof/>
              </w:rPr>
              <w:t>2.2  Verschiedene Werte für dasselbe Unternehmen</w:t>
            </w:r>
            <w:r>
              <w:rPr>
                <w:noProof/>
              </w:rPr>
              <w:tab/>
            </w:r>
            <w:r>
              <w:rPr>
                <w:noProof/>
              </w:rPr>
              <w:fldChar w:fldCharType="begin"/>
            </w:r>
            <w:r>
              <w:rPr>
                <w:noProof/>
              </w:rPr>
              <w:instrText xml:space="preserve"> PAGEREF _Toc222150122 \h </w:instrText>
            </w:r>
            <w:r>
              <w:rPr>
                <w:noProof/>
              </w:rPr>
            </w:r>
            <w:r>
              <w:rPr>
                <w:noProof/>
              </w:rPr>
              <w:fldChar w:fldCharType="separate"/>
            </w:r>
            <w:r>
              <w:rPr>
                <w:noProof/>
              </w:rPr>
              <w:t>6</w:t>
            </w:r>
            <w:r>
              <w:rPr>
                <w:noProof/>
              </w:rPr>
              <w:fldChar w:fldCharType="end"/>
            </w:r>
          </w:hyperlink>
        </w:p>
        <w:p w14:paraId="720CF1F5" w14:textId="2225D85F"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23" w:history="1">
            <w:r w:rsidRPr="00D71C72">
              <w:rPr>
                <w:rStyle w:val="Hyperlink"/>
                <w:noProof/>
              </w:rPr>
              <w:t>2.3  Wert ist nicht gleich Preis</w:t>
            </w:r>
            <w:r>
              <w:rPr>
                <w:noProof/>
              </w:rPr>
              <w:tab/>
            </w:r>
            <w:r>
              <w:rPr>
                <w:noProof/>
              </w:rPr>
              <w:fldChar w:fldCharType="begin"/>
            </w:r>
            <w:r>
              <w:rPr>
                <w:noProof/>
              </w:rPr>
              <w:instrText xml:space="preserve"> PAGEREF _Toc222150123 \h </w:instrText>
            </w:r>
            <w:r>
              <w:rPr>
                <w:noProof/>
              </w:rPr>
            </w:r>
            <w:r>
              <w:rPr>
                <w:noProof/>
              </w:rPr>
              <w:fldChar w:fldCharType="separate"/>
            </w:r>
            <w:r>
              <w:rPr>
                <w:noProof/>
              </w:rPr>
              <w:t>7</w:t>
            </w:r>
            <w:r>
              <w:rPr>
                <w:noProof/>
              </w:rPr>
              <w:fldChar w:fldCharType="end"/>
            </w:r>
          </w:hyperlink>
        </w:p>
        <w:p w14:paraId="75AB38E4" w14:textId="5CA9BAD0"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24" w:history="1">
            <w:r w:rsidRPr="00D71C72">
              <w:rPr>
                <w:rStyle w:val="Hyperlink"/>
                <w:noProof/>
              </w:rPr>
              <w:t>Das Grenzpreis-Konzept</w:t>
            </w:r>
            <w:r>
              <w:rPr>
                <w:noProof/>
              </w:rPr>
              <w:tab/>
            </w:r>
            <w:r>
              <w:rPr>
                <w:noProof/>
              </w:rPr>
              <w:fldChar w:fldCharType="begin"/>
            </w:r>
            <w:r>
              <w:rPr>
                <w:noProof/>
              </w:rPr>
              <w:instrText xml:space="preserve"> PAGEREF _Toc222150124 \h </w:instrText>
            </w:r>
            <w:r>
              <w:rPr>
                <w:noProof/>
              </w:rPr>
            </w:r>
            <w:r>
              <w:rPr>
                <w:noProof/>
              </w:rPr>
              <w:fldChar w:fldCharType="separate"/>
            </w:r>
            <w:r>
              <w:rPr>
                <w:noProof/>
              </w:rPr>
              <w:t>7</w:t>
            </w:r>
            <w:r>
              <w:rPr>
                <w:noProof/>
              </w:rPr>
              <w:fldChar w:fldCharType="end"/>
            </w:r>
          </w:hyperlink>
        </w:p>
        <w:p w14:paraId="44B26A74" w14:textId="59A66DFE"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25" w:history="1">
            <w:r w:rsidRPr="00D71C72">
              <w:rPr>
                <w:rStyle w:val="Hyperlink"/>
                <w:noProof/>
              </w:rPr>
              <w:t>2.4  Was beeinflusst den Unternehmenswert?</w:t>
            </w:r>
            <w:r>
              <w:rPr>
                <w:noProof/>
              </w:rPr>
              <w:tab/>
            </w:r>
            <w:r>
              <w:rPr>
                <w:noProof/>
              </w:rPr>
              <w:fldChar w:fldCharType="begin"/>
            </w:r>
            <w:r>
              <w:rPr>
                <w:noProof/>
              </w:rPr>
              <w:instrText xml:space="preserve"> PAGEREF _Toc222150125 \h </w:instrText>
            </w:r>
            <w:r>
              <w:rPr>
                <w:noProof/>
              </w:rPr>
            </w:r>
            <w:r>
              <w:rPr>
                <w:noProof/>
              </w:rPr>
              <w:fldChar w:fldCharType="separate"/>
            </w:r>
            <w:r>
              <w:rPr>
                <w:noProof/>
              </w:rPr>
              <w:t>8</w:t>
            </w:r>
            <w:r>
              <w:rPr>
                <w:noProof/>
              </w:rPr>
              <w:fldChar w:fldCharType="end"/>
            </w:r>
          </w:hyperlink>
        </w:p>
        <w:p w14:paraId="0BAAC613" w14:textId="220EAE96"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26" w:history="1">
            <w:r w:rsidRPr="00D71C72">
              <w:rPr>
                <w:rStyle w:val="Hyperlink"/>
                <w:noProof/>
              </w:rPr>
              <w:t>Beispielhafte Ansatzpunkte</w:t>
            </w:r>
            <w:r>
              <w:rPr>
                <w:noProof/>
              </w:rPr>
              <w:tab/>
            </w:r>
            <w:r>
              <w:rPr>
                <w:noProof/>
              </w:rPr>
              <w:fldChar w:fldCharType="begin"/>
            </w:r>
            <w:r>
              <w:rPr>
                <w:noProof/>
              </w:rPr>
              <w:instrText xml:space="preserve"> PAGEREF _Toc222150126 \h </w:instrText>
            </w:r>
            <w:r>
              <w:rPr>
                <w:noProof/>
              </w:rPr>
            </w:r>
            <w:r>
              <w:rPr>
                <w:noProof/>
              </w:rPr>
              <w:fldChar w:fldCharType="separate"/>
            </w:r>
            <w:r>
              <w:rPr>
                <w:noProof/>
              </w:rPr>
              <w:t>8</w:t>
            </w:r>
            <w:r>
              <w:rPr>
                <w:noProof/>
              </w:rPr>
              <w:fldChar w:fldCharType="end"/>
            </w:r>
          </w:hyperlink>
        </w:p>
        <w:p w14:paraId="317D89E4" w14:textId="18A0905E"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27" w:history="1">
            <w:r w:rsidRPr="00D71C72">
              <w:rPr>
                <w:rStyle w:val="Hyperlink"/>
                <w:noProof/>
              </w:rPr>
              <w:t>2.5  Zukunft schlägt Vergangenheit</w:t>
            </w:r>
            <w:r>
              <w:rPr>
                <w:noProof/>
              </w:rPr>
              <w:tab/>
            </w:r>
            <w:r>
              <w:rPr>
                <w:noProof/>
              </w:rPr>
              <w:fldChar w:fldCharType="begin"/>
            </w:r>
            <w:r>
              <w:rPr>
                <w:noProof/>
              </w:rPr>
              <w:instrText xml:space="preserve"> PAGEREF _Toc222150127 \h </w:instrText>
            </w:r>
            <w:r>
              <w:rPr>
                <w:noProof/>
              </w:rPr>
            </w:r>
            <w:r>
              <w:rPr>
                <w:noProof/>
              </w:rPr>
              <w:fldChar w:fldCharType="separate"/>
            </w:r>
            <w:r>
              <w:rPr>
                <w:noProof/>
              </w:rPr>
              <w:t>8</w:t>
            </w:r>
            <w:r>
              <w:rPr>
                <w:noProof/>
              </w:rPr>
              <w:fldChar w:fldCharType="end"/>
            </w:r>
          </w:hyperlink>
        </w:p>
        <w:p w14:paraId="381FB224" w14:textId="40784561"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28" w:history="1">
            <w:r w:rsidRPr="00D71C72">
              <w:rPr>
                <w:rStyle w:val="Hyperlink"/>
                <w:noProof/>
              </w:rPr>
              <w:t>Das Vergangenheits-Paradox</w:t>
            </w:r>
            <w:r>
              <w:rPr>
                <w:noProof/>
              </w:rPr>
              <w:tab/>
            </w:r>
            <w:r>
              <w:rPr>
                <w:noProof/>
              </w:rPr>
              <w:fldChar w:fldCharType="begin"/>
            </w:r>
            <w:r>
              <w:rPr>
                <w:noProof/>
              </w:rPr>
              <w:instrText xml:space="preserve"> PAGEREF _Toc222150128 \h </w:instrText>
            </w:r>
            <w:r>
              <w:rPr>
                <w:noProof/>
              </w:rPr>
            </w:r>
            <w:r>
              <w:rPr>
                <w:noProof/>
              </w:rPr>
              <w:fldChar w:fldCharType="separate"/>
            </w:r>
            <w:r>
              <w:rPr>
                <w:noProof/>
              </w:rPr>
              <w:t>9</w:t>
            </w:r>
            <w:r>
              <w:rPr>
                <w:noProof/>
              </w:rPr>
              <w:fldChar w:fldCharType="end"/>
            </w:r>
          </w:hyperlink>
        </w:p>
        <w:p w14:paraId="3301DF67" w14:textId="6A5026B6" w:rsidR="00E862A3" w:rsidRDefault="00E862A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150129" w:history="1">
            <w:r w:rsidRPr="00D71C72">
              <w:rPr>
                <w:rStyle w:val="Hyperlink"/>
                <w:noProof/>
              </w:rPr>
              <w:t>3  Bewertungsverfahren im Überblick</w:t>
            </w:r>
            <w:r>
              <w:rPr>
                <w:noProof/>
              </w:rPr>
              <w:tab/>
            </w:r>
            <w:r>
              <w:rPr>
                <w:noProof/>
              </w:rPr>
              <w:fldChar w:fldCharType="begin"/>
            </w:r>
            <w:r>
              <w:rPr>
                <w:noProof/>
              </w:rPr>
              <w:instrText xml:space="preserve"> PAGEREF _Toc222150129 \h </w:instrText>
            </w:r>
            <w:r>
              <w:rPr>
                <w:noProof/>
              </w:rPr>
            </w:r>
            <w:r>
              <w:rPr>
                <w:noProof/>
              </w:rPr>
              <w:fldChar w:fldCharType="separate"/>
            </w:r>
            <w:r>
              <w:rPr>
                <w:noProof/>
              </w:rPr>
              <w:t>10</w:t>
            </w:r>
            <w:r>
              <w:rPr>
                <w:noProof/>
              </w:rPr>
              <w:fldChar w:fldCharType="end"/>
            </w:r>
          </w:hyperlink>
        </w:p>
        <w:p w14:paraId="69E44177" w14:textId="6D57964B"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30" w:history="1">
            <w:r w:rsidRPr="00D71C72">
              <w:rPr>
                <w:rStyle w:val="Hyperlink"/>
                <w:noProof/>
              </w:rPr>
              <w:t>3.1  Systematisierung der Verfahren</w:t>
            </w:r>
            <w:r>
              <w:rPr>
                <w:noProof/>
              </w:rPr>
              <w:tab/>
            </w:r>
            <w:r>
              <w:rPr>
                <w:noProof/>
              </w:rPr>
              <w:fldChar w:fldCharType="begin"/>
            </w:r>
            <w:r>
              <w:rPr>
                <w:noProof/>
              </w:rPr>
              <w:instrText xml:space="preserve"> PAGEREF _Toc222150130 \h </w:instrText>
            </w:r>
            <w:r>
              <w:rPr>
                <w:noProof/>
              </w:rPr>
            </w:r>
            <w:r>
              <w:rPr>
                <w:noProof/>
              </w:rPr>
              <w:fldChar w:fldCharType="separate"/>
            </w:r>
            <w:r>
              <w:rPr>
                <w:noProof/>
              </w:rPr>
              <w:t>10</w:t>
            </w:r>
            <w:r>
              <w:rPr>
                <w:noProof/>
              </w:rPr>
              <w:fldChar w:fldCharType="end"/>
            </w:r>
          </w:hyperlink>
        </w:p>
        <w:p w14:paraId="74B06445" w14:textId="76D0DB4D"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31" w:history="1">
            <w:r w:rsidRPr="00D71C72">
              <w:rPr>
                <w:rStyle w:val="Hyperlink"/>
                <w:noProof/>
              </w:rPr>
              <w:t>3.2  Ertragswert- und DCF-Verfahren</w:t>
            </w:r>
            <w:r>
              <w:rPr>
                <w:noProof/>
              </w:rPr>
              <w:tab/>
            </w:r>
            <w:r>
              <w:rPr>
                <w:noProof/>
              </w:rPr>
              <w:fldChar w:fldCharType="begin"/>
            </w:r>
            <w:r>
              <w:rPr>
                <w:noProof/>
              </w:rPr>
              <w:instrText xml:space="preserve"> PAGEREF _Toc222150131 \h </w:instrText>
            </w:r>
            <w:r>
              <w:rPr>
                <w:noProof/>
              </w:rPr>
            </w:r>
            <w:r>
              <w:rPr>
                <w:noProof/>
              </w:rPr>
              <w:fldChar w:fldCharType="separate"/>
            </w:r>
            <w:r>
              <w:rPr>
                <w:noProof/>
              </w:rPr>
              <w:t>10</w:t>
            </w:r>
            <w:r>
              <w:rPr>
                <w:noProof/>
              </w:rPr>
              <w:fldChar w:fldCharType="end"/>
            </w:r>
          </w:hyperlink>
        </w:p>
        <w:p w14:paraId="2E039671" w14:textId="76A0967A"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32" w:history="1">
            <w:r w:rsidRPr="00D71C72">
              <w:rPr>
                <w:rStyle w:val="Hyperlink"/>
                <w:noProof/>
              </w:rPr>
              <w:t>Bewertungsformel und Kapitalisierungszins</w:t>
            </w:r>
            <w:r>
              <w:rPr>
                <w:noProof/>
              </w:rPr>
              <w:tab/>
            </w:r>
            <w:r>
              <w:rPr>
                <w:noProof/>
              </w:rPr>
              <w:fldChar w:fldCharType="begin"/>
            </w:r>
            <w:r>
              <w:rPr>
                <w:noProof/>
              </w:rPr>
              <w:instrText xml:space="preserve"> PAGEREF _Toc222150132 \h </w:instrText>
            </w:r>
            <w:r>
              <w:rPr>
                <w:noProof/>
              </w:rPr>
            </w:r>
            <w:r>
              <w:rPr>
                <w:noProof/>
              </w:rPr>
              <w:fldChar w:fldCharType="separate"/>
            </w:r>
            <w:r>
              <w:rPr>
                <w:noProof/>
              </w:rPr>
              <w:t>10</w:t>
            </w:r>
            <w:r>
              <w:rPr>
                <w:noProof/>
              </w:rPr>
              <w:fldChar w:fldCharType="end"/>
            </w:r>
          </w:hyperlink>
        </w:p>
        <w:p w14:paraId="5AAF2BC4" w14:textId="34139642"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33" w:history="1">
            <w:r w:rsidRPr="00D71C72">
              <w:rPr>
                <w:rStyle w:val="Hyperlink"/>
                <w:noProof/>
              </w:rPr>
              <w:t>Berechnung der Zahlungsmittelüberschüsse (vereinfacht)</w:t>
            </w:r>
            <w:r>
              <w:rPr>
                <w:noProof/>
              </w:rPr>
              <w:tab/>
            </w:r>
            <w:r>
              <w:rPr>
                <w:noProof/>
              </w:rPr>
              <w:fldChar w:fldCharType="begin"/>
            </w:r>
            <w:r>
              <w:rPr>
                <w:noProof/>
              </w:rPr>
              <w:instrText xml:space="preserve"> PAGEREF _Toc222150133 \h </w:instrText>
            </w:r>
            <w:r>
              <w:rPr>
                <w:noProof/>
              </w:rPr>
            </w:r>
            <w:r>
              <w:rPr>
                <w:noProof/>
              </w:rPr>
              <w:fldChar w:fldCharType="separate"/>
            </w:r>
            <w:r>
              <w:rPr>
                <w:noProof/>
              </w:rPr>
              <w:t>11</w:t>
            </w:r>
            <w:r>
              <w:rPr>
                <w:noProof/>
              </w:rPr>
              <w:fldChar w:fldCharType="end"/>
            </w:r>
          </w:hyperlink>
        </w:p>
        <w:p w14:paraId="0D2ED952" w14:textId="1217DB14"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34" w:history="1">
            <w:r w:rsidRPr="00D71C72">
              <w:rPr>
                <w:rStyle w:val="Hyperlink"/>
                <w:noProof/>
              </w:rPr>
              <w:t>Kapitalisierungszins (CAPM/WACC)</w:t>
            </w:r>
            <w:r>
              <w:rPr>
                <w:noProof/>
              </w:rPr>
              <w:tab/>
            </w:r>
            <w:r>
              <w:rPr>
                <w:noProof/>
              </w:rPr>
              <w:fldChar w:fldCharType="begin"/>
            </w:r>
            <w:r>
              <w:rPr>
                <w:noProof/>
              </w:rPr>
              <w:instrText xml:space="preserve"> PAGEREF _Toc222150134 \h </w:instrText>
            </w:r>
            <w:r>
              <w:rPr>
                <w:noProof/>
              </w:rPr>
            </w:r>
            <w:r>
              <w:rPr>
                <w:noProof/>
              </w:rPr>
              <w:fldChar w:fldCharType="separate"/>
            </w:r>
            <w:r>
              <w:rPr>
                <w:noProof/>
              </w:rPr>
              <w:t>11</w:t>
            </w:r>
            <w:r>
              <w:rPr>
                <w:noProof/>
              </w:rPr>
              <w:fldChar w:fldCharType="end"/>
            </w:r>
          </w:hyperlink>
        </w:p>
        <w:p w14:paraId="5953CD78" w14:textId="7E397F15"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35" w:history="1">
            <w:r w:rsidRPr="00D71C72">
              <w:rPr>
                <w:rStyle w:val="Hyperlink"/>
                <w:noProof/>
              </w:rPr>
              <w:t>Bewertungsformel</w:t>
            </w:r>
            <w:r>
              <w:rPr>
                <w:noProof/>
              </w:rPr>
              <w:tab/>
            </w:r>
            <w:r>
              <w:rPr>
                <w:noProof/>
              </w:rPr>
              <w:fldChar w:fldCharType="begin"/>
            </w:r>
            <w:r>
              <w:rPr>
                <w:noProof/>
              </w:rPr>
              <w:instrText xml:space="preserve"> PAGEREF _Toc222150135 \h </w:instrText>
            </w:r>
            <w:r>
              <w:rPr>
                <w:noProof/>
              </w:rPr>
            </w:r>
            <w:r>
              <w:rPr>
                <w:noProof/>
              </w:rPr>
              <w:fldChar w:fldCharType="separate"/>
            </w:r>
            <w:r>
              <w:rPr>
                <w:noProof/>
              </w:rPr>
              <w:t>12</w:t>
            </w:r>
            <w:r>
              <w:rPr>
                <w:noProof/>
              </w:rPr>
              <w:fldChar w:fldCharType="end"/>
            </w:r>
          </w:hyperlink>
        </w:p>
        <w:p w14:paraId="7EFE54A6" w14:textId="25EB540E"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36" w:history="1">
            <w:r w:rsidRPr="00D71C72">
              <w:rPr>
                <w:rStyle w:val="Hyperlink"/>
                <w:noProof/>
              </w:rPr>
              <w:t>3.3  Multiplikatorverfahren</w:t>
            </w:r>
            <w:r>
              <w:rPr>
                <w:noProof/>
              </w:rPr>
              <w:tab/>
            </w:r>
            <w:r>
              <w:rPr>
                <w:noProof/>
              </w:rPr>
              <w:fldChar w:fldCharType="begin"/>
            </w:r>
            <w:r>
              <w:rPr>
                <w:noProof/>
              </w:rPr>
              <w:instrText xml:space="preserve"> PAGEREF _Toc222150136 \h </w:instrText>
            </w:r>
            <w:r>
              <w:rPr>
                <w:noProof/>
              </w:rPr>
            </w:r>
            <w:r>
              <w:rPr>
                <w:noProof/>
              </w:rPr>
              <w:fldChar w:fldCharType="separate"/>
            </w:r>
            <w:r>
              <w:rPr>
                <w:noProof/>
              </w:rPr>
              <w:t>12</w:t>
            </w:r>
            <w:r>
              <w:rPr>
                <w:noProof/>
              </w:rPr>
              <w:fldChar w:fldCharType="end"/>
            </w:r>
          </w:hyperlink>
        </w:p>
        <w:p w14:paraId="7E025F42" w14:textId="5647B449"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37" w:history="1">
            <w:r w:rsidRPr="00D71C72">
              <w:rPr>
                <w:rStyle w:val="Hyperlink"/>
                <w:noProof/>
              </w:rPr>
              <w:t>Rolle der Multiplikatoren: Subjektiv vs. Objektiviert</w:t>
            </w:r>
            <w:r>
              <w:rPr>
                <w:noProof/>
              </w:rPr>
              <w:tab/>
            </w:r>
            <w:r>
              <w:rPr>
                <w:noProof/>
              </w:rPr>
              <w:fldChar w:fldCharType="begin"/>
            </w:r>
            <w:r>
              <w:rPr>
                <w:noProof/>
              </w:rPr>
              <w:instrText xml:space="preserve"> PAGEREF _Toc222150137 \h </w:instrText>
            </w:r>
            <w:r>
              <w:rPr>
                <w:noProof/>
              </w:rPr>
            </w:r>
            <w:r>
              <w:rPr>
                <w:noProof/>
              </w:rPr>
              <w:fldChar w:fldCharType="separate"/>
            </w:r>
            <w:r>
              <w:rPr>
                <w:noProof/>
              </w:rPr>
              <w:t>12</w:t>
            </w:r>
            <w:r>
              <w:rPr>
                <w:noProof/>
              </w:rPr>
              <w:fldChar w:fldCharType="end"/>
            </w:r>
          </w:hyperlink>
        </w:p>
        <w:p w14:paraId="3C0D6A07" w14:textId="7752756A"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38" w:history="1">
            <w:r w:rsidRPr="00D71C72">
              <w:rPr>
                <w:rStyle w:val="Hyperlink"/>
                <w:noProof/>
              </w:rPr>
              <w:t>Multiplikatoren vs. DCF in der Praxis</w:t>
            </w:r>
            <w:r>
              <w:rPr>
                <w:noProof/>
              </w:rPr>
              <w:tab/>
            </w:r>
            <w:r>
              <w:rPr>
                <w:noProof/>
              </w:rPr>
              <w:fldChar w:fldCharType="begin"/>
            </w:r>
            <w:r>
              <w:rPr>
                <w:noProof/>
              </w:rPr>
              <w:instrText xml:space="preserve"> PAGEREF _Toc222150138 \h </w:instrText>
            </w:r>
            <w:r>
              <w:rPr>
                <w:noProof/>
              </w:rPr>
            </w:r>
            <w:r>
              <w:rPr>
                <w:noProof/>
              </w:rPr>
              <w:fldChar w:fldCharType="separate"/>
            </w:r>
            <w:r>
              <w:rPr>
                <w:noProof/>
              </w:rPr>
              <w:t>13</w:t>
            </w:r>
            <w:r>
              <w:rPr>
                <w:noProof/>
              </w:rPr>
              <w:fldChar w:fldCharType="end"/>
            </w:r>
          </w:hyperlink>
        </w:p>
        <w:p w14:paraId="69A95C8B" w14:textId="19510EDE"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39" w:history="1">
            <w:r w:rsidRPr="00D71C72">
              <w:rPr>
                <w:rStyle w:val="Hyperlink"/>
                <w:noProof/>
              </w:rPr>
              <w:t>3.4  Substanzwertverfahren</w:t>
            </w:r>
            <w:r>
              <w:rPr>
                <w:noProof/>
              </w:rPr>
              <w:tab/>
            </w:r>
            <w:r>
              <w:rPr>
                <w:noProof/>
              </w:rPr>
              <w:fldChar w:fldCharType="begin"/>
            </w:r>
            <w:r>
              <w:rPr>
                <w:noProof/>
              </w:rPr>
              <w:instrText xml:space="preserve"> PAGEREF _Toc222150139 \h </w:instrText>
            </w:r>
            <w:r>
              <w:rPr>
                <w:noProof/>
              </w:rPr>
            </w:r>
            <w:r>
              <w:rPr>
                <w:noProof/>
              </w:rPr>
              <w:fldChar w:fldCharType="separate"/>
            </w:r>
            <w:r>
              <w:rPr>
                <w:noProof/>
              </w:rPr>
              <w:t>13</w:t>
            </w:r>
            <w:r>
              <w:rPr>
                <w:noProof/>
              </w:rPr>
              <w:fldChar w:fldCharType="end"/>
            </w:r>
          </w:hyperlink>
        </w:p>
        <w:p w14:paraId="21501DB6" w14:textId="7888C80B"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40" w:history="1">
            <w:r w:rsidRPr="00D71C72">
              <w:rPr>
                <w:rStyle w:val="Hyperlink"/>
                <w:noProof/>
              </w:rPr>
              <w:t>3.5  Vereinfachtes Ertragswertverfahren</w:t>
            </w:r>
            <w:r>
              <w:rPr>
                <w:noProof/>
              </w:rPr>
              <w:tab/>
            </w:r>
            <w:r>
              <w:rPr>
                <w:noProof/>
              </w:rPr>
              <w:fldChar w:fldCharType="begin"/>
            </w:r>
            <w:r>
              <w:rPr>
                <w:noProof/>
              </w:rPr>
              <w:instrText xml:space="preserve"> PAGEREF _Toc222150140 \h </w:instrText>
            </w:r>
            <w:r>
              <w:rPr>
                <w:noProof/>
              </w:rPr>
            </w:r>
            <w:r>
              <w:rPr>
                <w:noProof/>
              </w:rPr>
              <w:fldChar w:fldCharType="separate"/>
            </w:r>
            <w:r>
              <w:rPr>
                <w:noProof/>
              </w:rPr>
              <w:t>13</w:t>
            </w:r>
            <w:r>
              <w:rPr>
                <w:noProof/>
              </w:rPr>
              <w:fldChar w:fldCharType="end"/>
            </w:r>
          </w:hyperlink>
        </w:p>
        <w:p w14:paraId="19908119" w14:textId="7109C3DD"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41" w:history="1">
            <w:r w:rsidRPr="00D71C72">
              <w:rPr>
                <w:rStyle w:val="Hyperlink"/>
                <w:noProof/>
              </w:rPr>
              <w:t>3.6  Vergleich der Verfahren</w:t>
            </w:r>
            <w:r>
              <w:rPr>
                <w:noProof/>
              </w:rPr>
              <w:tab/>
            </w:r>
            <w:r>
              <w:rPr>
                <w:noProof/>
              </w:rPr>
              <w:fldChar w:fldCharType="begin"/>
            </w:r>
            <w:r>
              <w:rPr>
                <w:noProof/>
              </w:rPr>
              <w:instrText xml:space="preserve"> PAGEREF _Toc222150141 \h </w:instrText>
            </w:r>
            <w:r>
              <w:rPr>
                <w:noProof/>
              </w:rPr>
            </w:r>
            <w:r>
              <w:rPr>
                <w:noProof/>
              </w:rPr>
              <w:fldChar w:fldCharType="separate"/>
            </w:r>
            <w:r>
              <w:rPr>
                <w:noProof/>
              </w:rPr>
              <w:t>14</w:t>
            </w:r>
            <w:r>
              <w:rPr>
                <w:noProof/>
              </w:rPr>
              <w:fldChar w:fldCharType="end"/>
            </w:r>
          </w:hyperlink>
        </w:p>
        <w:p w14:paraId="57B5557A" w14:textId="43ED45A4" w:rsidR="00E862A3" w:rsidRDefault="00E862A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150142" w:history="1">
            <w:r w:rsidRPr="00D71C72">
              <w:rPr>
                <w:rStyle w:val="Hyperlink"/>
                <w:noProof/>
              </w:rPr>
              <w:t>4  Besonderheiten bei der Bewertung von KMU</w:t>
            </w:r>
            <w:r>
              <w:rPr>
                <w:noProof/>
              </w:rPr>
              <w:tab/>
            </w:r>
            <w:r>
              <w:rPr>
                <w:noProof/>
              </w:rPr>
              <w:fldChar w:fldCharType="begin"/>
            </w:r>
            <w:r>
              <w:rPr>
                <w:noProof/>
              </w:rPr>
              <w:instrText xml:space="preserve"> PAGEREF _Toc222150142 \h </w:instrText>
            </w:r>
            <w:r>
              <w:rPr>
                <w:noProof/>
              </w:rPr>
            </w:r>
            <w:r>
              <w:rPr>
                <w:noProof/>
              </w:rPr>
              <w:fldChar w:fldCharType="separate"/>
            </w:r>
            <w:r>
              <w:rPr>
                <w:noProof/>
              </w:rPr>
              <w:t>15</w:t>
            </w:r>
            <w:r>
              <w:rPr>
                <w:noProof/>
              </w:rPr>
              <w:fldChar w:fldCharType="end"/>
            </w:r>
          </w:hyperlink>
        </w:p>
        <w:p w14:paraId="629D0867" w14:textId="00F1CE20"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43" w:history="1">
            <w:r w:rsidRPr="00D71C72">
              <w:rPr>
                <w:rStyle w:val="Hyperlink"/>
                <w:noProof/>
              </w:rPr>
              <w:t>4.1  Warum KMU anders bewertet werden müssen</w:t>
            </w:r>
            <w:r>
              <w:rPr>
                <w:noProof/>
              </w:rPr>
              <w:tab/>
            </w:r>
            <w:r>
              <w:rPr>
                <w:noProof/>
              </w:rPr>
              <w:fldChar w:fldCharType="begin"/>
            </w:r>
            <w:r>
              <w:rPr>
                <w:noProof/>
              </w:rPr>
              <w:instrText xml:space="preserve"> PAGEREF _Toc222150143 \h </w:instrText>
            </w:r>
            <w:r>
              <w:rPr>
                <w:noProof/>
              </w:rPr>
            </w:r>
            <w:r>
              <w:rPr>
                <w:noProof/>
              </w:rPr>
              <w:fldChar w:fldCharType="separate"/>
            </w:r>
            <w:r>
              <w:rPr>
                <w:noProof/>
              </w:rPr>
              <w:t>15</w:t>
            </w:r>
            <w:r>
              <w:rPr>
                <w:noProof/>
              </w:rPr>
              <w:fldChar w:fldCharType="end"/>
            </w:r>
          </w:hyperlink>
        </w:p>
        <w:p w14:paraId="3D584484" w14:textId="7FC071E5"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44" w:history="1">
            <w:r w:rsidRPr="00D71C72">
              <w:rPr>
                <w:rStyle w:val="Hyperlink"/>
                <w:noProof/>
              </w:rPr>
              <w:t>Geschäftsmodell</w:t>
            </w:r>
            <w:r>
              <w:rPr>
                <w:noProof/>
              </w:rPr>
              <w:tab/>
            </w:r>
            <w:r>
              <w:rPr>
                <w:noProof/>
              </w:rPr>
              <w:fldChar w:fldCharType="begin"/>
            </w:r>
            <w:r>
              <w:rPr>
                <w:noProof/>
              </w:rPr>
              <w:instrText xml:space="preserve"> PAGEREF _Toc222150144 \h </w:instrText>
            </w:r>
            <w:r>
              <w:rPr>
                <w:noProof/>
              </w:rPr>
            </w:r>
            <w:r>
              <w:rPr>
                <w:noProof/>
              </w:rPr>
              <w:fldChar w:fldCharType="separate"/>
            </w:r>
            <w:r>
              <w:rPr>
                <w:noProof/>
              </w:rPr>
              <w:t>15</w:t>
            </w:r>
            <w:r>
              <w:rPr>
                <w:noProof/>
              </w:rPr>
              <w:fldChar w:fldCharType="end"/>
            </w:r>
          </w:hyperlink>
        </w:p>
        <w:p w14:paraId="7E494168" w14:textId="322896D1"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45" w:history="1">
            <w:r w:rsidRPr="00D71C72">
              <w:rPr>
                <w:rStyle w:val="Hyperlink"/>
                <w:noProof/>
              </w:rPr>
              <w:t>Eigentümerstruktur</w:t>
            </w:r>
            <w:r>
              <w:rPr>
                <w:noProof/>
              </w:rPr>
              <w:tab/>
            </w:r>
            <w:r>
              <w:rPr>
                <w:noProof/>
              </w:rPr>
              <w:fldChar w:fldCharType="begin"/>
            </w:r>
            <w:r>
              <w:rPr>
                <w:noProof/>
              </w:rPr>
              <w:instrText xml:space="preserve"> PAGEREF _Toc222150145 \h </w:instrText>
            </w:r>
            <w:r>
              <w:rPr>
                <w:noProof/>
              </w:rPr>
            </w:r>
            <w:r>
              <w:rPr>
                <w:noProof/>
              </w:rPr>
              <w:fldChar w:fldCharType="separate"/>
            </w:r>
            <w:r>
              <w:rPr>
                <w:noProof/>
              </w:rPr>
              <w:t>15</w:t>
            </w:r>
            <w:r>
              <w:rPr>
                <w:noProof/>
              </w:rPr>
              <w:fldChar w:fldCharType="end"/>
            </w:r>
          </w:hyperlink>
        </w:p>
        <w:p w14:paraId="5B5F4198" w14:textId="4C222B24"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46" w:history="1">
            <w:r w:rsidRPr="00D71C72">
              <w:rPr>
                <w:rStyle w:val="Hyperlink"/>
                <w:noProof/>
              </w:rPr>
              <w:t>Finanzierung</w:t>
            </w:r>
            <w:r>
              <w:rPr>
                <w:noProof/>
              </w:rPr>
              <w:tab/>
            </w:r>
            <w:r>
              <w:rPr>
                <w:noProof/>
              </w:rPr>
              <w:fldChar w:fldCharType="begin"/>
            </w:r>
            <w:r>
              <w:rPr>
                <w:noProof/>
              </w:rPr>
              <w:instrText xml:space="preserve"> PAGEREF _Toc222150146 \h </w:instrText>
            </w:r>
            <w:r>
              <w:rPr>
                <w:noProof/>
              </w:rPr>
            </w:r>
            <w:r>
              <w:rPr>
                <w:noProof/>
              </w:rPr>
              <w:fldChar w:fldCharType="separate"/>
            </w:r>
            <w:r>
              <w:rPr>
                <w:noProof/>
              </w:rPr>
              <w:t>15</w:t>
            </w:r>
            <w:r>
              <w:rPr>
                <w:noProof/>
              </w:rPr>
              <w:fldChar w:fldCharType="end"/>
            </w:r>
          </w:hyperlink>
        </w:p>
        <w:p w14:paraId="70644626" w14:textId="3C01AD42"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47" w:history="1">
            <w:r w:rsidRPr="00D71C72">
              <w:rPr>
                <w:rStyle w:val="Hyperlink"/>
                <w:noProof/>
              </w:rPr>
              <w:t>4.2  Übertragbare Ertragskraft</w:t>
            </w:r>
            <w:r>
              <w:rPr>
                <w:noProof/>
              </w:rPr>
              <w:tab/>
            </w:r>
            <w:r>
              <w:rPr>
                <w:noProof/>
              </w:rPr>
              <w:fldChar w:fldCharType="begin"/>
            </w:r>
            <w:r>
              <w:rPr>
                <w:noProof/>
              </w:rPr>
              <w:instrText xml:space="preserve"> PAGEREF _Toc222150147 \h </w:instrText>
            </w:r>
            <w:r>
              <w:rPr>
                <w:noProof/>
              </w:rPr>
            </w:r>
            <w:r>
              <w:rPr>
                <w:noProof/>
              </w:rPr>
              <w:fldChar w:fldCharType="separate"/>
            </w:r>
            <w:r>
              <w:rPr>
                <w:noProof/>
              </w:rPr>
              <w:t>15</w:t>
            </w:r>
            <w:r>
              <w:rPr>
                <w:noProof/>
              </w:rPr>
              <w:fldChar w:fldCharType="end"/>
            </w:r>
          </w:hyperlink>
        </w:p>
        <w:p w14:paraId="51E40927" w14:textId="3F9AC0B1"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48" w:history="1">
            <w:r w:rsidRPr="00D71C72">
              <w:rPr>
                <w:rStyle w:val="Hyperlink"/>
                <w:noProof/>
              </w:rPr>
              <w:t>Inhabergeführt ist nicht gleich inhaberabhängig</w:t>
            </w:r>
            <w:r>
              <w:rPr>
                <w:noProof/>
              </w:rPr>
              <w:tab/>
            </w:r>
            <w:r>
              <w:rPr>
                <w:noProof/>
              </w:rPr>
              <w:fldChar w:fldCharType="begin"/>
            </w:r>
            <w:r>
              <w:rPr>
                <w:noProof/>
              </w:rPr>
              <w:instrText xml:space="preserve"> PAGEREF _Toc222150148 \h </w:instrText>
            </w:r>
            <w:r>
              <w:rPr>
                <w:noProof/>
              </w:rPr>
            </w:r>
            <w:r>
              <w:rPr>
                <w:noProof/>
              </w:rPr>
              <w:fldChar w:fldCharType="separate"/>
            </w:r>
            <w:r>
              <w:rPr>
                <w:noProof/>
              </w:rPr>
              <w:t>15</w:t>
            </w:r>
            <w:r>
              <w:rPr>
                <w:noProof/>
              </w:rPr>
              <w:fldChar w:fldCharType="end"/>
            </w:r>
          </w:hyperlink>
        </w:p>
        <w:p w14:paraId="344005FE" w14:textId="423CA71A"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49" w:history="1">
            <w:r w:rsidRPr="00D71C72">
              <w:rPr>
                <w:rStyle w:val="Hyperlink"/>
                <w:noProof/>
              </w:rPr>
              <w:t>Betrieblicher und persönlicher Goodwill</w:t>
            </w:r>
            <w:r>
              <w:rPr>
                <w:noProof/>
              </w:rPr>
              <w:tab/>
            </w:r>
            <w:r>
              <w:rPr>
                <w:noProof/>
              </w:rPr>
              <w:fldChar w:fldCharType="begin"/>
            </w:r>
            <w:r>
              <w:rPr>
                <w:noProof/>
              </w:rPr>
              <w:instrText xml:space="preserve"> PAGEREF _Toc222150149 \h </w:instrText>
            </w:r>
            <w:r>
              <w:rPr>
                <w:noProof/>
              </w:rPr>
            </w:r>
            <w:r>
              <w:rPr>
                <w:noProof/>
              </w:rPr>
              <w:fldChar w:fldCharType="separate"/>
            </w:r>
            <w:r>
              <w:rPr>
                <w:noProof/>
              </w:rPr>
              <w:t>16</w:t>
            </w:r>
            <w:r>
              <w:rPr>
                <w:noProof/>
              </w:rPr>
              <w:fldChar w:fldCharType="end"/>
            </w:r>
          </w:hyperlink>
        </w:p>
        <w:p w14:paraId="1732BF89" w14:textId="4E62E4D6"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50" w:history="1">
            <w:r w:rsidRPr="00D71C72">
              <w:rPr>
                <w:rStyle w:val="Hyperlink"/>
                <w:noProof/>
              </w:rPr>
              <w:t>Formen der Übertragbarkeit</w:t>
            </w:r>
            <w:r>
              <w:rPr>
                <w:noProof/>
              </w:rPr>
              <w:tab/>
            </w:r>
            <w:r>
              <w:rPr>
                <w:noProof/>
              </w:rPr>
              <w:fldChar w:fldCharType="begin"/>
            </w:r>
            <w:r>
              <w:rPr>
                <w:noProof/>
              </w:rPr>
              <w:instrText xml:space="preserve"> PAGEREF _Toc222150150 \h </w:instrText>
            </w:r>
            <w:r>
              <w:rPr>
                <w:noProof/>
              </w:rPr>
            </w:r>
            <w:r>
              <w:rPr>
                <w:noProof/>
              </w:rPr>
              <w:fldChar w:fldCharType="separate"/>
            </w:r>
            <w:r>
              <w:rPr>
                <w:noProof/>
              </w:rPr>
              <w:t>16</w:t>
            </w:r>
            <w:r>
              <w:rPr>
                <w:noProof/>
              </w:rPr>
              <w:fldChar w:fldCharType="end"/>
            </w:r>
          </w:hyperlink>
        </w:p>
        <w:p w14:paraId="10EAB194" w14:textId="5254C603"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51" w:history="1">
            <w:r w:rsidRPr="00D71C72">
              <w:rPr>
                <w:rStyle w:val="Hyperlink"/>
                <w:noProof/>
              </w:rPr>
              <w:t>Bewertungstechnische Konsequenzen</w:t>
            </w:r>
            <w:r>
              <w:rPr>
                <w:noProof/>
              </w:rPr>
              <w:tab/>
            </w:r>
            <w:r>
              <w:rPr>
                <w:noProof/>
              </w:rPr>
              <w:fldChar w:fldCharType="begin"/>
            </w:r>
            <w:r>
              <w:rPr>
                <w:noProof/>
              </w:rPr>
              <w:instrText xml:space="preserve"> PAGEREF _Toc222150151 \h </w:instrText>
            </w:r>
            <w:r>
              <w:rPr>
                <w:noProof/>
              </w:rPr>
            </w:r>
            <w:r>
              <w:rPr>
                <w:noProof/>
              </w:rPr>
              <w:fldChar w:fldCharType="separate"/>
            </w:r>
            <w:r>
              <w:rPr>
                <w:noProof/>
              </w:rPr>
              <w:t>17</w:t>
            </w:r>
            <w:r>
              <w:rPr>
                <w:noProof/>
              </w:rPr>
              <w:fldChar w:fldCharType="end"/>
            </w:r>
          </w:hyperlink>
        </w:p>
        <w:p w14:paraId="16AB4732" w14:textId="5D91A80E"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52" w:history="1">
            <w:r w:rsidRPr="00D71C72">
              <w:rPr>
                <w:rStyle w:val="Hyperlink"/>
                <w:noProof/>
              </w:rPr>
              <w:t>4.3  Die Abschmelz-Methode</w:t>
            </w:r>
            <w:r>
              <w:rPr>
                <w:noProof/>
              </w:rPr>
              <w:tab/>
            </w:r>
            <w:r>
              <w:rPr>
                <w:noProof/>
              </w:rPr>
              <w:fldChar w:fldCharType="begin"/>
            </w:r>
            <w:r>
              <w:rPr>
                <w:noProof/>
              </w:rPr>
              <w:instrText xml:space="preserve"> PAGEREF _Toc222150152 \h </w:instrText>
            </w:r>
            <w:r>
              <w:rPr>
                <w:noProof/>
              </w:rPr>
            </w:r>
            <w:r>
              <w:rPr>
                <w:noProof/>
              </w:rPr>
              <w:fldChar w:fldCharType="separate"/>
            </w:r>
            <w:r>
              <w:rPr>
                <w:noProof/>
              </w:rPr>
              <w:t>17</w:t>
            </w:r>
            <w:r>
              <w:rPr>
                <w:noProof/>
              </w:rPr>
              <w:fldChar w:fldCharType="end"/>
            </w:r>
          </w:hyperlink>
        </w:p>
        <w:p w14:paraId="43D70721" w14:textId="7F960BC6"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53" w:history="1">
            <w:r w:rsidRPr="00D71C72">
              <w:rPr>
                <w:rStyle w:val="Hyperlink"/>
                <w:noProof/>
              </w:rPr>
              <w:t>(a) Abschmelzung des Kundenstamms</w:t>
            </w:r>
            <w:r>
              <w:rPr>
                <w:noProof/>
              </w:rPr>
              <w:tab/>
            </w:r>
            <w:r>
              <w:rPr>
                <w:noProof/>
              </w:rPr>
              <w:fldChar w:fldCharType="begin"/>
            </w:r>
            <w:r>
              <w:rPr>
                <w:noProof/>
              </w:rPr>
              <w:instrText xml:space="preserve"> PAGEREF _Toc222150153 \h </w:instrText>
            </w:r>
            <w:r>
              <w:rPr>
                <w:noProof/>
              </w:rPr>
            </w:r>
            <w:r>
              <w:rPr>
                <w:noProof/>
              </w:rPr>
              <w:fldChar w:fldCharType="separate"/>
            </w:r>
            <w:r>
              <w:rPr>
                <w:noProof/>
              </w:rPr>
              <w:t>17</w:t>
            </w:r>
            <w:r>
              <w:rPr>
                <w:noProof/>
              </w:rPr>
              <w:fldChar w:fldCharType="end"/>
            </w:r>
          </w:hyperlink>
        </w:p>
        <w:p w14:paraId="2B395F25" w14:textId="78DC9417"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54" w:history="1">
            <w:r w:rsidRPr="00D71C72">
              <w:rPr>
                <w:rStyle w:val="Hyperlink"/>
                <w:noProof/>
              </w:rPr>
              <w:t>(b) Abschmelzung der Überrenditen</w:t>
            </w:r>
            <w:r>
              <w:rPr>
                <w:noProof/>
              </w:rPr>
              <w:tab/>
            </w:r>
            <w:r>
              <w:rPr>
                <w:noProof/>
              </w:rPr>
              <w:fldChar w:fldCharType="begin"/>
            </w:r>
            <w:r>
              <w:rPr>
                <w:noProof/>
              </w:rPr>
              <w:instrText xml:space="preserve"> PAGEREF _Toc222150154 \h </w:instrText>
            </w:r>
            <w:r>
              <w:rPr>
                <w:noProof/>
              </w:rPr>
            </w:r>
            <w:r>
              <w:rPr>
                <w:noProof/>
              </w:rPr>
              <w:fldChar w:fldCharType="separate"/>
            </w:r>
            <w:r>
              <w:rPr>
                <w:noProof/>
              </w:rPr>
              <w:t>17</w:t>
            </w:r>
            <w:r>
              <w:rPr>
                <w:noProof/>
              </w:rPr>
              <w:fldChar w:fldCharType="end"/>
            </w:r>
          </w:hyperlink>
        </w:p>
        <w:p w14:paraId="5303E655" w14:textId="0A930840"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55" w:history="1">
            <w:r w:rsidRPr="00D71C72">
              <w:rPr>
                <w:rStyle w:val="Hyperlink"/>
                <w:noProof/>
              </w:rPr>
              <w:t>Schätzung der Abschmelz-Höhe – Scoring-Methode (MuM-Methode)</w:t>
            </w:r>
            <w:r>
              <w:rPr>
                <w:noProof/>
              </w:rPr>
              <w:tab/>
            </w:r>
            <w:r>
              <w:rPr>
                <w:noProof/>
              </w:rPr>
              <w:fldChar w:fldCharType="begin"/>
            </w:r>
            <w:r>
              <w:rPr>
                <w:noProof/>
              </w:rPr>
              <w:instrText xml:space="preserve"> PAGEREF _Toc222150155 \h </w:instrText>
            </w:r>
            <w:r>
              <w:rPr>
                <w:noProof/>
              </w:rPr>
            </w:r>
            <w:r>
              <w:rPr>
                <w:noProof/>
              </w:rPr>
              <w:fldChar w:fldCharType="separate"/>
            </w:r>
            <w:r>
              <w:rPr>
                <w:noProof/>
              </w:rPr>
              <w:t>18</w:t>
            </w:r>
            <w:r>
              <w:rPr>
                <w:noProof/>
              </w:rPr>
              <w:fldChar w:fldCharType="end"/>
            </w:r>
          </w:hyperlink>
        </w:p>
        <w:p w14:paraId="57A82730" w14:textId="13E477C1"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56" w:history="1">
            <w:r w:rsidRPr="00D71C72">
              <w:rPr>
                <w:rStyle w:val="Hyperlink"/>
                <w:noProof/>
              </w:rPr>
              <w:t>Schätzung der Abschmelz-Dauer – IDW Kriterienkatalog</w:t>
            </w:r>
            <w:r>
              <w:rPr>
                <w:noProof/>
              </w:rPr>
              <w:tab/>
            </w:r>
            <w:r>
              <w:rPr>
                <w:noProof/>
              </w:rPr>
              <w:fldChar w:fldCharType="begin"/>
            </w:r>
            <w:r>
              <w:rPr>
                <w:noProof/>
              </w:rPr>
              <w:instrText xml:space="preserve"> PAGEREF _Toc222150156 \h </w:instrText>
            </w:r>
            <w:r>
              <w:rPr>
                <w:noProof/>
              </w:rPr>
            </w:r>
            <w:r>
              <w:rPr>
                <w:noProof/>
              </w:rPr>
              <w:fldChar w:fldCharType="separate"/>
            </w:r>
            <w:r>
              <w:rPr>
                <w:noProof/>
              </w:rPr>
              <w:t>18</w:t>
            </w:r>
            <w:r>
              <w:rPr>
                <w:noProof/>
              </w:rPr>
              <w:fldChar w:fldCharType="end"/>
            </w:r>
          </w:hyperlink>
        </w:p>
        <w:p w14:paraId="68F4543F" w14:textId="3A99FEB5"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57" w:history="1">
            <w:r w:rsidRPr="00D71C72">
              <w:rPr>
                <w:rStyle w:val="Hyperlink"/>
                <w:noProof/>
              </w:rPr>
              <w:t>Sonderfall: Liquidationswert als Wertuntergrenze</w:t>
            </w:r>
            <w:r>
              <w:rPr>
                <w:noProof/>
              </w:rPr>
              <w:tab/>
            </w:r>
            <w:r>
              <w:rPr>
                <w:noProof/>
              </w:rPr>
              <w:fldChar w:fldCharType="begin"/>
            </w:r>
            <w:r>
              <w:rPr>
                <w:noProof/>
              </w:rPr>
              <w:instrText xml:space="preserve"> PAGEREF _Toc222150157 \h </w:instrText>
            </w:r>
            <w:r>
              <w:rPr>
                <w:noProof/>
              </w:rPr>
            </w:r>
            <w:r>
              <w:rPr>
                <w:noProof/>
              </w:rPr>
              <w:fldChar w:fldCharType="separate"/>
            </w:r>
            <w:r>
              <w:rPr>
                <w:noProof/>
              </w:rPr>
              <w:t>19</w:t>
            </w:r>
            <w:r>
              <w:rPr>
                <w:noProof/>
              </w:rPr>
              <w:fldChar w:fldCharType="end"/>
            </w:r>
          </w:hyperlink>
        </w:p>
        <w:p w14:paraId="0050DFBD" w14:textId="1DF091AD"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58" w:history="1">
            <w:r w:rsidRPr="00D71C72">
              <w:rPr>
                <w:rStyle w:val="Hyperlink"/>
                <w:noProof/>
              </w:rPr>
              <w:t>4.4  Size Discount – Größenabschlag bei KMU</w:t>
            </w:r>
            <w:r>
              <w:rPr>
                <w:noProof/>
              </w:rPr>
              <w:tab/>
            </w:r>
            <w:r>
              <w:rPr>
                <w:noProof/>
              </w:rPr>
              <w:fldChar w:fldCharType="begin"/>
            </w:r>
            <w:r>
              <w:rPr>
                <w:noProof/>
              </w:rPr>
              <w:instrText xml:space="preserve"> PAGEREF _Toc222150158 \h </w:instrText>
            </w:r>
            <w:r>
              <w:rPr>
                <w:noProof/>
              </w:rPr>
            </w:r>
            <w:r>
              <w:rPr>
                <w:noProof/>
              </w:rPr>
              <w:fldChar w:fldCharType="separate"/>
            </w:r>
            <w:r>
              <w:rPr>
                <w:noProof/>
              </w:rPr>
              <w:t>20</w:t>
            </w:r>
            <w:r>
              <w:rPr>
                <w:noProof/>
              </w:rPr>
              <w:fldChar w:fldCharType="end"/>
            </w:r>
          </w:hyperlink>
        </w:p>
        <w:p w14:paraId="39A409E3" w14:textId="02B2F997"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59" w:history="1">
            <w:r w:rsidRPr="00D71C72">
              <w:rPr>
                <w:rStyle w:val="Hyperlink"/>
                <w:noProof/>
              </w:rPr>
              <w:t>4.5  KMU-spezifische Anpassungen im Bewertungsmodell</w:t>
            </w:r>
            <w:r>
              <w:rPr>
                <w:noProof/>
              </w:rPr>
              <w:tab/>
            </w:r>
            <w:r>
              <w:rPr>
                <w:noProof/>
              </w:rPr>
              <w:fldChar w:fldCharType="begin"/>
            </w:r>
            <w:r>
              <w:rPr>
                <w:noProof/>
              </w:rPr>
              <w:instrText xml:space="preserve"> PAGEREF _Toc222150159 \h </w:instrText>
            </w:r>
            <w:r>
              <w:rPr>
                <w:noProof/>
              </w:rPr>
            </w:r>
            <w:r>
              <w:rPr>
                <w:noProof/>
              </w:rPr>
              <w:fldChar w:fldCharType="separate"/>
            </w:r>
            <w:r>
              <w:rPr>
                <w:noProof/>
              </w:rPr>
              <w:t>20</w:t>
            </w:r>
            <w:r>
              <w:rPr>
                <w:noProof/>
              </w:rPr>
              <w:fldChar w:fldCharType="end"/>
            </w:r>
          </w:hyperlink>
        </w:p>
        <w:p w14:paraId="651C1418" w14:textId="3EF21A56" w:rsidR="00E862A3" w:rsidRDefault="00E862A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150160" w:history="1">
            <w:r w:rsidRPr="00D71C72">
              <w:rPr>
                <w:rStyle w:val="Hyperlink"/>
                <w:noProof/>
              </w:rPr>
              <w:t>5  Prozess der Unternehmensbewertung</w:t>
            </w:r>
            <w:r>
              <w:rPr>
                <w:noProof/>
              </w:rPr>
              <w:tab/>
            </w:r>
            <w:r>
              <w:rPr>
                <w:noProof/>
              </w:rPr>
              <w:fldChar w:fldCharType="begin"/>
            </w:r>
            <w:r>
              <w:rPr>
                <w:noProof/>
              </w:rPr>
              <w:instrText xml:space="preserve"> PAGEREF _Toc222150160 \h </w:instrText>
            </w:r>
            <w:r>
              <w:rPr>
                <w:noProof/>
              </w:rPr>
            </w:r>
            <w:r>
              <w:rPr>
                <w:noProof/>
              </w:rPr>
              <w:fldChar w:fldCharType="separate"/>
            </w:r>
            <w:r>
              <w:rPr>
                <w:noProof/>
              </w:rPr>
              <w:t>22</w:t>
            </w:r>
            <w:r>
              <w:rPr>
                <w:noProof/>
              </w:rPr>
              <w:fldChar w:fldCharType="end"/>
            </w:r>
          </w:hyperlink>
        </w:p>
        <w:p w14:paraId="013BC1A7" w14:textId="52AF2219"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61" w:history="1">
            <w:r w:rsidRPr="00D71C72">
              <w:rPr>
                <w:rStyle w:val="Hyperlink"/>
                <w:noProof/>
              </w:rPr>
              <w:t>5.1  Aufnahme und Analyse der historischen Zahlen</w:t>
            </w:r>
            <w:r>
              <w:rPr>
                <w:noProof/>
              </w:rPr>
              <w:tab/>
            </w:r>
            <w:r>
              <w:rPr>
                <w:noProof/>
              </w:rPr>
              <w:fldChar w:fldCharType="begin"/>
            </w:r>
            <w:r>
              <w:rPr>
                <w:noProof/>
              </w:rPr>
              <w:instrText xml:space="preserve"> PAGEREF _Toc222150161 \h </w:instrText>
            </w:r>
            <w:r>
              <w:rPr>
                <w:noProof/>
              </w:rPr>
            </w:r>
            <w:r>
              <w:rPr>
                <w:noProof/>
              </w:rPr>
              <w:fldChar w:fldCharType="separate"/>
            </w:r>
            <w:r>
              <w:rPr>
                <w:noProof/>
              </w:rPr>
              <w:t>22</w:t>
            </w:r>
            <w:r>
              <w:rPr>
                <w:noProof/>
              </w:rPr>
              <w:fldChar w:fldCharType="end"/>
            </w:r>
          </w:hyperlink>
        </w:p>
        <w:p w14:paraId="6C80CA7A" w14:textId="7AF8E9B3"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62" w:history="1">
            <w:r w:rsidRPr="00D71C72">
              <w:rPr>
                <w:rStyle w:val="Hyperlink"/>
                <w:noProof/>
              </w:rPr>
              <w:t>5.2  Bereinigung der historischen Zahlen</w:t>
            </w:r>
            <w:r>
              <w:rPr>
                <w:noProof/>
              </w:rPr>
              <w:tab/>
            </w:r>
            <w:r>
              <w:rPr>
                <w:noProof/>
              </w:rPr>
              <w:fldChar w:fldCharType="begin"/>
            </w:r>
            <w:r>
              <w:rPr>
                <w:noProof/>
              </w:rPr>
              <w:instrText xml:space="preserve"> PAGEREF _Toc222150162 \h </w:instrText>
            </w:r>
            <w:r>
              <w:rPr>
                <w:noProof/>
              </w:rPr>
            </w:r>
            <w:r>
              <w:rPr>
                <w:noProof/>
              </w:rPr>
              <w:fldChar w:fldCharType="separate"/>
            </w:r>
            <w:r>
              <w:rPr>
                <w:noProof/>
              </w:rPr>
              <w:t>22</w:t>
            </w:r>
            <w:r>
              <w:rPr>
                <w:noProof/>
              </w:rPr>
              <w:fldChar w:fldCharType="end"/>
            </w:r>
          </w:hyperlink>
        </w:p>
        <w:p w14:paraId="23E4ADF9" w14:textId="0795E0BD"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63" w:history="1">
            <w:r w:rsidRPr="00D71C72">
              <w:rPr>
                <w:rStyle w:val="Hyperlink"/>
                <w:noProof/>
              </w:rPr>
              <w:t>Kalkulatorischer Unternehmerlohn</w:t>
            </w:r>
            <w:r>
              <w:rPr>
                <w:noProof/>
              </w:rPr>
              <w:tab/>
            </w:r>
            <w:r>
              <w:rPr>
                <w:noProof/>
              </w:rPr>
              <w:fldChar w:fldCharType="begin"/>
            </w:r>
            <w:r>
              <w:rPr>
                <w:noProof/>
              </w:rPr>
              <w:instrText xml:space="preserve"> PAGEREF _Toc222150163 \h </w:instrText>
            </w:r>
            <w:r>
              <w:rPr>
                <w:noProof/>
              </w:rPr>
            </w:r>
            <w:r>
              <w:rPr>
                <w:noProof/>
              </w:rPr>
              <w:fldChar w:fldCharType="separate"/>
            </w:r>
            <w:r>
              <w:rPr>
                <w:noProof/>
              </w:rPr>
              <w:t>22</w:t>
            </w:r>
            <w:r>
              <w:rPr>
                <w:noProof/>
              </w:rPr>
              <w:fldChar w:fldCharType="end"/>
            </w:r>
          </w:hyperlink>
        </w:p>
        <w:p w14:paraId="16F2EE05" w14:textId="4D1AA52B"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64" w:history="1">
            <w:r w:rsidRPr="00D71C72">
              <w:rPr>
                <w:rStyle w:val="Hyperlink"/>
                <w:noProof/>
              </w:rPr>
              <w:t>Weitere typische Bereinigungen</w:t>
            </w:r>
            <w:r>
              <w:rPr>
                <w:noProof/>
              </w:rPr>
              <w:tab/>
            </w:r>
            <w:r>
              <w:rPr>
                <w:noProof/>
              </w:rPr>
              <w:fldChar w:fldCharType="begin"/>
            </w:r>
            <w:r>
              <w:rPr>
                <w:noProof/>
              </w:rPr>
              <w:instrText xml:space="preserve"> PAGEREF _Toc222150164 \h </w:instrText>
            </w:r>
            <w:r>
              <w:rPr>
                <w:noProof/>
              </w:rPr>
            </w:r>
            <w:r>
              <w:rPr>
                <w:noProof/>
              </w:rPr>
              <w:fldChar w:fldCharType="separate"/>
            </w:r>
            <w:r>
              <w:rPr>
                <w:noProof/>
              </w:rPr>
              <w:t>23</w:t>
            </w:r>
            <w:r>
              <w:rPr>
                <w:noProof/>
              </w:rPr>
              <w:fldChar w:fldCharType="end"/>
            </w:r>
          </w:hyperlink>
        </w:p>
        <w:p w14:paraId="00A1F104" w14:textId="1F3BA9D3"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65" w:history="1">
            <w:r w:rsidRPr="00D71C72">
              <w:rPr>
                <w:rStyle w:val="Hyperlink"/>
                <w:noProof/>
              </w:rPr>
              <w:t>5.3  Planung der zukünftigen Zahlungsmittelüberschüsse</w:t>
            </w:r>
            <w:r>
              <w:rPr>
                <w:noProof/>
              </w:rPr>
              <w:tab/>
            </w:r>
            <w:r>
              <w:rPr>
                <w:noProof/>
              </w:rPr>
              <w:fldChar w:fldCharType="begin"/>
            </w:r>
            <w:r>
              <w:rPr>
                <w:noProof/>
              </w:rPr>
              <w:instrText xml:space="preserve"> PAGEREF _Toc222150165 \h </w:instrText>
            </w:r>
            <w:r>
              <w:rPr>
                <w:noProof/>
              </w:rPr>
            </w:r>
            <w:r>
              <w:rPr>
                <w:noProof/>
              </w:rPr>
              <w:fldChar w:fldCharType="separate"/>
            </w:r>
            <w:r>
              <w:rPr>
                <w:noProof/>
              </w:rPr>
              <w:t>23</w:t>
            </w:r>
            <w:r>
              <w:rPr>
                <w:noProof/>
              </w:rPr>
              <w:fldChar w:fldCharType="end"/>
            </w:r>
          </w:hyperlink>
        </w:p>
        <w:p w14:paraId="5FA7C699" w14:textId="3B2A2E2A"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66" w:history="1">
            <w:r w:rsidRPr="00D71C72">
              <w:rPr>
                <w:rStyle w:val="Hyperlink"/>
                <w:noProof/>
              </w:rPr>
              <w:t>5.4  Plausibilitätsbeurteilung der Planungen</w:t>
            </w:r>
            <w:r>
              <w:rPr>
                <w:noProof/>
              </w:rPr>
              <w:tab/>
            </w:r>
            <w:r>
              <w:rPr>
                <w:noProof/>
              </w:rPr>
              <w:fldChar w:fldCharType="begin"/>
            </w:r>
            <w:r>
              <w:rPr>
                <w:noProof/>
              </w:rPr>
              <w:instrText xml:space="preserve"> PAGEREF _Toc222150166 \h </w:instrText>
            </w:r>
            <w:r>
              <w:rPr>
                <w:noProof/>
              </w:rPr>
            </w:r>
            <w:r>
              <w:rPr>
                <w:noProof/>
              </w:rPr>
              <w:fldChar w:fldCharType="separate"/>
            </w:r>
            <w:r>
              <w:rPr>
                <w:noProof/>
              </w:rPr>
              <w:t>24</w:t>
            </w:r>
            <w:r>
              <w:rPr>
                <w:noProof/>
              </w:rPr>
              <w:fldChar w:fldCharType="end"/>
            </w:r>
          </w:hyperlink>
        </w:p>
        <w:p w14:paraId="427AB280" w14:textId="30E51349"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67" w:history="1">
            <w:r w:rsidRPr="00D71C72">
              <w:rPr>
                <w:rStyle w:val="Hyperlink"/>
                <w:noProof/>
              </w:rPr>
              <w:t>Interne Plausibilisierung</w:t>
            </w:r>
            <w:r>
              <w:rPr>
                <w:noProof/>
              </w:rPr>
              <w:tab/>
            </w:r>
            <w:r>
              <w:rPr>
                <w:noProof/>
              </w:rPr>
              <w:fldChar w:fldCharType="begin"/>
            </w:r>
            <w:r>
              <w:rPr>
                <w:noProof/>
              </w:rPr>
              <w:instrText xml:space="preserve"> PAGEREF _Toc222150167 \h </w:instrText>
            </w:r>
            <w:r>
              <w:rPr>
                <w:noProof/>
              </w:rPr>
            </w:r>
            <w:r>
              <w:rPr>
                <w:noProof/>
              </w:rPr>
              <w:fldChar w:fldCharType="separate"/>
            </w:r>
            <w:r>
              <w:rPr>
                <w:noProof/>
              </w:rPr>
              <w:t>24</w:t>
            </w:r>
            <w:r>
              <w:rPr>
                <w:noProof/>
              </w:rPr>
              <w:fldChar w:fldCharType="end"/>
            </w:r>
          </w:hyperlink>
        </w:p>
        <w:p w14:paraId="781EB269" w14:textId="2611BC79"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68" w:history="1">
            <w:r w:rsidRPr="00D71C72">
              <w:rPr>
                <w:rStyle w:val="Hyperlink"/>
                <w:noProof/>
              </w:rPr>
              <w:t>Externe Plausibilisierung</w:t>
            </w:r>
            <w:r>
              <w:rPr>
                <w:noProof/>
              </w:rPr>
              <w:tab/>
            </w:r>
            <w:r>
              <w:rPr>
                <w:noProof/>
              </w:rPr>
              <w:fldChar w:fldCharType="begin"/>
            </w:r>
            <w:r>
              <w:rPr>
                <w:noProof/>
              </w:rPr>
              <w:instrText xml:space="preserve"> PAGEREF _Toc222150168 \h </w:instrText>
            </w:r>
            <w:r>
              <w:rPr>
                <w:noProof/>
              </w:rPr>
            </w:r>
            <w:r>
              <w:rPr>
                <w:noProof/>
              </w:rPr>
              <w:fldChar w:fldCharType="separate"/>
            </w:r>
            <w:r>
              <w:rPr>
                <w:noProof/>
              </w:rPr>
              <w:t>24</w:t>
            </w:r>
            <w:r>
              <w:rPr>
                <w:noProof/>
              </w:rPr>
              <w:fldChar w:fldCharType="end"/>
            </w:r>
          </w:hyperlink>
        </w:p>
        <w:p w14:paraId="4CAF6526" w14:textId="4B7EB047"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69" w:history="1">
            <w:r w:rsidRPr="00D71C72">
              <w:rPr>
                <w:rStyle w:val="Hyperlink"/>
                <w:noProof/>
              </w:rPr>
              <w:t>5.5  Bestimmung der übertragbaren Ertragskraft</w:t>
            </w:r>
            <w:r>
              <w:rPr>
                <w:noProof/>
              </w:rPr>
              <w:tab/>
            </w:r>
            <w:r>
              <w:rPr>
                <w:noProof/>
              </w:rPr>
              <w:fldChar w:fldCharType="begin"/>
            </w:r>
            <w:r>
              <w:rPr>
                <w:noProof/>
              </w:rPr>
              <w:instrText xml:space="preserve"> PAGEREF _Toc222150169 \h </w:instrText>
            </w:r>
            <w:r>
              <w:rPr>
                <w:noProof/>
              </w:rPr>
            </w:r>
            <w:r>
              <w:rPr>
                <w:noProof/>
              </w:rPr>
              <w:fldChar w:fldCharType="separate"/>
            </w:r>
            <w:r>
              <w:rPr>
                <w:noProof/>
              </w:rPr>
              <w:t>25</w:t>
            </w:r>
            <w:r>
              <w:rPr>
                <w:noProof/>
              </w:rPr>
              <w:fldChar w:fldCharType="end"/>
            </w:r>
          </w:hyperlink>
        </w:p>
        <w:p w14:paraId="7FC83825" w14:textId="0C8CDE12"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70" w:history="1">
            <w:r w:rsidRPr="00D71C72">
              <w:rPr>
                <w:rStyle w:val="Hyperlink"/>
                <w:noProof/>
              </w:rPr>
              <w:t>5.6  Finalisierung und Gutachten</w:t>
            </w:r>
            <w:r>
              <w:rPr>
                <w:noProof/>
              </w:rPr>
              <w:tab/>
            </w:r>
            <w:r>
              <w:rPr>
                <w:noProof/>
              </w:rPr>
              <w:fldChar w:fldCharType="begin"/>
            </w:r>
            <w:r>
              <w:rPr>
                <w:noProof/>
              </w:rPr>
              <w:instrText xml:space="preserve"> PAGEREF _Toc222150170 \h </w:instrText>
            </w:r>
            <w:r>
              <w:rPr>
                <w:noProof/>
              </w:rPr>
            </w:r>
            <w:r>
              <w:rPr>
                <w:noProof/>
              </w:rPr>
              <w:fldChar w:fldCharType="separate"/>
            </w:r>
            <w:r>
              <w:rPr>
                <w:noProof/>
              </w:rPr>
              <w:t>25</w:t>
            </w:r>
            <w:r>
              <w:rPr>
                <w:noProof/>
              </w:rPr>
              <w:fldChar w:fldCharType="end"/>
            </w:r>
          </w:hyperlink>
        </w:p>
        <w:p w14:paraId="3F1EDF60" w14:textId="37A28C19" w:rsidR="00E862A3" w:rsidRDefault="00E862A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150171" w:history="1">
            <w:r w:rsidRPr="00D71C72">
              <w:rPr>
                <w:rStyle w:val="Hyperlink"/>
                <w:noProof/>
              </w:rPr>
              <w:t>6  Wertsteigerung bei KMU</w:t>
            </w:r>
            <w:r>
              <w:rPr>
                <w:noProof/>
              </w:rPr>
              <w:tab/>
            </w:r>
            <w:r>
              <w:rPr>
                <w:noProof/>
              </w:rPr>
              <w:fldChar w:fldCharType="begin"/>
            </w:r>
            <w:r>
              <w:rPr>
                <w:noProof/>
              </w:rPr>
              <w:instrText xml:space="preserve"> PAGEREF _Toc222150171 \h </w:instrText>
            </w:r>
            <w:r>
              <w:rPr>
                <w:noProof/>
              </w:rPr>
            </w:r>
            <w:r>
              <w:rPr>
                <w:noProof/>
              </w:rPr>
              <w:fldChar w:fldCharType="separate"/>
            </w:r>
            <w:r>
              <w:rPr>
                <w:noProof/>
              </w:rPr>
              <w:t>26</w:t>
            </w:r>
            <w:r>
              <w:rPr>
                <w:noProof/>
              </w:rPr>
              <w:fldChar w:fldCharType="end"/>
            </w:r>
          </w:hyperlink>
        </w:p>
        <w:p w14:paraId="1E6C2A23" w14:textId="081A120F"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72" w:history="1">
            <w:r w:rsidRPr="00D71C72">
              <w:rPr>
                <w:rStyle w:val="Hyperlink"/>
                <w:noProof/>
              </w:rPr>
              <w:t>6.1  Den Bewertungs-Triangel optimieren</w:t>
            </w:r>
            <w:r>
              <w:rPr>
                <w:noProof/>
              </w:rPr>
              <w:tab/>
            </w:r>
            <w:r>
              <w:rPr>
                <w:noProof/>
              </w:rPr>
              <w:fldChar w:fldCharType="begin"/>
            </w:r>
            <w:r>
              <w:rPr>
                <w:noProof/>
              </w:rPr>
              <w:instrText xml:space="preserve"> PAGEREF _Toc222150172 \h </w:instrText>
            </w:r>
            <w:r>
              <w:rPr>
                <w:noProof/>
              </w:rPr>
            </w:r>
            <w:r>
              <w:rPr>
                <w:noProof/>
              </w:rPr>
              <w:fldChar w:fldCharType="separate"/>
            </w:r>
            <w:r>
              <w:rPr>
                <w:noProof/>
              </w:rPr>
              <w:t>26</w:t>
            </w:r>
            <w:r>
              <w:rPr>
                <w:noProof/>
              </w:rPr>
              <w:fldChar w:fldCharType="end"/>
            </w:r>
          </w:hyperlink>
        </w:p>
        <w:p w14:paraId="36994666" w14:textId="33E18407" w:rsidR="00E862A3" w:rsidRDefault="00E862A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2150173" w:history="1">
            <w:r w:rsidRPr="00D71C72">
              <w:rPr>
                <w:rStyle w:val="Hyperlink"/>
                <w:noProof/>
              </w:rPr>
              <w:t>6.2  KMU-Besonderheiten aktiv entgegenwirken</w:t>
            </w:r>
            <w:r>
              <w:rPr>
                <w:noProof/>
              </w:rPr>
              <w:tab/>
            </w:r>
            <w:r>
              <w:rPr>
                <w:noProof/>
              </w:rPr>
              <w:fldChar w:fldCharType="begin"/>
            </w:r>
            <w:r>
              <w:rPr>
                <w:noProof/>
              </w:rPr>
              <w:instrText xml:space="preserve"> PAGEREF _Toc222150173 \h </w:instrText>
            </w:r>
            <w:r>
              <w:rPr>
                <w:noProof/>
              </w:rPr>
            </w:r>
            <w:r>
              <w:rPr>
                <w:noProof/>
              </w:rPr>
              <w:fldChar w:fldCharType="separate"/>
            </w:r>
            <w:r>
              <w:rPr>
                <w:noProof/>
              </w:rPr>
              <w:t>26</w:t>
            </w:r>
            <w:r>
              <w:rPr>
                <w:noProof/>
              </w:rPr>
              <w:fldChar w:fldCharType="end"/>
            </w:r>
          </w:hyperlink>
        </w:p>
        <w:p w14:paraId="312E8E0C" w14:textId="31AEE2DE" w:rsidR="00E862A3" w:rsidRDefault="00E862A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150174" w:history="1">
            <w:r w:rsidRPr="00D71C72">
              <w:rPr>
                <w:rStyle w:val="Hyperlink"/>
                <w:noProof/>
              </w:rPr>
              <w:t>7  Zusammenfassung</w:t>
            </w:r>
            <w:r>
              <w:rPr>
                <w:noProof/>
              </w:rPr>
              <w:tab/>
            </w:r>
            <w:r>
              <w:rPr>
                <w:noProof/>
              </w:rPr>
              <w:fldChar w:fldCharType="begin"/>
            </w:r>
            <w:r>
              <w:rPr>
                <w:noProof/>
              </w:rPr>
              <w:instrText xml:space="preserve"> PAGEREF _Toc222150174 \h </w:instrText>
            </w:r>
            <w:r>
              <w:rPr>
                <w:noProof/>
              </w:rPr>
            </w:r>
            <w:r>
              <w:rPr>
                <w:noProof/>
              </w:rPr>
              <w:fldChar w:fldCharType="separate"/>
            </w:r>
            <w:r>
              <w:rPr>
                <w:noProof/>
              </w:rPr>
              <w:t>28</w:t>
            </w:r>
            <w:r>
              <w:rPr>
                <w:noProof/>
              </w:rPr>
              <w:fldChar w:fldCharType="end"/>
            </w:r>
          </w:hyperlink>
        </w:p>
        <w:p w14:paraId="620C37C7" w14:textId="0DC084A4" w:rsidR="00E862A3" w:rsidRDefault="00E862A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150175" w:history="1">
            <w:r w:rsidRPr="00D71C72">
              <w:rPr>
                <w:rStyle w:val="Hyperlink"/>
                <w:noProof/>
              </w:rPr>
              <w:t>8  Quellenverzeichnis</w:t>
            </w:r>
            <w:r>
              <w:rPr>
                <w:noProof/>
              </w:rPr>
              <w:tab/>
            </w:r>
            <w:r>
              <w:rPr>
                <w:noProof/>
              </w:rPr>
              <w:fldChar w:fldCharType="begin"/>
            </w:r>
            <w:r>
              <w:rPr>
                <w:noProof/>
              </w:rPr>
              <w:instrText xml:space="preserve"> PAGEREF _Toc222150175 \h </w:instrText>
            </w:r>
            <w:r>
              <w:rPr>
                <w:noProof/>
              </w:rPr>
            </w:r>
            <w:r>
              <w:rPr>
                <w:noProof/>
              </w:rPr>
              <w:fldChar w:fldCharType="separate"/>
            </w:r>
            <w:r>
              <w:rPr>
                <w:noProof/>
              </w:rPr>
              <w:t>28</w:t>
            </w:r>
            <w:r>
              <w:rPr>
                <w:noProof/>
              </w:rPr>
              <w:fldChar w:fldCharType="end"/>
            </w:r>
          </w:hyperlink>
        </w:p>
        <w:p w14:paraId="09C4A9D5" w14:textId="6AE48C90" w:rsidR="00E862A3" w:rsidRDefault="00E862A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2150176" w:history="1">
            <w:r w:rsidRPr="00D71C72">
              <w:rPr>
                <w:rStyle w:val="Hyperlink"/>
                <w:noProof/>
              </w:rPr>
              <w:t>9  Über Morgenwert</w:t>
            </w:r>
            <w:r>
              <w:rPr>
                <w:noProof/>
              </w:rPr>
              <w:tab/>
            </w:r>
            <w:r>
              <w:rPr>
                <w:noProof/>
              </w:rPr>
              <w:fldChar w:fldCharType="begin"/>
            </w:r>
            <w:r>
              <w:rPr>
                <w:noProof/>
              </w:rPr>
              <w:instrText xml:space="preserve"> PAGEREF _Toc222150176 \h </w:instrText>
            </w:r>
            <w:r>
              <w:rPr>
                <w:noProof/>
              </w:rPr>
            </w:r>
            <w:r>
              <w:rPr>
                <w:noProof/>
              </w:rPr>
              <w:fldChar w:fldCharType="separate"/>
            </w:r>
            <w:r>
              <w:rPr>
                <w:noProof/>
              </w:rPr>
              <w:t>29</w:t>
            </w:r>
            <w:r>
              <w:rPr>
                <w:noProof/>
              </w:rPr>
              <w:fldChar w:fldCharType="end"/>
            </w:r>
          </w:hyperlink>
        </w:p>
        <w:p w14:paraId="58B4105E" w14:textId="35A447A2"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77" w:history="1">
            <w:r w:rsidRPr="00D71C72">
              <w:rPr>
                <w:rStyle w:val="Hyperlink"/>
                <w:noProof/>
              </w:rPr>
              <w:t>Geschäftsführung</w:t>
            </w:r>
            <w:r>
              <w:rPr>
                <w:noProof/>
              </w:rPr>
              <w:tab/>
            </w:r>
            <w:r>
              <w:rPr>
                <w:noProof/>
              </w:rPr>
              <w:fldChar w:fldCharType="begin"/>
            </w:r>
            <w:r>
              <w:rPr>
                <w:noProof/>
              </w:rPr>
              <w:instrText xml:space="preserve"> PAGEREF _Toc222150177 \h </w:instrText>
            </w:r>
            <w:r>
              <w:rPr>
                <w:noProof/>
              </w:rPr>
            </w:r>
            <w:r>
              <w:rPr>
                <w:noProof/>
              </w:rPr>
              <w:fldChar w:fldCharType="separate"/>
            </w:r>
            <w:r>
              <w:rPr>
                <w:noProof/>
              </w:rPr>
              <w:t>29</w:t>
            </w:r>
            <w:r>
              <w:rPr>
                <w:noProof/>
              </w:rPr>
              <w:fldChar w:fldCharType="end"/>
            </w:r>
          </w:hyperlink>
        </w:p>
        <w:p w14:paraId="0EE4C4A3" w14:textId="56A2FB50" w:rsidR="00E862A3" w:rsidRDefault="00E862A3">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2150178" w:history="1">
            <w:r w:rsidRPr="00D71C72">
              <w:rPr>
                <w:rStyle w:val="Hyperlink"/>
                <w:noProof/>
              </w:rPr>
              <w:t>Kontakt</w:t>
            </w:r>
            <w:r>
              <w:rPr>
                <w:noProof/>
              </w:rPr>
              <w:tab/>
            </w:r>
            <w:r>
              <w:rPr>
                <w:noProof/>
              </w:rPr>
              <w:fldChar w:fldCharType="begin"/>
            </w:r>
            <w:r>
              <w:rPr>
                <w:noProof/>
              </w:rPr>
              <w:instrText xml:space="preserve"> PAGEREF _Toc222150178 \h </w:instrText>
            </w:r>
            <w:r>
              <w:rPr>
                <w:noProof/>
              </w:rPr>
            </w:r>
            <w:r>
              <w:rPr>
                <w:noProof/>
              </w:rPr>
              <w:fldChar w:fldCharType="separate"/>
            </w:r>
            <w:r>
              <w:rPr>
                <w:noProof/>
              </w:rPr>
              <w:t>30</w:t>
            </w:r>
            <w:r>
              <w:rPr>
                <w:noProof/>
              </w:rPr>
              <w:fldChar w:fldCharType="end"/>
            </w:r>
          </w:hyperlink>
        </w:p>
        <w:p w14:paraId="0A57CF81" w14:textId="79585690" w:rsidR="00F50F4B" w:rsidRDefault="00000000">
          <w:r>
            <w:fldChar w:fldCharType="end"/>
          </w:r>
        </w:p>
      </w:sdtContent>
    </w:sdt>
    <w:p w14:paraId="65C03292" w14:textId="77777777" w:rsidR="00F50F4B" w:rsidRDefault="00000000">
      <w:r>
        <w:br w:type="page"/>
      </w:r>
    </w:p>
    <w:p w14:paraId="1960F969" w14:textId="77777777" w:rsidR="00F50F4B" w:rsidRDefault="00F50F4B">
      <w:pPr>
        <w:sectPr w:rsidR="00F50F4B">
          <w:headerReference w:type="default" r:id="rId8"/>
          <w:footerReference w:type="default" r:id="rId9"/>
          <w:pgSz w:w="11906" w:h="16838"/>
          <w:pgMar w:top="1440" w:right="1440" w:bottom="1440" w:left="1440" w:header="708" w:footer="708" w:gutter="0"/>
          <w:cols w:space="720"/>
          <w:docGrid w:linePitch="360"/>
        </w:sectPr>
      </w:pPr>
    </w:p>
    <w:p w14:paraId="384CF9FA" w14:textId="77777777" w:rsidR="00F50F4B" w:rsidRDefault="00000000">
      <w:pPr>
        <w:pStyle w:val="Heading1"/>
      </w:pPr>
      <w:bookmarkStart w:id="0" w:name="_Toc222150117"/>
      <w:r>
        <w:lastRenderedPageBreak/>
        <w:t>1  Einleitung</w:t>
      </w:r>
      <w:bookmarkEnd w:id="0"/>
    </w:p>
    <w:p w14:paraId="7C1EB493" w14:textId="77777777" w:rsidR="00F50F4B" w:rsidRDefault="00000000">
      <w:pPr>
        <w:spacing w:after="200" w:line="360" w:lineRule="auto"/>
        <w:jc w:val="both"/>
      </w:pPr>
      <w:r>
        <w:rPr>
          <w:color w:val="475569"/>
        </w:rPr>
        <w:t>Die Bewertung von kleinen und mittleren Unternehmen (KMU) ist ein Thema, das für Unternehmer, Berater und Investoren gleichermaßen relevant ist. Ob bei einem geplanten Verkauf, einer Nachfolgeregelung, einer steuerlichen Auseinandersetzung oder einer familienrechtlichen Fragestellung – der Wert eines Unternehmens spielt eine zentrale Rolle.</w:t>
      </w:r>
    </w:p>
    <w:p w14:paraId="4102538E" w14:textId="77777777" w:rsidR="00F50F4B" w:rsidRDefault="00000000">
      <w:pPr>
        <w:spacing w:after="200" w:line="360" w:lineRule="auto"/>
        <w:jc w:val="both"/>
      </w:pPr>
      <w:r>
        <w:rPr>
          <w:color w:val="475569"/>
        </w:rPr>
        <w:t>Dennoch zeigt die Praxis, dass die Bewertung von KMU häufig unterschätzt wird. „Die Bewertung von KMU ist doch einfach – kleines Unternehmen = kleine Komplexität“ – so oder ähnlich lautet eine weit verbreitete Annahme. Die Realität zeigt jedoch ein anderes Bild: KMU-Bewertungen sind oft nicht weniger anspruchsvoll als die Bewertung größerer Unternehmen. Aber anders.</w:t>
      </w:r>
    </w:p>
    <w:p w14:paraId="114C34A6" w14:textId="77777777" w:rsidR="00F50F4B" w:rsidRDefault="00000000">
      <w:pPr>
        <w:spacing w:after="200" w:line="360" w:lineRule="auto"/>
        <w:jc w:val="both"/>
      </w:pPr>
      <w:r>
        <w:rPr>
          <w:color w:val="475569"/>
        </w:rPr>
        <w:t>Personenbezug und weitere individuelle Faktoren des Unternehmens schlagen bei KMU stärker durch als bei größeren Unternehmen. Deshalb muss der Einzelfall genau betrachtet werden. Dies erfordert ein fundiertes Verständnis der bewertungstheoretischen Grundlagen und ihrer Anwendung auf die spezifischen Gegebenheiten von KMU.</w:t>
      </w:r>
    </w:p>
    <w:p w14:paraId="338C716A" w14:textId="77777777" w:rsidR="00F50F4B" w:rsidRDefault="00000000">
      <w:pPr>
        <w:spacing w:after="200" w:line="360" w:lineRule="auto"/>
        <w:jc w:val="both"/>
      </w:pPr>
      <w:r>
        <w:rPr>
          <w:color w:val="475569"/>
        </w:rPr>
        <w:t>Das vorliegende White Paper gibt einen strukturierten Überblick über die Grundlagen der Unternehmensbewertung, die gängigen Bewertungsverfahren sowie die Besonderheiten, die bei der Bewertung von KMU zu beachten sind. Es richtet sich an Unternehmer, die verstehen möchten, wie der Wert ihres Unternehmens ermittelt wird, sowie an Berater und Investoren, die mit KMU-spezifischen Fragestellungen konfrontiert sind.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17013146"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2DE7B052" w14:textId="77777777" w:rsidR="00F50F4B" w:rsidRDefault="00000000">
            <w:pPr>
              <w:spacing w:after="80"/>
            </w:pPr>
            <w:r>
              <w:rPr>
                <w:b/>
                <w:bCs/>
                <w:color w:val="F97316"/>
              </w:rPr>
              <w:t>Aufbau dieses White Papers</w:t>
            </w:r>
          </w:p>
          <w:p w14:paraId="2C641833" w14:textId="77777777" w:rsidR="00F50F4B" w:rsidRDefault="00000000">
            <w:pPr>
              <w:spacing w:line="340" w:lineRule="auto"/>
            </w:pPr>
            <w:r>
              <w:rPr>
                <w:color w:val="475569"/>
                <w:sz w:val="21"/>
                <w:szCs w:val="21"/>
              </w:rPr>
              <w:t>Kapitel 2 erläutert die Grundlagen der Unternehmensbewertung: Bewertungsanlässe, die Unterscheidung von Wert und Preis sowie die zentralen Werttreiber. Kapitel 3 gibt einen Überblick über die wichtigsten Bewertungsverfahren inkl. der CAPM/WACC-Systematik. Kapitel 4 widmet sich den Besonderheiten bei KMU, insbesondere der Übertragbarkeit der Ertragskraft, der Abschmelz-Methode und dem Size Discount. Kapitel 5 beschreibt den typischen Prozess einer Unternehmensbewertung. Kapitel 6 zeigt Ansätze zur Wertsteigerung auf.</w:t>
            </w:r>
          </w:p>
        </w:tc>
      </w:tr>
    </w:tbl>
    <w:p w14:paraId="23CC0E9E" w14:textId="77777777" w:rsidR="00F50F4B" w:rsidRDefault="00F50F4B">
      <w:pPr>
        <w:spacing w:after="100"/>
      </w:pPr>
    </w:p>
    <w:p w14:paraId="6659821D" w14:textId="77777777" w:rsidR="00F50F4B" w:rsidRDefault="00000000">
      <w:r>
        <w:br w:type="page"/>
      </w:r>
    </w:p>
    <w:p w14:paraId="12E16DA7" w14:textId="77777777" w:rsidR="00F50F4B" w:rsidRDefault="00000000">
      <w:pPr>
        <w:pStyle w:val="Heading1"/>
      </w:pPr>
      <w:bookmarkStart w:id="1" w:name="_Toc222150118"/>
      <w:r>
        <w:lastRenderedPageBreak/>
        <w:t>2  Grundlagen der Unternehmensbewertung</w:t>
      </w:r>
      <w:bookmarkEnd w:id="1"/>
    </w:p>
    <w:p w14:paraId="6D384E59" w14:textId="77777777" w:rsidR="00F50F4B" w:rsidRDefault="00000000">
      <w:pPr>
        <w:pStyle w:val="Heading2"/>
      </w:pPr>
      <w:bookmarkStart w:id="2" w:name="_Toc222150119"/>
      <w:r>
        <w:t>2.1  Bewertungsanlässe und Funktion des Gutachters</w:t>
      </w:r>
      <w:bookmarkEnd w:id="2"/>
    </w:p>
    <w:p w14:paraId="24228C64" w14:textId="77777777" w:rsidR="00F50F4B" w:rsidRDefault="00000000">
      <w:pPr>
        <w:spacing w:after="200" w:line="360" w:lineRule="auto"/>
        <w:jc w:val="both"/>
      </w:pPr>
      <w:r>
        <w:rPr>
          <w:color w:val="475569"/>
        </w:rPr>
        <w:t>In Theorie, Praxis und Rechtsprechung besteht heute Einigkeit, dass es weder einen „objektiven, allgemeingültigen“ noch den „schlechthin richtigen“ Unternehmenswert gibt (IDW S1, Tz. 13). Vielmehr wird die Abhängigkeit vom jeweiligen Bewertungszweck und der daraus folgenden Funktion des Gutachters herausgestellt.</w:t>
      </w:r>
    </w:p>
    <w:p w14:paraId="5C70AD12" w14:textId="77777777" w:rsidR="00F50F4B" w:rsidRDefault="00000000">
      <w:pPr>
        <w:spacing w:after="200" w:line="360" w:lineRule="auto"/>
        <w:jc w:val="both"/>
      </w:pPr>
      <w:r>
        <w:rPr>
          <w:color w:val="475569"/>
        </w:rPr>
        <w:t>Ob ein subjektiver oder objektivierter Wert zu ermitteln ist, wird durch den Zweck determiniert, zu dem die Bewertung erfolgt. Sie ist abhängig von der Funktion, die der Bewerter einnimmt (IDW S1, Tz. 12).</w:t>
      </w:r>
    </w:p>
    <w:p w14:paraId="69AC7616" w14:textId="77777777" w:rsidR="00F50F4B" w:rsidRDefault="00000000">
      <w:pPr>
        <w:pStyle w:val="Heading3"/>
      </w:pPr>
      <w:bookmarkStart w:id="3" w:name="_Toc222150120"/>
      <w:r>
        <w:t>Bewertungsanlässe im Überblick</w:t>
      </w:r>
      <w:bookmarkEnd w:id="3"/>
    </w:p>
    <w:p w14:paraId="183B0F13" w14:textId="77777777" w:rsidR="00F50F4B" w:rsidRDefault="00000000">
      <w:pPr>
        <w:spacing w:after="200" w:line="360" w:lineRule="auto"/>
        <w:jc w:val="both"/>
      </w:pPr>
      <w:r>
        <w:rPr>
          <w:color w:val="475569"/>
        </w:rPr>
        <w:t>Der Anlass der Bewertung bestimmt den Bewertungszweck, die damit verbundenen methodischen Rahmenbedingungen und Vorgaben für die Bewertung – seien es rechtliche und steuerliche Anforderungen oder berufsständische Empfehlungen.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026"/>
      </w:tblGrid>
      <w:tr w:rsidR="00F50F4B" w14:paraId="3E80213D"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2CBE00A7" w14:textId="77777777" w:rsidR="00F50F4B" w:rsidRDefault="00000000">
            <w:r>
              <w:rPr>
                <w:b/>
                <w:bCs/>
                <w:color w:val="FFFFFF"/>
                <w:sz w:val="20"/>
                <w:szCs w:val="20"/>
              </w:rPr>
              <w:t>Bewertungsanlass</w:t>
            </w:r>
          </w:p>
        </w:tc>
        <w:tc>
          <w:tcPr>
            <w:tcW w:w="250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102BDBB7" w14:textId="77777777" w:rsidR="00F50F4B" w:rsidRDefault="00000000">
            <w:r>
              <w:rPr>
                <w:b/>
                <w:bCs/>
                <w:color w:val="FFFFFF"/>
                <w:sz w:val="20"/>
                <w:szCs w:val="20"/>
              </w:rPr>
              <w:t>Beispiele</w:t>
            </w:r>
          </w:p>
        </w:tc>
        <w:tc>
          <w:tcPr>
            <w:tcW w:w="200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7D98B52C" w14:textId="77777777" w:rsidR="00F50F4B" w:rsidRDefault="00000000">
            <w:r>
              <w:rPr>
                <w:b/>
                <w:bCs/>
                <w:color w:val="FFFFFF"/>
                <w:sz w:val="20"/>
                <w:szCs w:val="20"/>
              </w:rPr>
              <w:t>Funktion</w:t>
            </w:r>
          </w:p>
        </w:tc>
        <w:tc>
          <w:tcPr>
            <w:tcW w:w="2026"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666B53F1" w14:textId="77777777" w:rsidR="00F50F4B" w:rsidRDefault="00000000">
            <w:r>
              <w:rPr>
                <w:b/>
                <w:bCs/>
                <w:color w:val="FFFFFF"/>
                <w:sz w:val="20"/>
                <w:szCs w:val="20"/>
              </w:rPr>
              <w:t>Wertart</w:t>
            </w:r>
          </w:p>
        </w:tc>
      </w:tr>
      <w:tr w:rsidR="00F50F4B" w14:paraId="1B7535C5"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487EF16" w14:textId="77777777" w:rsidR="00F50F4B" w:rsidRDefault="00000000">
            <w:pPr>
              <w:spacing w:line="300" w:lineRule="auto"/>
            </w:pPr>
            <w:r>
              <w:rPr>
                <w:color w:val="475569"/>
                <w:sz w:val="19"/>
                <w:szCs w:val="19"/>
              </w:rPr>
              <w:t>Gesellschaftsrecht</w:t>
            </w:r>
          </w:p>
        </w:tc>
        <w:tc>
          <w:tcPr>
            <w:tcW w:w="2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DEBF53B" w14:textId="77777777" w:rsidR="00F50F4B" w:rsidRDefault="00000000">
            <w:pPr>
              <w:spacing w:line="300" w:lineRule="auto"/>
            </w:pPr>
            <w:r>
              <w:rPr>
                <w:color w:val="475569"/>
                <w:sz w:val="19"/>
                <w:szCs w:val="19"/>
              </w:rPr>
              <w:t>Abfindung, Squeeze-Out, Verschmelzung</w:t>
            </w:r>
          </w:p>
        </w:tc>
        <w:tc>
          <w:tcPr>
            <w:tcW w:w="2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02BDB42" w14:textId="77777777" w:rsidR="00F50F4B" w:rsidRDefault="00000000">
            <w:pPr>
              <w:spacing w:line="300" w:lineRule="auto"/>
            </w:pPr>
            <w:r>
              <w:rPr>
                <w:color w:val="475569"/>
                <w:sz w:val="19"/>
                <w:szCs w:val="19"/>
              </w:rPr>
              <w:t>Neutraler Gutachter</w:t>
            </w:r>
          </w:p>
        </w:tc>
        <w:tc>
          <w:tcPr>
            <w:tcW w:w="20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D875283" w14:textId="77777777" w:rsidR="00F50F4B" w:rsidRDefault="00000000">
            <w:pPr>
              <w:spacing w:line="300" w:lineRule="auto"/>
            </w:pPr>
            <w:r>
              <w:rPr>
                <w:color w:val="475569"/>
                <w:sz w:val="19"/>
                <w:szCs w:val="19"/>
              </w:rPr>
              <w:t>Objektivierter Wert</w:t>
            </w:r>
          </w:p>
        </w:tc>
      </w:tr>
      <w:tr w:rsidR="00F50F4B" w14:paraId="6B316464"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A9C99A9" w14:textId="77777777" w:rsidR="00F50F4B" w:rsidRDefault="00000000">
            <w:pPr>
              <w:spacing w:line="300" w:lineRule="auto"/>
            </w:pPr>
            <w:r>
              <w:rPr>
                <w:color w:val="475569"/>
                <w:sz w:val="19"/>
                <w:szCs w:val="19"/>
              </w:rPr>
              <w:t>Familien- u. Erbrecht</w:t>
            </w:r>
          </w:p>
        </w:tc>
        <w:tc>
          <w:tcPr>
            <w:tcW w:w="2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4BFD317" w14:textId="77777777" w:rsidR="00F50F4B" w:rsidRDefault="00000000">
            <w:pPr>
              <w:spacing w:line="300" w:lineRule="auto"/>
            </w:pPr>
            <w:r>
              <w:rPr>
                <w:color w:val="475569"/>
                <w:sz w:val="19"/>
                <w:szCs w:val="19"/>
              </w:rPr>
              <w:t>Zugewinnausgleich, Erbauseinandersetzung</w:t>
            </w:r>
          </w:p>
        </w:tc>
        <w:tc>
          <w:tcPr>
            <w:tcW w:w="2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E120C5F" w14:textId="77777777" w:rsidR="00F50F4B" w:rsidRDefault="00000000">
            <w:pPr>
              <w:spacing w:line="300" w:lineRule="auto"/>
            </w:pPr>
            <w:r>
              <w:rPr>
                <w:color w:val="475569"/>
                <w:sz w:val="19"/>
                <w:szCs w:val="19"/>
              </w:rPr>
              <w:t>Neutraler Gutachter / Schiedsgutachter</w:t>
            </w:r>
          </w:p>
        </w:tc>
        <w:tc>
          <w:tcPr>
            <w:tcW w:w="20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5716B63" w14:textId="77777777" w:rsidR="00F50F4B" w:rsidRDefault="00000000">
            <w:pPr>
              <w:spacing w:line="300" w:lineRule="auto"/>
            </w:pPr>
            <w:r>
              <w:rPr>
                <w:color w:val="475569"/>
                <w:sz w:val="19"/>
                <w:szCs w:val="19"/>
              </w:rPr>
              <w:t>Objektivierter / Subjektiver Wert</w:t>
            </w:r>
          </w:p>
        </w:tc>
      </w:tr>
      <w:tr w:rsidR="00F50F4B" w14:paraId="4B0884AB"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0E54FB4" w14:textId="77777777" w:rsidR="00F50F4B" w:rsidRDefault="00000000">
            <w:pPr>
              <w:spacing w:line="300" w:lineRule="auto"/>
            </w:pPr>
            <w:r>
              <w:rPr>
                <w:color w:val="475569"/>
                <w:sz w:val="19"/>
                <w:szCs w:val="19"/>
              </w:rPr>
              <w:t>Steuerrecht</w:t>
            </w:r>
          </w:p>
        </w:tc>
        <w:tc>
          <w:tcPr>
            <w:tcW w:w="2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82FA480" w14:textId="77777777" w:rsidR="00F50F4B" w:rsidRDefault="00000000">
            <w:pPr>
              <w:spacing w:line="300" w:lineRule="auto"/>
            </w:pPr>
            <w:r>
              <w:rPr>
                <w:color w:val="475569"/>
                <w:sz w:val="19"/>
                <w:szCs w:val="19"/>
              </w:rPr>
              <w:t>Schenkung- u. Erbschaftsteuer</w:t>
            </w:r>
          </w:p>
        </w:tc>
        <w:tc>
          <w:tcPr>
            <w:tcW w:w="2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6C6A2DC" w14:textId="77777777" w:rsidR="00F50F4B" w:rsidRDefault="00000000">
            <w:pPr>
              <w:spacing w:line="300" w:lineRule="auto"/>
            </w:pPr>
            <w:r>
              <w:rPr>
                <w:color w:val="475569"/>
                <w:sz w:val="19"/>
                <w:szCs w:val="19"/>
              </w:rPr>
              <w:t>Neutraler Gutachter</w:t>
            </w:r>
          </w:p>
        </w:tc>
        <w:tc>
          <w:tcPr>
            <w:tcW w:w="20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D629C06" w14:textId="77777777" w:rsidR="00F50F4B" w:rsidRDefault="00000000">
            <w:pPr>
              <w:spacing w:line="300" w:lineRule="auto"/>
            </w:pPr>
            <w:r>
              <w:rPr>
                <w:color w:val="475569"/>
                <w:sz w:val="19"/>
                <w:szCs w:val="19"/>
              </w:rPr>
              <w:t>Objektivierter Wert</w:t>
            </w:r>
          </w:p>
        </w:tc>
      </w:tr>
      <w:tr w:rsidR="00F50F4B" w14:paraId="3F4D9DD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0D682F1" w14:textId="77777777" w:rsidR="00F50F4B" w:rsidRDefault="00000000">
            <w:pPr>
              <w:spacing w:line="300" w:lineRule="auto"/>
            </w:pPr>
            <w:r>
              <w:rPr>
                <w:color w:val="475569"/>
                <w:sz w:val="19"/>
                <w:szCs w:val="19"/>
              </w:rPr>
              <w:t>Kauf / Verkauf</w:t>
            </w:r>
          </w:p>
        </w:tc>
        <w:tc>
          <w:tcPr>
            <w:tcW w:w="2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06A23D3" w14:textId="77777777" w:rsidR="00F50F4B" w:rsidRDefault="00000000">
            <w:pPr>
              <w:spacing w:line="300" w:lineRule="auto"/>
            </w:pPr>
            <w:r>
              <w:rPr>
                <w:color w:val="475569"/>
                <w:sz w:val="19"/>
                <w:szCs w:val="19"/>
              </w:rPr>
              <w:t>Transaktion, Due Diligence</w:t>
            </w:r>
          </w:p>
        </w:tc>
        <w:tc>
          <w:tcPr>
            <w:tcW w:w="2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2ED5268" w14:textId="77777777" w:rsidR="00F50F4B" w:rsidRDefault="00000000">
            <w:pPr>
              <w:spacing w:line="300" w:lineRule="auto"/>
            </w:pPr>
            <w:r>
              <w:rPr>
                <w:color w:val="475569"/>
                <w:sz w:val="19"/>
                <w:szCs w:val="19"/>
              </w:rPr>
              <w:t>Berater</w:t>
            </w:r>
          </w:p>
        </w:tc>
        <w:tc>
          <w:tcPr>
            <w:tcW w:w="20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57F4A2E" w14:textId="77777777" w:rsidR="00F50F4B" w:rsidRDefault="00000000">
            <w:pPr>
              <w:spacing w:line="300" w:lineRule="auto"/>
            </w:pPr>
            <w:r>
              <w:rPr>
                <w:color w:val="475569"/>
                <w:sz w:val="19"/>
                <w:szCs w:val="19"/>
              </w:rPr>
              <w:t>Subjektiver Wert</w:t>
            </w:r>
          </w:p>
        </w:tc>
      </w:tr>
    </w:tbl>
    <w:p w14:paraId="1FAD978D" w14:textId="77777777" w:rsidR="00F50F4B" w:rsidRDefault="00F50F4B">
      <w:pPr>
        <w:spacing w:after="100"/>
      </w:pPr>
    </w:p>
    <w:p w14:paraId="619BD084" w14:textId="77777777" w:rsidR="00F50F4B" w:rsidRDefault="00000000">
      <w:pPr>
        <w:spacing w:after="200" w:line="360" w:lineRule="auto"/>
        <w:jc w:val="both"/>
      </w:pPr>
      <w:r>
        <w:rPr>
          <w:color w:val="475569"/>
        </w:rPr>
        <w:t>Bei Bewertungsanlässen, bei denen sich die Parteien „auf Augenhöhe“ begegnen, wie bei einer Transaktion, handeln die Parteien im Rahmen ihrer Privatautonomie und können ihre subjektiven Entscheidungswerte frei bestimmen. Bei rechtlich geprägten Bewertungsanlässen liegen dagegen meist Informationsasymmetrien vor. Es wird dabei regelmäßig ein objektivierter Wert ermittelt.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3895BAE9"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319B3F0E" w14:textId="77777777" w:rsidR="00F50F4B" w:rsidRDefault="00000000">
            <w:pPr>
              <w:spacing w:after="80"/>
            </w:pPr>
            <w:r>
              <w:rPr>
                <w:b/>
                <w:bCs/>
                <w:color w:val="F97316"/>
              </w:rPr>
              <w:t>Praxistipp</w:t>
            </w:r>
          </w:p>
          <w:p w14:paraId="2BCED387" w14:textId="77777777" w:rsidR="00F50F4B" w:rsidRDefault="00000000">
            <w:pPr>
              <w:spacing w:line="340" w:lineRule="auto"/>
            </w:pPr>
            <w:r>
              <w:rPr>
                <w:color w:val="475569"/>
                <w:sz w:val="21"/>
                <w:szCs w:val="21"/>
              </w:rPr>
              <w:t>Durch bestimmte Vorgaben für die Bewertung wird bei objektivierten Werten die Bandbreite subjektiver Einschätzungen eingeschränkt, um Fairness und Vergleichbarkeit für die beteiligten Parteien zu gewährleisten. Daher können für dasselbe Unternehmen zum gleichen Zeitpunkt je nach Bewertungsanlass unterschiedliche Unternehmenswerte resultieren.</w:t>
            </w:r>
          </w:p>
        </w:tc>
      </w:tr>
    </w:tbl>
    <w:p w14:paraId="63304074" w14:textId="77777777" w:rsidR="00F50F4B" w:rsidRDefault="00F50F4B">
      <w:pPr>
        <w:spacing w:after="100"/>
      </w:pPr>
    </w:p>
    <w:p w14:paraId="4D258ABD" w14:textId="77777777" w:rsidR="00F50F4B" w:rsidRDefault="00000000">
      <w:pPr>
        <w:pStyle w:val="Heading3"/>
      </w:pPr>
      <w:bookmarkStart w:id="4" w:name="_Toc222150121"/>
      <w:r>
        <w:t>Typisierungen und Objektivierungen des IDW S1 im Überblick</w:t>
      </w:r>
      <w:bookmarkEnd w:id="4"/>
    </w:p>
    <w:p w14:paraId="34486461" w14:textId="77777777" w:rsidR="00F50F4B" w:rsidRDefault="00000000">
      <w:pPr>
        <w:spacing w:after="200" w:line="360" w:lineRule="auto"/>
        <w:jc w:val="both"/>
      </w:pPr>
      <w:r>
        <w:rPr>
          <w:color w:val="475569"/>
        </w:rPr>
        <w:t>Der Bewertungsstandard IDW S1 definiert konkrete Typisierungen, die bestimmen, welche Annahmen bei der Ermittlung eines objektivierten Wertes (Tz. 29–42) zu verwenden sind und wie sich diese von einem subjektiven Entscheidungswert (Tz. 43–48) unterscheiden: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3292"/>
        <w:gridCol w:w="3286"/>
      </w:tblGrid>
      <w:tr w:rsidR="00F50F4B" w14:paraId="06678CF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583FB068" w14:textId="77777777" w:rsidR="00F50F4B" w:rsidRDefault="00000000">
            <w:r>
              <w:rPr>
                <w:b/>
                <w:bCs/>
                <w:color w:val="FFFFFF"/>
                <w:sz w:val="18"/>
                <w:szCs w:val="18"/>
              </w:rPr>
              <w:t>Kriterium</w:t>
            </w:r>
          </w:p>
        </w:tc>
        <w:tc>
          <w:tcPr>
            <w:tcW w:w="3413"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1E5F7773" w14:textId="77777777" w:rsidR="00F50F4B" w:rsidRDefault="00000000">
            <w:r>
              <w:rPr>
                <w:b/>
                <w:bCs/>
                <w:color w:val="FFFFFF"/>
                <w:sz w:val="18"/>
                <w:szCs w:val="18"/>
              </w:rPr>
              <w:t>Objektivierter Wert gem. IDW S1</w:t>
            </w:r>
          </w:p>
        </w:tc>
        <w:tc>
          <w:tcPr>
            <w:tcW w:w="3413"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4F763F4F" w14:textId="77777777" w:rsidR="00F50F4B" w:rsidRDefault="00000000">
            <w:r>
              <w:rPr>
                <w:b/>
                <w:bCs/>
                <w:color w:val="FFFFFF"/>
                <w:sz w:val="18"/>
                <w:szCs w:val="18"/>
              </w:rPr>
              <w:t>Subjektiver Wert gem. IDW S1</w:t>
            </w:r>
          </w:p>
        </w:tc>
      </w:tr>
      <w:tr w:rsidR="00F50F4B" w14:paraId="66363FE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D96F22F" w14:textId="77777777" w:rsidR="00F50F4B" w:rsidRDefault="00000000">
            <w:pPr>
              <w:spacing w:line="300" w:lineRule="auto"/>
            </w:pPr>
            <w:r>
              <w:rPr>
                <w:color w:val="475569"/>
                <w:sz w:val="19"/>
                <w:szCs w:val="19"/>
              </w:rPr>
              <w:t>Unternehmens­enteigner</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2D5DFD9" w14:textId="77777777" w:rsidR="00F50F4B" w:rsidRDefault="00000000">
            <w:pPr>
              <w:spacing w:line="300" w:lineRule="auto"/>
            </w:pPr>
            <w:r>
              <w:rPr>
                <w:color w:val="475569"/>
                <w:sz w:val="19"/>
                <w:szCs w:val="19"/>
              </w:rPr>
              <w:t>Inländische, unbeschränkt steuerpflichtige natürliche Person</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1F95B74" w14:textId="77777777" w:rsidR="00F50F4B" w:rsidRDefault="00000000">
            <w:pPr>
              <w:spacing w:line="300" w:lineRule="auto"/>
            </w:pPr>
            <w:r>
              <w:rPr>
                <w:color w:val="475569"/>
                <w:sz w:val="19"/>
                <w:szCs w:val="19"/>
              </w:rPr>
              <w:t>Konkrete Eigentümerstruktur des Unternehmens, wenn bekannt und sinnvoll anwendbar</w:t>
            </w:r>
          </w:p>
        </w:tc>
      </w:tr>
      <w:tr w:rsidR="00F50F4B" w14:paraId="7AB6000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A3DE3FF" w14:textId="77777777" w:rsidR="00F50F4B" w:rsidRDefault="00000000">
            <w:pPr>
              <w:spacing w:line="300" w:lineRule="auto"/>
            </w:pPr>
            <w:r>
              <w:rPr>
                <w:color w:val="475569"/>
                <w:sz w:val="19"/>
                <w:szCs w:val="19"/>
              </w:rPr>
              <w:t>Abgrenzung des Bewertungs­ob­jekts</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3608321" w14:textId="77777777" w:rsidR="00F50F4B" w:rsidRDefault="00000000">
            <w:pPr>
              <w:spacing w:line="300" w:lineRule="auto"/>
            </w:pPr>
            <w:r>
              <w:rPr>
                <w:color w:val="475569"/>
                <w:sz w:val="19"/>
                <w:szCs w:val="19"/>
              </w:rPr>
              <w:t>Stand-Alone Bewertung; Folgen aus dem Bewertungsanlass werden nicht berücksichtigt</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8936C7E" w14:textId="77777777" w:rsidR="00F50F4B" w:rsidRDefault="00000000">
            <w:pPr>
              <w:spacing w:line="300" w:lineRule="auto"/>
            </w:pPr>
            <w:r>
              <w:rPr>
                <w:color w:val="475569"/>
                <w:sz w:val="19"/>
                <w:szCs w:val="19"/>
              </w:rPr>
              <w:t>Folgen aus dem Bewertungsanlass und weitere externe Beziehungen können berücksichtigt werden</w:t>
            </w:r>
          </w:p>
        </w:tc>
      </w:tr>
      <w:tr w:rsidR="00F50F4B" w14:paraId="428EADF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32B0539" w14:textId="77777777" w:rsidR="00F50F4B" w:rsidRDefault="00000000">
            <w:pPr>
              <w:spacing w:line="300" w:lineRule="auto"/>
            </w:pPr>
            <w:r>
              <w:rPr>
                <w:color w:val="475569"/>
                <w:sz w:val="19"/>
                <w:szCs w:val="19"/>
              </w:rPr>
              <w:t>Unternehmens­konzept</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474340D" w14:textId="77777777" w:rsidR="00F50F4B" w:rsidRDefault="00000000">
            <w:pPr>
              <w:spacing w:line="300" w:lineRule="auto"/>
            </w:pPr>
            <w:r>
              <w:rPr>
                <w:color w:val="475569"/>
                <w:sz w:val="19"/>
                <w:szCs w:val="19"/>
              </w:rPr>
              <w:t>Nur bereits eingeleitete oder hinreichend gut dokumentierte Maßnahmen</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8FD901E" w14:textId="77777777" w:rsidR="00F50F4B" w:rsidRDefault="00000000">
            <w:pPr>
              <w:spacing w:line="300" w:lineRule="auto"/>
            </w:pPr>
            <w:r>
              <w:rPr>
                <w:color w:val="475569"/>
                <w:sz w:val="19"/>
                <w:szCs w:val="19"/>
              </w:rPr>
              <w:t>Alle geplanten oder beabsichtigten Maßnahmen</w:t>
            </w:r>
          </w:p>
        </w:tc>
      </w:tr>
      <w:tr w:rsidR="00F50F4B" w14:paraId="5ACDDFB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6B56347" w14:textId="77777777" w:rsidR="00F50F4B" w:rsidRDefault="00000000">
            <w:pPr>
              <w:spacing w:line="300" w:lineRule="auto"/>
            </w:pPr>
            <w:r>
              <w:rPr>
                <w:color w:val="475569"/>
                <w:sz w:val="19"/>
                <w:szCs w:val="19"/>
              </w:rPr>
              <w:t>Synergie­effekte</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7AE869E" w14:textId="77777777" w:rsidR="00F50F4B" w:rsidRDefault="00000000">
            <w:pPr>
              <w:spacing w:line="300" w:lineRule="auto"/>
            </w:pPr>
            <w:r>
              <w:rPr>
                <w:color w:val="475569"/>
                <w:sz w:val="19"/>
                <w:szCs w:val="19"/>
              </w:rPr>
              <w:t>Nur unechte Synergieeffekte (lassen sich ohne Durchführung der dem Bewertungsanlass zugrunde liegenden Maßnahme realisieren)</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D6F1D8F" w14:textId="77777777" w:rsidR="00F50F4B" w:rsidRDefault="00000000">
            <w:pPr>
              <w:spacing w:line="300" w:lineRule="auto"/>
            </w:pPr>
            <w:r>
              <w:rPr>
                <w:color w:val="475569"/>
                <w:sz w:val="19"/>
                <w:szCs w:val="19"/>
              </w:rPr>
              <w:t>Unechte und echte Synergieeffekte</w:t>
            </w:r>
          </w:p>
        </w:tc>
      </w:tr>
      <w:tr w:rsidR="00F50F4B" w14:paraId="2D3D147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70BAD78" w14:textId="77777777" w:rsidR="00F50F4B" w:rsidRDefault="00000000">
            <w:pPr>
              <w:spacing w:line="300" w:lineRule="auto"/>
            </w:pPr>
            <w:r>
              <w:rPr>
                <w:color w:val="475569"/>
                <w:sz w:val="19"/>
                <w:szCs w:val="19"/>
              </w:rPr>
              <w:t>Finanzierungs- und Ausschüttungs­annahmen</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60AAD76" w14:textId="77777777" w:rsidR="00F50F4B" w:rsidRDefault="00000000">
            <w:pPr>
              <w:spacing w:line="300" w:lineRule="auto"/>
            </w:pPr>
            <w:r>
              <w:rPr>
                <w:color w:val="475569"/>
                <w:sz w:val="19"/>
                <w:szCs w:val="19"/>
              </w:rPr>
              <w:t>Phase 1: individuelles Unternehmenskonzept; Phase 2: typisierte Annahmen (äquivalent zur Alternativanlage)</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2AD4BAD" w14:textId="77777777" w:rsidR="00F50F4B" w:rsidRDefault="00000000">
            <w:pPr>
              <w:spacing w:line="300" w:lineRule="auto"/>
            </w:pPr>
            <w:r>
              <w:rPr>
                <w:color w:val="475569"/>
                <w:sz w:val="19"/>
                <w:szCs w:val="19"/>
              </w:rPr>
              <w:t>Individuelles Unternehmenskonzept</w:t>
            </w:r>
          </w:p>
        </w:tc>
      </w:tr>
      <w:tr w:rsidR="00F50F4B" w14:paraId="44357F2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B464922" w14:textId="77777777" w:rsidR="00F50F4B" w:rsidRDefault="00000000">
            <w:pPr>
              <w:spacing w:line="300" w:lineRule="auto"/>
            </w:pPr>
            <w:r>
              <w:rPr>
                <w:color w:val="475569"/>
                <w:sz w:val="19"/>
                <w:szCs w:val="19"/>
              </w:rPr>
              <w:t>Management­faktoren</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2707085" w14:textId="77777777" w:rsidR="00F50F4B" w:rsidRDefault="00000000">
            <w:pPr>
              <w:spacing w:line="300" w:lineRule="auto"/>
            </w:pPr>
            <w:r>
              <w:rPr>
                <w:color w:val="475569"/>
                <w:sz w:val="19"/>
                <w:szCs w:val="19"/>
              </w:rPr>
              <w:t>Annahme, dass das Management im Unternehmen verbleibt sowie Fremdgeschäftsführer-Fiktion (Gehalt muss bspw. drittvergleichsfähig sein)</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E998FFB" w14:textId="77777777" w:rsidR="00F50F4B" w:rsidRDefault="00000000">
            <w:pPr>
              <w:spacing w:line="300" w:lineRule="auto"/>
            </w:pPr>
            <w:r>
              <w:rPr>
                <w:color w:val="475569"/>
                <w:sz w:val="19"/>
                <w:szCs w:val="19"/>
              </w:rPr>
              <w:t>Berücksichtigung des Managements gemäß individuellen Planungen</w:t>
            </w:r>
          </w:p>
        </w:tc>
      </w:tr>
      <w:tr w:rsidR="00F50F4B" w14:paraId="6E8585A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35BD561" w14:textId="77777777" w:rsidR="00F50F4B" w:rsidRDefault="00000000">
            <w:pPr>
              <w:spacing w:line="300" w:lineRule="auto"/>
            </w:pPr>
            <w:r>
              <w:rPr>
                <w:color w:val="475569"/>
                <w:sz w:val="19"/>
                <w:szCs w:val="19"/>
              </w:rPr>
              <w:t>Ertragsteuer der Unternehmens­enteigner</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515DEC1" w14:textId="77777777" w:rsidR="00F50F4B" w:rsidRDefault="00000000">
            <w:pPr>
              <w:spacing w:line="300" w:lineRule="auto"/>
            </w:pPr>
            <w:r>
              <w:rPr>
                <w:color w:val="475569"/>
                <w:sz w:val="19"/>
                <w:szCs w:val="19"/>
              </w:rPr>
              <w:t>Unternehmerische Bewertungsanlässe: mittelbare Typisierung; Gesetzliche Bewertungsanlässe: unmittelbare Typisierung</w:t>
            </w:r>
          </w:p>
        </w:tc>
        <w:tc>
          <w:tcPr>
            <w:tcW w:w="3413"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30F56E6" w14:textId="77777777" w:rsidR="00F50F4B" w:rsidRDefault="00000000">
            <w:pPr>
              <w:spacing w:line="300" w:lineRule="auto"/>
            </w:pPr>
            <w:r>
              <w:rPr>
                <w:color w:val="475569"/>
                <w:sz w:val="19"/>
                <w:szCs w:val="19"/>
              </w:rPr>
              <w:t>Tatsächliche Steuerbelastung</w:t>
            </w:r>
          </w:p>
        </w:tc>
      </w:tr>
    </w:tbl>
    <w:p w14:paraId="1365382E" w14:textId="77777777" w:rsidR="00F50F4B" w:rsidRDefault="00F50F4B">
      <w:pPr>
        <w:spacing w:after="100"/>
      </w:pPr>
    </w:p>
    <w:p w14:paraId="2D28EE64" w14:textId="77777777" w:rsidR="00F50F4B" w:rsidRDefault="00000000">
      <w:pPr>
        <w:pStyle w:val="Heading2"/>
      </w:pPr>
      <w:bookmarkStart w:id="5" w:name="_Toc222150122"/>
      <w:r>
        <w:t>2.2  Verschiedene Werte für dasselbe Unternehmen</w:t>
      </w:r>
      <w:bookmarkEnd w:id="5"/>
    </w:p>
    <w:p w14:paraId="164E3637" w14:textId="77777777" w:rsidR="00F50F4B" w:rsidRDefault="00000000">
      <w:pPr>
        <w:spacing w:after="200" w:line="360" w:lineRule="auto"/>
        <w:jc w:val="both"/>
      </w:pPr>
      <w:r>
        <w:rPr>
          <w:color w:val="475569"/>
        </w:rPr>
        <w:t xml:space="preserve">Abhängig vom Bewertungsanlass, dem gewählten Verfahren sowie den zugrundeliegenden Annahmen können abweichende Unternehmenswerte für das gleiche Bewertungsobjekt hergeleitet werden. Besondere Regelungen einzelner Bewertungsanlässe – etwa steuerliche Festlegungen, familienrechtliche Berechnungsvorschriften oder schadenersatzrechtliche </w:t>
      </w:r>
      <w:r>
        <w:rPr>
          <w:color w:val="475569"/>
        </w:rPr>
        <w:lastRenderedPageBreak/>
        <w:t>Vorgaben – führen dazu, dass ein Unternehmen zum gleichen Zeitpunkt je nach Bewertungsanlass unterschiedliche Werte aufweisen kann.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764F8507"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5182A52F" w14:textId="77777777" w:rsidR="00F50F4B" w:rsidRDefault="00000000">
            <w:pPr>
              <w:spacing w:after="80"/>
            </w:pPr>
            <w:r>
              <w:rPr>
                <w:b/>
                <w:bCs/>
                <w:color w:val="F97316"/>
              </w:rPr>
              <w:t>Empfehlung</w:t>
            </w:r>
          </w:p>
          <w:p w14:paraId="1C07E7AC" w14:textId="77777777" w:rsidR="00F50F4B" w:rsidRDefault="00000000">
            <w:pPr>
              <w:spacing w:line="340" w:lineRule="auto"/>
            </w:pPr>
            <w:r>
              <w:rPr>
                <w:color w:val="475569"/>
                <w:sz w:val="21"/>
                <w:szCs w:val="21"/>
              </w:rPr>
              <w:t>Insbesondere für vertragliche und (vor-)gerichtliche Auseinandersetzungen empfiehlt es sich, frühzeitig einen erfahrenen Bewertungsexperten hinzuzuziehen, um den richtigen Bewertungsrahmen für den jeweiligen Anlass zu wählen.</w:t>
            </w:r>
          </w:p>
        </w:tc>
      </w:tr>
    </w:tbl>
    <w:p w14:paraId="63AF4BB0" w14:textId="77777777" w:rsidR="00F50F4B" w:rsidRDefault="00F50F4B">
      <w:pPr>
        <w:spacing w:after="100"/>
      </w:pPr>
    </w:p>
    <w:p w14:paraId="56F77960" w14:textId="77777777" w:rsidR="00F50F4B" w:rsidRDefault="00000000">
      <w:pPr>
        <w:pStyle w:val="Heading2"/>
      </w:pPr>
      <w:bookmarkStart w:id="6" w:name="_Toc222150123"/>
      <w:r>
        <w:t>2.3  Wert ist nicht gleich Preis</w:t>
      </w:r>
      <w:bookmarkEnd w:id="6"/>
    </w:p>
    <w:p w14:paraId="6EF83AED" w14:textId="77777777" w:rsidR="00F50F4B" w:rsidRDefault="00000000">
      <w:pPr>
        <w:spacing w:after="200" w:line="360" w:lineRule="auto"/>
        <w:jc w:val="both"/>
      </w:pPr>
      <w:r>
        <w:rPr>
          <w:color w:val="475569"/>
        </w:rPr>
        <w:t>Eine zentrale Erkenntnis der Bewertungstheorie lautet: Der Unternehmenswert ist nicht identisch mit dem Kaufpreis. „Price is what you pay, value is what you get.“</w:t>
      </w:r>
    </w:p>
    <w:p w14:paraId="43F99B3F" w14:textId="77777777" w:rsidR="00F50F4B" w:rsidRDefault="00000000">
      <w:pPr>
        <w:spacing w:after="200" w:line="360" w:lineRule="auto"/>
        <w:jc w:val="both"/>
      </w:pPr>
      <w:r>
        <w:rPr>
          <w:color w:val="475569"/>
        </w:rPr>
        <w:t>Berechnete Werte sind grundsätzlich subjektive Entscheidungswerte (Grenzpreise), da die individuellen Nutzenfunktionen der Wirtschaftssubjekte nicht beobachtbar sind. Gezahlte Kaufpreise sind meist Ergebnisse von Verhandlungsprozessen.</w:t>
      </w:r>
    </w:p>
    <w:p w14:paraId="59C5912F" w14:textId="77777777" w:rsidR="00F50F4B" w:rsidRDefault="00000000">
      <w:pPr>
        <w:pStyle w:val="Heading3"/>
      </w:pPr>
      <w:bookmarkStart w:id="7" w:name="_Toc222150124"/>
      <w:r>
        <w:t>Das Grenzpreis-Konzept</w:t>
      </w:r>
      <w:bookmarkEnd w:id="7"/>
    </w:p>
    <w:p w14:paraId="0B5F94FD" w14:textId="77777777" w:rsidR="00F50F4B" w:rsidRDefault="00000000">
      <w:pPr>
        <w:spacing w:after="200" w:line="360" w:lineRule="auto"/>
        <w:jc w:val="both"/>
      </w:pPr>
      <w:r>
        <w:rPr>
          <w:color w:val="475569"/>
        </w:rPr>
        <w:t>Das Konzept des Grenzpreises stellt den maximalen Preis dar, den Käufer und Verkäufer jeweils zu zahlen bzw. zu akzeptieren bereit sind. Grenzpreise sind von der jeweiligen Nutzenfunktion des Wirtschaftssubjekts und seiner damit in Zusammenhang stehenden Renditeforderung sowie der Zukunftserwartungen für das Bewertungsobjekt abhängig.</w:t>
      </w:r>
    </w:p>
    <w:p w14:paraId="6CE36A60" w14:textId="77777777" w:rsidR="00F50F4B" w:rsidRDefault="00000000">
      <w:pPr>
        <w:pStyle w:val="ListParagraph"/>
        <w:numPr>
          <w:ilvl w:val="0"/>
          <w:numId w:val="2"/>
        </w:numPr>
        <w:spacing w:after="120" w:line="340" w:lineRule="auto"/>
      </w:pPr>
      <w:r>
        <w:rPr>
          <w:color w:val="475569"/>
        </w:rPr>
        <w:t>Der Grenzpreis des Käufers bildet die Obergrenze dessen, was er maximal bereit ist zu zahlen.</w:t>
      </w:r>
    </w:p>
    <w:p w14:paraId="6B74D51E" w14:textId="77777777" w:rsidR="00F50F4B" w:rsidRDefault="00000000">
      <w:pPr>
        <w:pStyle w:val="ListParagraph"/>
        <w:numPr>
          <w:ilvl w:val="0"/>
          <w:numId w:val="2"/>
        </w:numPr>
        <w:spacing w:after="120" w:line="340" w:lineRule="auto"/>
      </w:pPr>
      <w:r>
        <w:rPr>
          <w:color w:val="475569"/>
        </w:rPr>
        <w:t>Der Grenzpreis des Verkäufers bildet die Untergrenze dessen, was er mindestens akzeptieren würde.</w:t>
      </w:r>
    </w:p>
    <w:p w14:paraId="7C20BDA1" w14:textId="77777777" w:rsidR="00F50F4B" w:rsidRDefault="00000000">
      <w:pPr>
        <w:pStyle w:val="ListParagraph"/>
        <w:numPr>
          <w:ilvl w:val="0"/>
          <w:numId w:val="2"/>
        </w:numPr>
        <w:spacing w:after="120" w:line="340" w:lineRule="auto"/>
      </w:pPr>
      <w:r>
        <w:rPr>
          <w:color w:val="475569"/>
        </w:rPr>
        <w:t>Der Einigungsbereich liegt zwischen beiden Grenzpreisen – hier findet die Verhandlung statt.</w:t>
      </w:r>
    </w:p>
    <w:p w14:paraId="0F17D2AF" w14:textId="77777777" w:rsidR="00F50F4B" w:rsidRDefault="00000000">
      <w:pPr>
        <w:spacing w:after="200" w:line="360" w:lineRule="auto"/>
        <w:jc w:val="both"/>
      </w:pPr>
      <w:r>
        <w:rPr>
          <w:color w:val="475569"/>
        </w:rPr>
        <w:t>Weder Verkäufer noch Käufer nennen im Rahmen von Verhandlungen ihren Grenzpreis. Beide werden versuchen, die Gegenseite durch „ihre“ Unternehmenswerte und weitere Argumente zu beeinflussen.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3A257648"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1FFA4D88" w14:textId="77777777" w:rsidR="00F50F4B" w:rsidRDefault="00000000">
            <w:pPr>
              <w:spacing w:after="80"/>
            </w:pPr>
            <w:r>
              <w:rPr>
                <w:b/>
                <w:bCs/>
                <w:color w:val="F97316"/>
              </w:rPr>
              <w:t>Praxistipp</w:t>
            </w:r>
          </w:p>
          <w:p w14:paraId="607D1898" w14:textId="77777777" w:rsidR="00F50F4B" w:rsidRDefault="00000000">
            <w:pPr>
              <w:spacing w:line="340" w:lineRule="auto"/>
            </w:pPr>
            <w:r>
              <w:rPr>
                <w:color w:val="475569"/>
                <w:sz w:val="21"/>
                <w:szCs w:val="21"/>
              </w:rPr>
              <w:t>Der gezahlte Preis ist das Ergebnis einer Verhandlung und kann von den berechneten Unternehmenswerten beider Seiten abweichen – etwa durch ein Machtgefälle im Verhandlungsprozess oder persönliche Umstände der Inhaber.</w:t>
            </w:r>
          </w:p>
        </w:tc>
      </w:tr>
    </w:tbl>
    <w:p w14:paraId="4A3773AF" w14:textId="77777777" w:rsidR="00F50F4B" w:rsidRDefault="00F50F4B">
      <w:pPr>
        <w:spacing w:after="100"/>
      </w:pPr>
    </w:p>
    <w:p w14:paraId="4C5DDE02" w14:textId="77777777" w:rsidR="00F50F4B" w:rsidRDefault="00000000">
      <w:pPr>
        <w:pStyle w:val="Heading2"/>
      </w:pPr>
      <w:bookmarkStart w:id="8" w:name="_Toc222150125"/>
      <w:r>
        <w:lastRenderedPageBreak/>
        <w:t>2.4  Was beeinflusst den Unternehmenswert?</w:t>
      </w:r>
      <w:bookmarkEnd w:id="8"/>
    </w:p>
    <w:p w14:paraId="481ADFF9" w14:textId="77777777" w:rsidR="00F50F4B" w:rsidRDefault="00000000">
      <w:pPr>
        <w:spacing w:after="200" w:line="360" w:lineRule="auto"/>
        <w:jc w:val="both"/>
      </w:pPr>
      <w:r>
        <w:rPr>
          <w:color w:val="475569"/>
        </w:rPr>
        <w:t>Unternehmen dienen der Einkommenserzielung. Bewertungsrelevant sind die Zuflüsse aus dem Unternehmen, die der Unternehmenseigner aufgrund seiner gesellschaftsrechtlichen Position erhält (IDW S1, Tz. 4). Der Wert eines Unternehmens wird allein aus seiner Eigenschaft abgeleitet, finanzielle Überschüsse für die Unternehmenseigner zu erwirtschaften.</w:t>
      </w:r>
    </w:p>
    <w:p w14:paraId="4A0F26DA" w14:textId="77777777" w:rsidR="00F50F4B" w:rsidRDefault="00000000">
      <w:pPr>
        <w:spacing w:after="200" w:line="360" w:lineRule="auto"/>
        <w:jc w:val="both"/>
      </w:pPr>
      <w:r>
        <w:rPr>
          <w:color w:val="475569"/>
        </w:rPr>
        <w:t>Grundsätzlich bestimmen drei zentrale Hebel den Unternehmenswert:</w:t>
      </w:r>
    </w:p>
    <w:p w14:paraId="42525967" w14:textId="77777777" w:rsidR="00F50F4B" w:rsidRDefault="00000000">
      <w:pPr>
        <w:pStyle w:val="ListParagraph"/>
        <w:numPr>
          <w:ilvl w:val="0"/>
          <w:numId w:val="3"/>
        </w:numPr>
        <w:spacing w:after="120" w:line="340" w:lineRule="auto"/>
      </w:pPr>
      <w:r>
        <w:rPr>
          <w:color w:val="475569"/>
        </w:rPr>
        <w:t>Höhe der Zahlungsmittelüberschüsse – Wie hoch sind die erwarteten nachhaltigen Zahlungsmittelüberschüsse, die an die Eigentümer fließen können?</w:t>
      </w:r>
    </w:p>
    <w:p w14:paraId="6C3CA6F2" w14:textId="77777777" w:rsidR="00F50F4B" w:rsidRDefault="00000000">
      <w:pPr>
        <w:pStyle w:val="ListParagraph"/>
        <w:numPr>
          <w:ilvl w:val="0"/>
          <w:numId w:val="3"/>
        </w:numPr>
        <w:spacing w:after="120" w:line="340" w:lineRule="auto"/>
      </w:pPr>
      <w:r>
        <w:rPr>
          <w:color w:val="475569"/>
        </w:rPr>
        <w:t>Zeitschiene – Wie lange können diese Überschüsse erwartet werden? Wie entwickeln sie sich im Zeitablauf?</w:t>
      </w:r>
    </w:p>
    <w:p w14:paraId="6DDD8CA5" w14:textId="77777777" w:rsidR="00F50F4B" w:rsidRDefault="00000000">
      <w:pPr>
        <w:pStyle w:val="ListParagraph"/>
        <w:numPr>
          <w:ilvl w:val="0"/>
          <w:numId w:val="3"/>
        </w:numPr>
        <w:spacing w:after="120" w:line="340" w:lineRule="auto"/>
      </w:pPr>
      <w:r>
        <w:rPr>
          <w:color w:val="475569"/>
        </w:rPr>
        <w:t>Risiko – Wie hoch sind die Risiken der erwarteten Zahlungsmittelüberschüsse?</w:t>
      </w:r>
    </w:p>
    <w:p w14:paraId="67698429" w14:textId="77777777" w:rsidR="00F50F4B" w:rsidRDefault="00F50F4B">
      <w:pPr>
        <w:spacing w:after="100"/>
      </w:pPr>
    </w:p>
    <w:p w14:paraId="55FFFA3A" w14:textId="77777777" w:rsidR="00F50F4B" w:rsidRDefault="00000000">
      <w:pPr>
        <w:spacing w:after="200" w:line="360" w:lineRule="auto"/>
        <w:jc w:val="both"/>
      </w:pPr>
      <w:r>
        <w:rPr>
          <w:color w:val="475569"/>
        </w:rPr>
        <w:t>Jede Maßnahme, die einen dieser drei Faktoren beeinflusst, hat Einfluss auf den Unternehmenswert. Praktische Werthebel können vielfältig sein und hängen stark von den Charakteristika des betrachteten Unternehmens und dessen Wettbewerbsumfeld ab.</w:t>
      </w:r>
    </w:p>
    <w:p w14:paraId="582F5B09" w14:textId="77777777" w:rsidR="00F50F4B" w:rsidRDefault="00000000">
      <w:pPr>
        <w:pStyle w:val="Heading3"/>
      </w:pPr>
      <w:bookmarkStart w:id="9" w:name="_Toc222150126"/>
      <w:r>
        <w:t>Beispielhafte Ansatzpunkte</w:t>
      </w:r>
      <w:bookmarkEnd w:id="9"/>
    </w:p>
    <w:p w14:paraId="2BC44B8D" w14:textId="77777777" w:rsidR="00F50F4B" w:rsidRDefault="00000000">
      <w:pPr>
        <w:pStyle w:val="ListParagraph"/>
        <w:numPr>
          <w:ilvl w:val="0"/>
          <w:numId w:val="2"/>
        </w:numPr>
        <w:spacing w:after="120" w:line="340" w:lineRule="auto"/>
      </w:pPr>
      <w:r>
        <w:rPr>
          <w:color w:val="475569"/>
        </w:rPr>
        <w:t>Maßnahmen für höhere oder länger anhaltende Umsätze</w:t>
      </w:r>
    </w:p>
    <w:p w14:paraId="24932D8D" w14:textId="77777777" w:rsidR="00F50F4B" w:rsidRDefault="00000000">
      <w:pPr>
        <w:pStyle w:val="ListParagraph"/>
        <w:numPr>
          <w:ilvl w:val="0"/>
          <w:numId w:val="2"/>
        </w:numPr>
        <w:spacing w:after="120" w:line="340" w:lineRule="auto"/>
      </w:pPr>
      <w:r>
        <w:rPr>
          <w:color w:val="475569"/>
        </w:rPr>
        <w:t>Preissetzungsmacht oder höhere Umsätze durch Markenstärke</w:t>
      </w:r>
    </w:p>
    <w:p w14:paraId="3D473F15" w14:textId="77777777" w:rsidR="00F50F4B" w:rsidRDefault="00000000">
      <w:pPr>
        <w:pStyle w:val="ListParagraph"/>
        <w:numPr>
          <w:ilvl w:val="0"/>
          <w:numId w:val="2"/>
        </w:numPr>
        <w:spacing w:after="120" w:line="340" w:lineRule="auto"/>
      </w:pPr>
      <w:r>
        <w:rPr>
          <w:color w:val="475569"/>
        </w:rPr>
        <w:t>Langfristige Wettbewerbsvorteile (z. B. Netzwerkeffekte, Patente, Kostenvorteile)</w:t>
      </w:r>
    </w:p>
    <w:p w14:paraId="714BDFB1" w14:textId="77777777" w:rsidR="00F50F4B" w:rsidRDefault="00000000">
      <w:pPr>
        <w:pStyle w:val="ListParagraph"/>
        <w:numPr>
          <w:ilvl w:val="0"/>
          <w:numId w:val="2"/>
        </w:numPr>
        <w:spacing w:after="120" w:line="340" w:lineRule="auto"/>
      </w:pPr>
      <w:r>
        <w:rPr>
          <w:color w:val="475569"/>
        </w:rPr>
        <w:t>Qualität und Nachhaltigkeit des Managements (z. B. Nachfolgeregelungen bei KMU)</w:t>
      </w:r>
    </w:p>
    <w:p w14:paraId="06D18C0E" w14:textId="77777777" w:rsidR="00F50F4B" w:rsidRDefault="00000000">
      <w:pPr>
        <w:pStyle w:val="ListParagraph"/>
        <w:numPr>
          <w:ilvl w:val="0"/>
          <w:numId w:val="2"/>
        </w:numPr>
        <w:spacing w:after="120" w:line="340" w:lineRule="auto"/>
      </w:pPr>
      <w:r>
        <w:rPr>
          <w:color w:val="475569"/>
        </w:rPr>
        <w:t>Reduzierung von Abhängigkeiten (z. B. Personen- und Kundenabhängigkeiten bei KMU)</w:t>
      </w:r>
    </w:p>
    <w:p w14:paraId="2FF6A737" w14:textId="77777777" w:rsidR="00F50F4B" w:rsidRDefault="00000000">
      <w:pPr>
        <w:pStyle w:val="ListParagraph"/>
        <w:numPr>
          <w:ilvl w:val="0"/>
          <w:numId w:val="2"/>
        </w:numPr>
        <w:spacing w:after="120" w:line="340" w:lineRule="auto"/>
      </w:pPr>
      <w:r>
        <w:rPr>
          <w:color w:val="475569"/>
        </w:rPr>
        <w:t>Effizienter Einsatz von Material, Dienstleistern und Personal</w:t>
      </w:r>
    </w:p>
    <w:p w14:paraId="2479B050" w14:textId="77777777" w:rsidR="00F50F4B" w:rsidRDefault="00000000">
      <w:pPr>
        <w:pStyle w:val="ListParagraph"/>
        <w:numPr>
          <w:ilvl w:val="0"/>
          <w:numId w:val="2"/>
        </w:numPr>
        <w:spacing w:after="120" w:line="340" w:lineRule="auto"/>
      </w:pPr>
      <w:r>
        <w:rPr>
          <w:color w:val="475569"/>
        </w:rPr>
        <w:t>Optimierung der Kapitalstruktur und Reduzierung finanzieller Risiken</w:t>
      </w:r>
    </w:p>
    <w:p w14:paraId="6B6DC3E7" w14:textId="77777777" w:rsidR="00F50F4B" w:rsidRDefault="00F50F4B">
      <w:pPr>
        <w:spacing w:after="100"/>
      </w:pPr>
    </w:p>
    <w:p w14:paraId="6D0162C3" w14:textId="77777777" w:rsidR="00F50F4B" w:rsidRDefault="00000000">
      <w:pPr>
        <w:spacing w:after="200" w:line="360" w:lineRule="auto"/>
        <w:jc w:val="both"/>
      </w:pPr>
      <w:r>
        <w:rPr>
          <w:color w:val="475569"/>
        </w:rPr>
        <w:t>Auch weiche Faktoren wie Mitarbeiterzufriedenheit und Unternehmenskultur wirken sich meist mittelbar auf die drei Faktoren aus und beeinflussen dadurch ebenfalls den Unternehmenswert.</w:t>
      </w:r>
    </w:p>
    <w:p w14:paraId="6936B7C4" w14:textId="77777777" w:rsidR="00F50F4B" w:rsidRDefault="00000000">
      <w:pPr>
        <w:pStyle w:val="Heading2"/>
      </w:pPr>
      <w:bookmarkStart w:id="10" w:name="_Toc222150127"/>
      <w:r>
        <w:t>2.5  Zukunft schlägt Vergangenheit</w:t>
      </w:r>
      <w:bookmarkEnd w:id="10"/>
    </w:p>
    <w:p w14:paraId="7334CDD1" w14:textId="77777777" w:rsidR="00F50F4B" w:rsidRDefault="00000000">
      <w:pPr>
        <w:spacing w:after="200" w:line="360" w:lineRule="auto"/>
        <w:jc w:val="both"/>
      </w:pPr>
      <w:r>
        <w:rPr>
          <w:color w:val="475569"/>
        </w:rPr>
        <w:lastRenderedPageBreak/>
        <w:t>„Für das Gewesene gibt der Kaufmann nichts“ – diese alte Kaufmannsweisheit bringt es auf den Punkt. Aber sind erreichte Ergebnisse nicht viel handfester als Zukunftsprognosen?</w:t>
      </w:r>
    </w:p>
    <w:p w14:paraId="4BC8AF2E" w14:textId="77777777" w:rsidR="00F50F4B" w:rsidRDefault="00000000">
      <w:pPr>
        <w:spacing w:after="200" w:line="360" w:lineRule="auto"/>
        <w:jc w:val="both"/>
      </w:pPr>
      <w:r>
        <w:rPr>
          <w:color w:val="475569"/>
        </w:rPr>
        <w:t>Dieser Einwand kommt regelmäßig in Bewertungsprojekten auf. Die Logik scheint auf den ersten Blick einleuchtend: Vergangenheitsergebnisse sind „echt“, da wirklich erreicht, messbar und dokumentiert. Die Zukunftsplanung dagegen? Oft ein eher gut begründeter Blick in die Glaskugel.</w:t>
      </w:r>
    </w:p>
    <w:p w14:paraId="6CF5530C" w14:textId="77777777" w:rsidR="00F50F4B" w:rsidRDefault="00000000">
      <w:pPr>
        <w:pStyle w:val="Heading3"/>
      </w:pPr>
      <w:bookmarkStart w:id="11" w:name="_Toc222150128"/>
      <w:r>
        <w:t>Das Vergangenheits-Paradox</w:t>
      </w:r>
      <w:bookmarkEnd w:id="11"/>
    </w:p>
    <w:p w14:paraId="1A7FDD50" w14:textId="77777777" w:rsidR="00F50F4B" w:rsidRDefault="00000000">
      <w:pPr>
        <w:spacing w:after="200" w:line="360" w:lineRule="auto"/>
        <w:jc w:val="both"/>
      </w:pPr>
      <w:r>
        <w:rPr>
          <w:color w:val="475569"/>
        </w:rPr>
        <w:t>Diese Denkweise kann jedoch in die Irre führen. Denn auch wer lediglich Vergangenheitswerte für die Bewertung heranzieht, macht eine entscheidende – oft unbewusste – Zukunftsannahme: Er unterstellt implizit, dass die Zukunft so verläuft wie der herangezogene Ausschnitt der Vergangenheit. Das ist eher eine sehr spezifische Zukunftsprognose und für jeden Einzelfall auch eine mehr oder weniger gewagte These.</w:t>
      </w:r>
    </w:p>
    <w:p w14:paraId="3659F38B" w14:textId="77777777" w:rsidR="00F50F4B" w:rsidRDefault="00000000">
      <w:pPr>
        <w:spacing w:after="200" w:line="360" w:lineRule="auto"/>
        <w:jc w:val="both"/>
      </w:pPr>
      <w:r>
        <w:rPr>
          <w:color w:val="475569"/>
        </w:rPr>
        <w:t>IDW S1 (Tz. 5) stellt klar: Der Wert eines Unternehmens bestimmt sich unter der Voraussetzung ausschließlich finanzieller Ziele durch den Barwert der mit dem Eigentum an dem Unternehmen verbundenen Nettozuflüsse an die Unternehmenseigner. Die Vergangenheit dient dabei lediglich als Ausgangspunkt der Analyse (Tz. 72–74).</w:t>
      </w:r>
    </w:p>
    <w:p w14:paraId="33E0FF27" w14:textId="77777777" w:rsidR="00F50F4B" w:rsidRDefault="00000000">
      <w:pPr>
        <w:spacing w:after="200" w:line="360" w:lineRule="auto"/>
        <w:jc w:val="both"/>
      </w:pPr>
      <w:r>
        <w:rPr>
          <w:color w:val="475569"/>
        </w:rPr>
        <w:t>Für ein in der Vergangenheit erfolgreiches Unternehmen, das jedoch seine wichtigsten Wettbewerbsvorteile verloren hat, würde kein Investor einen Preis basierend allein auf den tatsächlich erreichten Ergebnissen der Vergangenheit bezahlen – sondern die Zukunftspotenziale einschätzen, wie sie sich zum Bewertungszeitpunkt darstellen.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072C40D9"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59A944F9" w14:textId="77777777" w:rsidR="00F50F4B" w:rsidRDefault="00000000">
            <w:pPr>
              <w:spacing w:after="80"/>
            </w:pPr>
            <w:r>
              <w:rPr>
                <w:b/>
                <w:bCs/>
                <w:color w:val="F97316"/>
              </w:rPr>
              <w:t>Kernaussage</w:t>
            </w:r>
          </w:p>
          <w:p w14:paraId="4DC7DB13" w14:textId="77777777" w:rsidR="00F50F4B" w:rsidRDefault="00000000">
            <w:pPr>
              <w:spacing w:line="340" w:lineRule="auto"/>
            </w:pPr>
            <w:r>
              <w:rPr>
                <w:color w:val="475569"/>
                <w:sz w:val="21"/>
                <w:szCs w:val="21"/>
              </w:rPr>
              <w:t>Die Vergangenheit hat ihren wichtigen Platz in der Unternehmensbewertung – aber als Ausgangspunkt der Überlegungen zur zukünftigen Entwicklung und Plausibilisierung der Zukunftsplanung, nicht als deren Ersatz. Zukunftsprognosen sind herausfordernd – in der Unternehmensbewertung sind sie jedoch unverzichtbar.</w:t>
            </w:r>
          </w:p>
        </w:tc>
      </w:tr>
    </w:tbl>
    <w:p w14:paraId="47C0693F" w14:textId="77777777" w:rsidR="00F50F4B" w:rsidRDefault="00F50F4B">
      <w:pPr>
        <w:spacing w:after="100"/>
      </w:pPr>
    </w:p>
    <w:p w14:paraId="3B927A5E" w14:textId="77777777" w:rsidR="00F50F4B" w:rsidRDefault="00000000">
      <w:r>
        <w:br w:type="page"/>
      </w:r>
    </w:p>
    <w:p w14:paraId="7D6D31E0" w14:textId="77777777" w:rsidR="00F50F4B" w:rsidRDefault="00000000">
      <w:pPr>
        <w:pStyle w:val="Heading1"/>
      </w:pPr>
      <w:bookmarkStart w:id="12" w:name="_Toc222150129"/>
      <w:r>
        <w:lastRenderedPageBreak/>
        <w:t>3  Bewertungsverfahren im Überblick</w:t>
      </w:r>
      <w:bookmarkEnd w:id="12"/>
    </w:p>
    <w:p w14:paraId="611F5463" w14:textId="77777777" w:rsidR="00F50F4B" w:rsidRDefault="00000000">
      <w:pPr>
        <w:pStyle w:val="Heading2"/>
      </w:pPr>
      <w:bookmarkStart w:id="13" w:name="_Toc222150130"/>
      <w:r>
        <w:t>3.1  Systematisierung der Verfahren</w:t>
      </w:r>
      <w:bookmarkEnd w:id="13"/>
    </w:p>
    <w:p w14:paraId="09F5371B" w14:textId="77777777" w:rsidR="00F50F4B" w:rsidRDefault="00000000">
      <w:pPr>
        <w:spacing w:after="200" w:line="360" w:lineRule="auto"/>
        <w:jc w:val="both"/>
      </w:pPr>
      <w:r>
        <w:rPr>
          <w:color w:val="475569"/>
        </w:rPr>
        <w:t>Die Verfahren der Unternehmensbewertung lassen sich in drei Hauptkategorien einteilen:</w:t>
      </w:r>
    </w:p>
    <w:p w14:paraId="1F4FB1D2" w14:textId="77777777" w:rsidR="00F50F4B" w:rsidRDefault="00000000">
      <w:pPr>
        <w:pStyle w:val="ListParagraph"/>
        <w:numPr>
          <w:ilvl w:val="0"/>
          <w:numId w:val="3"/>
        </w:numPr>
        <w:spacing w:after="120" w:line="340" w:lineRule="auto"/>
      </w:pPr>
      <w:r>
        <w:rPr>
          <w:color w:val="475569"/>
        </w:rPr>
        <w:t>Zukunftserfolgsverfahren (Ertragswert- und DCF-Verfahren)</w:t>
      </w:r>
    </w:p>
    <w:p w14:paraId="4F6582CE" w14:textId="77777777" w:rsidR="00F50F4B" w:rsidRDefault="00000000">
      <w:pPr>
        <w:pStyle w:val="ListParagraph"/>
        <w:numPr>
          <w:ilvl w:val="0"/>
          <w:numId w:val="3"/>
        </w:numPr>
        <w:spacing w:after="120" w:line="340" w:lineRule="auto"/>
      </w:pPr>
      <w:r>
        <w:rPr>
          <w:color w:val="475569"/>
        </w:rPr>
        <w:t>Marktpreisorientierte Bewertungsverfahren (Multiplikator-Verfahren)</w:t>
      </w:r>
    </w:p>
    <w:p w14:paraId="0457F78D" w14:textId="77777777" w:rsidR="00F50F4B" w:rsidRDefault="00000000">
      <w:pPr>
        <w:pStyle w:val="ListParagraph"/>
        <w:numPr>
          <w:ilvl w:val="0"/>
          <w:numId w:val="3"/>
        </w:numPr>
        <w:spacing w:after="120" w:line="340" w:lineRule="auto"/>
      </w:pPr>
      <w:r>
        <w:rPr>
          <w:color w:val="475569"/>
        </w:rPr>
        <w:t>Substanzwertverfahren (Liquidationswert und Wiederbeschaffungswert)</w:t>
      </w:r>
    </w:p>
    <w:p w14:paraId="3DC0801D" w14:textId="77777777" w:rsidR="00F50F4B" w:rsidRDefault="00F50F4B">
      <w:pPr>
        <w:spacing w:after="100"/>
      </w:pPr>
    </w:p>
    <w:p w14:paraId="1CFFB29A" w14:textId="77777777" w:rsidR="00F50F4B" w:rsidRDefault="00000000">
      <w:pPr>
        <w:spacing w:after="200" w:line="360" w:lineRule="auto"/>
        <w:jc w:val="both"/>
      </w:pPr>
      <w:r>
        <w:rPr>
          <w:color w:val="475569"/>
        </w:rPr>
        <w:t>Allgemein anerkannt ist, Unternehmen im Rahmen eines Gesamtbewertungsverfahrens anhand der realistischerweise zu erzielenden finanziellen Überschüsse zu bewerten (IDW S1, Tz. 4–7). Das Multiplikator-Verfahren wird als Plausibilisierung des DCF- oder Ertragswertverfahrens sowie als Annäherung an am Markt erzielbare Preise herangezogen (Tz. 143–144).</w:t>
      </w:r>
    </w:p>
    <w:p w14:paraId="18737E29" w14:textId="77777777" w:rsidR="00F50F4B" w:rsidRDefault="00000000">
      <w:pPr>
        <w:pStyle w:val="Heading2"/>
      </w:pPr>
      <w:bookmarkStart w:id="14" w:name="_Toc222150131"/>
      <w:r>
        <w:t>3.2  Ertragswert- und DCF-Verfahren</w:t>
      </w:r>
      <w:bookmarkEnd w:id="14"/>
    </w:p>
    <w:p w14:paraId="21BBB7EC" w14:textId="77777777" w:rsidR="00F50F4B" w:rsidRDefault="00000000">
      <w:pPr>
        <w:spacing w:after="200" w:line="360" w:lineRule="auto"/>
        <w:jc w:val="both"/>
      </w:pPr>
      <w:r>
        <w:rPr>
          <w:color w:val="475569"/>
        </w:rPr>
        <w:t>Die Zukunftserfolgsverfahren werden nach Brutto- und Nettoverfahren unterschieden (IDW S1, Tz. 101–102).</w:t>
      </w:r>
    </w:p>
    <w:p w14:paraId="398BA816" w14:textId="77777777" w:rsidR="00F50F4B" w:rsidRDefault="00000000">
      <w:pPr>
        <w:spacing w:after="200" w:line="360" w:lineRule="auto"/>
        <w:jc w:val="both"/>
      </w:pPr>
      <w:r>
        <w:rPr>
          <w:color w:val="475569"/>
        </w:rPr>
        <w:t>Bei den Bruttoverfahren (Entity-Ansatz) wird zunächst der Wert des Gesamtkapitals bestimmt. Dies geschieht durch Diskontierung der finanziellen Überschüsse, die sowohl Fremd- als auch Eigenkapitalgebern zustehen (Free Cashflow to the Firm). Durch Abzug des Marktwerts des verzinslichen Fremdkapitals wird der Wert des Eigenkapitals ermittelt. Zu den Bruttoverfahren gehören das WACC-, das APV- und das TCF-Verfahren.</w:t>
      </w:r>
    </w:p>
    <w:p w14:paraId="3DBC152E" w14:textId="77777777" w:rsidR="00F50F4B" w:rsidRDefault="00000000">
      <w:pPr>
        <w:spacing w:after="200" w:line="360" w:lineRule="auto"/>
        <w:jc w:val="both"/>
      </w:pPr>
      <w:r>
        <w:rPr>
          <w:color w:val="475569"/>
        </w:rPr>
        <w:t>Bei den Nettoverfahren wird der Wert des Eigenkapitals direkt durch Diskontierung der den Unternehmenseignern zufließenden künftigen finanziellen Überschüsse ermittelt. Zu den Nettoverfahren gehören das Ertragswertverfahren und das Flow-to-Equity-Verfahren.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1424760E"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73856099" w14:textId="77777777" w:rsidR="00F50F4B" w:rsidRDefault="00000000">
            <w:pPr>
              <w:spacing w:after="80"/>
            </w:pPr>
            <w:r>
              <w:rPr>
                <w:b/>
                <w:bCs/>
                <w:color w:val="F97316"/>
              </w:rPr>
              <w:t>Wichtig</w:t>
            </w:r>
          </w:p>
          <w:p w14:paraId="5ED7B415" w14:textId="77777777" w:rsidR="00F50F4B" w:rsidRDefault="00000000">
            <w:pPr>
              <w:spacing w:line="340" w:lineRule="auto"/>
            </w:pPr>
            <w:r>
              <w:rPr>
                <w:color w:val="475569"/>
                <w:sz w:val="21"/>
                <w:szCs w:val="21"/>
              </w:rPr>
              <w:t>Das Ertragswertverfahren und die DCF-Verfahren beruhen auf der gleichen konzeptionellen Grundlage und führen bei identischen Annahmen zum gleichen Ergebnis (IDW S1, Tz. 101). Sie können daher grundsätzlich als gleichwertige Methoden angesehen werden.</w:t>
            </w:r>
          </w:p>
        </w:tc>
      </w:tr>
    </w:tbl>
    <w:p w14:paraId="55D1A431" w14:textId="77777777" w:rsidR="00F50F4B" w:rsidRDefault="00F50F4B">
      <w:pPr>
        <w:spacing w:after="100"/>
      </w:pPr>
    </w:p>
    <w:p w14:paraId="6694D2FA" w14:textId="77777777" w:rsidR="00F50F4B" w:rsidRDefault="00000000">
      <w:pPr>
        <w:pStyle w:val="Heading3"/>
      </w:pPr>
      <w:bookmarkStart w:id="15" w:name="_Toc222150132"/>
      <w:r>
        <w:t>Bewertungsformel und Kapitalisierungszins</w:t>
      </w:r>
      <w:bookmarkEnd w:id="15"/>
    </w:p>
    <w:p w14:paraId="766E9F3A" w14:textId="77777777" w:rsidR="00F50F4B" w:rsidRDefault="00000000">
      <w:pPr>
        <w:spacing w:after="200" w:line="360" w:lineRule="auto"/>
        <w:jc w:val="both"/>
      </w:pPr>
      <w:r>
        <w:rPr>
          <w:color w:val="475569"/>
        </w:rPr>
        <w:lastRenderedPageBreak/>
        <w:t>Der Unternehmenswert wird determiniert durch die erwirtschafteten Überschüsse über den bewertungsrelevanten Zeitraum, nachdem alle beteiligten Parteien marktgerecht entlohnt sind, und die Verzinsung des eingesetzten Kapitals (Kapitalkosten).</w:t>
      </w:r>
    </w:p>
    <w:p w14:paraId="0CDF6F2E" w14:textId="77777777" w:rsidR="00F50F4B" w:rsidRDefault="00000000">
      <w:pPr>
        <w:spacing w:after="200" w:line="360" w:lineRule="auto"/>
        <w:jc w:val="both"/>
      </w:pPr>
      <w:r>
        <w:rPr>
          <w:color w:val="475569"/>
        </w:rPr>
        <w:t>Der Kapitalisierungszins wird typischerweise über das Capital Asset Pricing Model (CAPM) hergeleitet (IDW S1, Tz. 92, 118–122). Im Rahmen des DCF-WACC-Verfahrens werden dabei die Eigenkapitalkosten und die Fremdkapitalkosten zu einem gewichteten durchschnittlichen Kapitalkostensatz (WACC) zusammengeführt (Tz. 124–134).</w:t>
      </w:r>
    </w:p>
    <w:p w14:paraId="72B8FBF8" w14:textId="77777777" w:rsidR="00F50F4B" w:rsidRDefault="00000000">
      <w:pPr>
        <w:pStyle w:val="Heading3"/>
      </w:pPr>
      <w:bookmarkStart w:id="16" w:name="_Toc222150133"/>
      <w:r>
        <w:t>Berechnung der Zahlungsmittelüberschüsse (vereinfacht)</w:t>
      </w:r>
      <w:bookmarkEnd w:id="16"/>
    </w:p>
    <w:p w14:paraId="3DA74524" w14:textId="77777777" w:rsidR="00F50F4B" w:rsidRDefault="00000000">
      <w:pPr>
        <w:spacing w:after="200" w:line="360" w:lineRule="auto"/>
        <w:jc w:val="both"/>
      </w:pPr>
      <w:r>
        <w:rPr>
          <w:color w:val="475569"/>
        </w:rPr>
        <w:t>Die freien Cashflows (FCFF) ergeben sich vereinfacht wie folgt:</w:t>
      </w:r>
    </w:p>
    <w:p w14:paraId="55144D38" w14:textId="77777777" w:rsidR="00F50F4B" w:rsidRDefault="00000000">
      <w:pPr>
        <w:pStyle w:val="ListParagraph"/>
        <w:numPr>
          <w:ilvl w:val="0"/>
          <w:numId w:val="2"/>
        </w:numPr>
        <w:spacing w:after="120" w:line="340" w:lineRule="auto"/>
      </w:pPr>
      <w:r>
        <w:rPr>
          <w:color w:val="475569"/>
        </w:rPr>
        <w:t>Operatives Ergebnis (EBIT)</w:t>
      </w:r>
    </w:p>
    <w:p w14:paraId="06E340B4" w14:textId="77777777" w:rsidR="00F50F4B" w:rsidRDefault="00000000">
      <w:pPr>
        <w:pStyle w:val="ListParagraph"/>
        <w:numPr>
          <w:ilvl w:val="0"/>
          <w:numId w:val="2"/>
        </w:numPr>
        <w:spacing w:after="120" w:line="340" w:lineRule="auto"/>
      </w:pPr>
      <w:r>
        <w:rPr>
          <w:color w:val="475569"/>
        </w:rPr>
        <w:t>– Hypothetischer Steueraufwand auf EBIT</w:t>
      </w:r>
    </w:p>
    <w:p w14:paraId="5735E752" w14:textId="77777777" w:rsidR="00F50F4B" w:rsidRDefault="00000000">
      <w:pPr>
        <w:pStyle w:val="ListParagraph"/>
        <w:numPr>
          <w:ilvl w:val="0"/>
          <w:numId w:val="2"/>
        </w:numPr>
        <w:spacing w:after="120" w:line="340" w:lineRule="auto"/>
      </w:pPr>
      <w:r>
        <w:rPr>
          <w:color w:val="475569"/>
        </w:rPr>
        <w:t>= NOPAT</w:t>
      </w:r>
    </w:p>
    <w:p w14:paraId="49F81BE4" w14:textId="77777777" w:rsidR="00F50F4B" w:rsidRDefault="00000000">
      <w:pPr>
        <w:pStyle w:val="ListParagraph"/>
        <w:numPr>
          <w:ilvl w:val="0"/>
          <w:numId w:val="2"/>
        </w:numPr>
        <w:spacing w:after="120" w:line="340" w:lineRule="auto"/>
      </w:pPr>
      <w:r>
        <w:rPr>
          <w:color w:val="475569"/>
        </w:rPr>
        <w:t>+ Abschreibungen</w:t>
      </w:r>
    </w:p>
    <w:p w14:paraId="4E52D145" w14:textId="77777777" w:rsidR="00F50F4B" w:rsidRDefault="00000000">
      <w:pPr>
        <w:pStyle w:val="ListParagraph"/>
        <w:numPr>
          <w:ilvl w:val="0"/>
          <w:numId w:val="2"/>
        </w:numPr>
        <w:spacing w:after="120" w:line="340" w:lineRule="auto"/>
      </w:pPr>
      <w:r>
        <w:rPr>
          <w:color w:val="475569"/>
        </w:rPr>
        <w:t>– Nettoinvestitionen Anlagevermögen</w:t>
      </w:r>
    </w:p>
    <w:p w14:paraId="5A331CEE" w14:textId="77777777" w:rsidR="00F50F4B" w:rsidRDefault="00000000">
      <w:pPr>
        <w:pStyle w:val="ListParagraph"/>
        <w:numPr>
          <w:ilvl w:val="0"/>
          <w:numId w:val="2"/>
        </w:numPr>
        <w:spacing w:after="120" w:line="340" w:lineRule="auto"/>
      </w:pPr>
      <w:r>
        <w:rPr>
          <w:color w:val="475569"/>
        </w:rPr>
        <w:t>– Nettoinvestitionen Umlaufvermögen</w:t>
      </w:r>
    </w:p>
    <w:p w14:paraId="75E9C0A2" w14:textId="77777777" w:rsidR="00F50F4B" w:rsidRDefault="00000000">
      <w:pPr>
        <w:pStyle w:val="ListParagraph"/>
        <w:numPr>
          <w:ilvl w:val="0"/>
          <w:numId w:val="2"/>
        </w:numPr>
        <w:spacing w:after="120" w:line="340" w:lineRule="auto"/>
      </w:pPr>
      <w:r>
        <w:rPr>
          <w:color w:val="475569"/>
        </w:rPr>
        <w:t>= Freier Cashflow (FCFF)</w:t>
      </w:r>
    </w:p>
    <w:p w14:paraId="238FEF74" w14:textId="77777777" w:rsidR="00F50F4B" w:rsidRDefault="00F50F4B">
      <w:pPr>
        <w:spacing w:after="100"/>
      </w:pPr>
    </w:p>
    <w:p w14:paraId="63E1FE7E" w14:textId="77777777" w:rsidR="00F50F4B" w:rsidRDefault="00000000">
      <w:pPr>
        <w:pStyle w:val="Heading3"/>
      </w:pPr>
      <w:bookmarkStart w:id="17" w:name="_Toc222150134"/>
      <w:r>
        <w:t>Kapitalisierungszins (CAPM/WACC)</w:t>
      </w:r>
      <w:bookmarkEnd w:id="17"/>
    </w:p>
    <w:p w14:paraId="6FED214E" w14:textId="77777777" w:rsidR="00F50F4B" w:rsidRDefault="00000000">
      <w:pPr>
        <w:spacing w:after="200" w:line="360" w:lineRule="auto"/>
        <w:jc w:val="both"/>
      </w:pPr>
      <w:r>
        <w:rPr>
          <w:color w:val="475569"/>
        </w:rPr>
        <w:t>Die Eigenkapitalkosten setzen sich zusammen aus:</w:t>
      </w:r>
    </w:p>
    <w:p w14:paraId="77239F00" w14:textId="77777777" w:rsidR="00F50F4B" w:rsidRDefault="00000000">
      <w:pPr>
        <w:pStyle w:val="ListParagraph"/>
        <w:numPr>
          <w:ilvl w:val="0"/>
          <w:numId w:val="2"/>
        </w:numPr>
        <w:spacing w:after="120" w:line="340" w:lineRule="auto"/>
      </w:pPr>
      <w:r>
        <w:rPr>
          <w:color w:val="475569"/>
        </w:rPr>
        <w:t>Risikoloser Zinssatz</w:t>
      </w:r>
    </w:p>
    <w:p w14:paraId="2C97B1F8" w14:textId="77777777" w:rsidR="00F50F4B" w:rsidRDefault="00000000">
      <w:pPr>
        <w:pStyle w:val="ListParagraph"/>
        <w:numPr>
          <w:ilvl w:val="0"/>
          <w:numId w:val="2"/>
        </w:numPr>
        <w:spacing w:after="120" w:line="340" w:lineRule="auto"/>
      </w:pPr>
      <w:r>
        <w:rPr>
          <w:color w:val="475569"/>
        </w:rPr>
        <w:t>+ Marktrisikoprämie × verschuldetes Beta</w:t>
      </w:r>
    </w:p>
    <w:p w14:paraId="52935162" w14:textId="77777777" w:rsidR="00F50F4B" w:rsidRDefault="00F50F4B">
      <w:pPr>
        <w:spacing w:after="100"/>
      </w:pPr>
    </w:p>
    <w:p w14:paraId="78A5F1B8" w14:textId="77777777" w:rsidR="00F50F4B" w:rsidRDefault="00000000">
      <w:pPr>
        <w:spacing w:after="200" w:line="360" w:lineRule="auto"/>
        <w:jc w:val="both"/>
      </w:pPr>
      <w:r>
        <w:rPr>
          <w:color w:val="475569"/>
        </w:rPr>
        <w:t>Dabei wird das verschuldete Beta aus dem unverschuldeten Beta (Branchenrisiko), dem Steuersatz und dem Verschuldungsgrad (FK/EK) hergeleitet.</w:t>
      </w:r>
    </w:p>
    <w:p w14:paraId="113706E0" w14:textId="77777777" w:rsidR="00F50F4B" w:rsidRDefault="00000000">
      <w:pPr>
        <w:spacing w:after="200" w:line="360" w:lineRule="auto"/>
        <w:jc w:val="both"/>
      </w:pPr>
      <w:r>
        <w:rPr>
          <w:color w:val="475569"/>
        </w:rPr>
        <w:t>Die Fremdkapitalkosten ergeben sich aus:</w:t>
      </w:r>
    </w:p>
    <w:p w14:paraId="070F6990" w14:textId="77777777" w:rsidR="00F50F4B" w:rsidRDefault="00000000">
      <w:pPr>
        <w:pStyle w:val="ListParagraph"/>
        <w:numPr>
          <w:ilvl w:val="0"/>
          <w:numId w:val="2"/>
        </w:numPr>
        <w:spacing w:after="120" w:line="340" w:lineRule="auto"/>
      </w:pPr>
      <w:r>
        <w:rPr>
          <w:color w:val="475569"/>
        </w:rPr>
        <w:t>Risikoloser Zinssatz + Kredit-Spread</w:t>
      </w:r>
    </w:p>
    <w:p w14:paraId="755176E7" w14:textId="77777777" w:rsidR="00F50F4B" w:rsidRDefault="00000000">
      <w:pPr>
        <w:pStyle w:val="ListParagraph"/>
        <w:numPr>
          <w:ilvl w:val="0"/>
          <w:numId w:val="2"/>
        </w:numPr>
        <w:spacing w:after="120" w:line="340" w:lineRule="auto"/>
      </w:pPr>
      <w:r>
        <w:rPr>
          <w:color w:val="475569"/>
        </w:rPr>
        <w:t>× (1 – Grenzsteuersatz), d.h. Berücksichtigung des Tax Shields</w:t>
      </w:r>
    </w:p>
    <w:p w14:paraId="514B6198" w14:textId="77777777" w:rsidR="00F50F4B" w:rsidRDefault="00F50F4B">
      <w:pPr>
        <w:spacing w:after="100"/>
      </w:pPr>
    </w:p>
    <w:p w14:paraId="53EBF0CA" w14:textId="77777777" w:rsidR="00F50F4B" w:rsidRDefault="00000000">
      <w:pPr>
        <w:spacing w:after="200" w:line="360" w:lineRule="auto"/>
        <w:jc w:val="both"/>
      </w:pPr>
      <w:r>
        <w:rPr>
          <w:color w:val="475569"/>
        </w:rPr>
        <w:t>Der WACC ergibt sich dann als:</w:t>
      </w:r>
    </w:p>
    <w:p w14:paraId="1D8156CB" w14:textId="77777777" w:rsidR="00F50F4B" w:rsidRDefault="00000000">
      <w:pPr>
        <w:spacing w:after="200" w:line="360" w:lineRule="auto"/>
        <w:jc w:val="both"/>
      </w:pPr>
      <w:r>
        <w:rPr>
          <w:i/>
          <w:iCs/>
          <w:color w:val="475569"/>
        </w:rPr>
        <w:t>WACC = Eigenkapitalkosten × (EK/GK) + Fremdkapitalkosten nach Steuern × (FK/GK)</w:t>
      </w:r>
    </w:p>
    <w:p w14:paraId="05EB6252" w14:textId="77777777" w:rsidR="00F50F4B" w:rsidRDefault="00F50F4B">
      <w:pPr>
        <w:spacing w:after="100"/>
      </w:pPr>
    </w:p>
    <w:p w14:paraId="32279C96" w14:textId="77777777" w:rsidR="00F50F4B" w:rsidRDefault="00000000">
      <w:pPr>
        <w:pStyle w:val="Heading3"/>
      </w:pPr>
      <w:bookmarkStart w:id="18" w:name="_Toc222150135"/>
      <w:r>
        <w:t>Bewertungsformel</w:t>
      </w:r>
      <w:bookmarkEnd w:id="18"/>
    </w:p>
    <w:p w14:paraId="34AEF432" w14:textId="77777777" w:rsidR="00F50F4B" w:rsidRDefault="00000000">
      <w:pPr>
        <w:spacing w:after="200" w:line="360" w:lineRule="auto"/>
        <w:jc w:val="both"/>
      </w:pPr>
      <w:r>
        <w:rPr>
          <w:color w:val="475569"/>
        </w:rPr>
        <w:t>Der Eigenkapitalwert ergibt sich aus der Summe der diskontierten freien Cashflows abzüglich des verzinslichen Fremdkapitals:</w:t>
      </w:r>
    </w:p>
    <w:p w14:paraId="36DAE381" w14:textId="77777777" w:rsidR="00F50F4B" w:rsidRDefault="00000000">
      <w:pPr>
        <w:spacing w:after="200" w:line="360" w:lineRule="auto"/>
        <w:jc w:val="both"/>
      </w:pPr>
      <w:r>
        <w:rPr>
          <w:i/>
          <w:iCs/>
          <w:color w:val="475569"/>
        </w:rPr>
        <w:t>W(EK) = ∑ FCFF / (1 + WACC)^t – verzinsliches FK + nicht-betriebsnotwendiges Vermögen</w:t>
      </w:r>
    </w:p>
    <w:p w14:paraId="06568E54" w14:textId="77777777" w:rsidR="00F50F4B" w:rsidRDefault="00F50F4B">
      <w:pPr>
        <w:spacing w:after="100"/>
      </w:pPr>
    </w:p>
    <w:p w14:paraId="419EE46A" w14:textId="77777777" w:rsidR="00F50F4B" w:rsidRDefault="00000000">
      <w:pPr>
        <w:spacing w:after="200" w:line="360" w:lineRule="auto"/>
        <w:jc w:val="both"/>
      </w:pPr>
      <w:r>
        <w:rPr>
          <w:color w:val="475569"/>
        </w:rPr>
        <w:t>Die Bewertung erfolgt in der Regel in zwei Phasen: einer Detailplanungsphase (typischerweise 3–5 Jahre) und einer Phase der ewigen Rente bzw. eines Endwerts mit einer konstanten Wachstumsrate.</w:t>
      </w:r>
    </w:p>
    <w:p w14:paraId="07AD7D52" w14:textId="77777777" w:rsidR="00F50F4B" w:rsidRDefault="00000000">
      <w:pPr>
        <w:pStyle w:val="Heading2"/>
      </w:pPr>
      <w:bookmarkStart w:id="19" w:name="_Toc222150136"/>
      <w:r>
        <w:t>3.3  Multiplikatorverfahren</w:t>
      </w:r>
      <w:bookmarkEnd w:id="19"/>
    </w:p>
    <w:p w14:paraId="25AD58DB" w14:textId="77777777" w:rsidR="00F50F4B" w:rsidRDefault="00000000">
      <w:pPr>
        <w:spacing w:after="200" w:line="360" w:lineRule="auto"/>
        <w:jc w:val="both"/>
      </w:pPr>
      <w:r>
        <w:rPr>
          <w:color w:val="475569"/>
        </w:rPr>
        <w:t>Die marktpreisorientierten Bewertungsverfahren (IDW S1, Tz. 143–144) versuchen den Unternehmens- oder Eigenkapitalwert durch Verwendung aktueller Marktpreise zu erzielen. Dabei skalieren sie eine Bezugsgröße (z. B. den Umsatz oder eine Gewinngröße wie EBIT) des Unternehmens auf am Markt beobachtbare Größen.</w:t>
      </w:r>
    </w:p>
    <w:p w14:paraId="06368787" w14:textId="77777777" w:rsidR="00F50F4B" w:rsidRDefault="00000000">
      <w:pPr>
        <w:spacing w:after="200" w:line="360" w:lineRule="auto"/>
        <w:jc w:val="both"/>
      </w:pPr>
      <w:r>
        <w:rPr>
          <w:color w:val="475569"/>
        </w:rPr>
        <w:t>Es werden zwei Arten unterschieden:</w:t>
      </w:r>
    </w:p>
    <w:p w14:paraId="74FA01D5" w14:textId="77777777" w:rsidR="00F50F4B" w:rsidRDefault="00000000">
      <w:pPr>
        <w:pStyle w:val="ListParagraph"/>
        <w:numPr>
          <w:ilvl w:val="0"/>
          <w:numId w:val="2"/>
        </w:numPr>
        <w:spacing w:after="120" w:line="340" w:lineRule="auto"/>
      </w:pPr>
      <w:r>
        <w:rPr>
          <w:color w:val="475569"/>
        </w:rPr>
        <w:t>Börsen-Multiplikatoren: Vergleich mit börsennotierten Unternehmen auf Basis deren Marktkapitalisierung und Unternehmenswert. Die Bewertung bezieht sich grundsätzlich auf Minderheitsanteile.</w:t>
      </w:r>
    </w:p>
    <w:p w14:paraId="362546A2" w14:textId="77777777" w:rsidR="00F50F4B" w:rsidRDefault="00000000">
      <w:pPr>
        <w:pStyle w:val="ListParagraph"/>
        <w:numPr>
          <w:ilvl w:val="0"/>
          <w:numId w:val="2"/>
        </w:numPr>
        <w:spacing w:after="120" w:line="340" w:lineRule="auto"/>
      </w:pPr>
      <w:r>
        <w:rPr>
          <w:color w:val="475569"/>
        </w:rPr>
        <w:t>Transaktions-Multiplikatoren: Rückschlüsse aufgrund veröffentlichter gezahlter Preise für Unternehmen. Hierbei ist zu beachten, ob ein Minderheits- oder ein Mehrheitsanteil erworben wurde, da bei Letzterem Effekte aus erwarteten Synergien oder Kontroll-Zuschläge einbezogen worden sein können.</w:t>
      </w:r>
    </w:p>
    <w:p w14:paraId="4F13913D" w14:textId="77777777" w:rsidR="00F50F4B" w:rsidRDefault="00F50F4B">
      <w:pPr>
        <w:spacing w:after="100"/>
      </w:pPr>
    </w:p>
    <w:p w14:paraId="3CB7A993" w14:textId="77777777" w:rsidR="00F50F4B" w:rsidRDefault="00000000">
      <w:pPr>
        <w:pStyle w:val="Heading3"/>
      </w:pPr>
      <w:bookmarkStart w:id="20" w:name="_Toc222150137"/>
      <w:r>
        <w:t>Rolle der Multiplikatoren: Subjektiv vs. Objektiviert</w:t>
      </w:r>
      <w:bookmarkEnd w:id="20"/>
    </w:p>
    <w:p w14:paraId="6CF15320" w14:textId="77777777" w:rsidR="00F50F4B" w:rsidRDefault="00000000">
      <w:pPr>
        <w:spacing w:after="200" w:line="360" w:lineRule="auto"/>
        <w:jc w:val="both"/>
      </w:pPr>
      <w:r>
        <w:rPr>
          <w:color w:val="475569"/>
        </w:rPr>
        <w:t>Die Bedeutung des Multiplikatorverfahrens hängt vom Bewertungsanlass ab:</w:t>
      </w:r>
    </w:p>
    <w:p w14:paraId="010EF3F5" w14:textId="77777777" w:rsidR="00F50F4B" w:rsidRDefault="00000000">
      <w:pPr>
        <w:pStyle w:val="ListParagraph"/>
        <w:numPr>
          <w:ilvl w:val="0"/>
          <w:numId w:val="2"/>
        </w:numPr>
        <w:spacing w:after="120" w:line="340" w:lineRule="auto"/>
      </w:pPr>
      <w:r>
        <w:rPr>
          <w:color w:val="475569"/>
        </w:rPr>
        <w:t>Bei subjektiven Bewertungen (z. B. Transaktionen) können Multiplikatoren als eigenständiger Maßstab für die Preisfindung herangezogen werden. Die Parteien handeln im Rahmen ihrer Privatautonomie und können ihren subjektiven Entscheidungswert frei bestimmen.</w:t>
      </w:r>
    </w:p>
    <w:p w14:paraId="35B19EE6" w14:textId="77777777" w:rsidR="00F50F4B" w:rsidRDefault="00000000">
      <w:pPr>
        <w:pStyle w:val="ListParagraph"/>
        <w:numPr>
          <w:ilvl w:val="0"/>
          <w:numId w:val="2"/>
        </w:numPr>
        <w:spacing w:after="120" w:line="340" w:lineRule="auto"/>
      </w:pPr>
      <w:r>
        <w:rPr>
          <w:color w:val="475569"/>
        </w:rPr>
        <w:t>Bei objektivierten Bewertungen (z. B. gesellschaftsrechtliche Anlässe) stellen Multiplikatoren lediglich eine Plausibilisierung des Zukunftserfolgswertes dar und sind kein eigenständiges Bewertungsverfahren.</w:t>
      </w:r>
    </w:p>
    <w:p w14:paraId="7A29AD6D" w14:textId="77777777" w:rsidR="00F50F4B" w:rsidRDefault="00F50F4B">
      <w:pPr>
        <w:spacing w:after="100"/>
      </w:pPr>
    </w:p>
    <w:p w14:paraId="2BEF2C07" w14:textId="77777777" w:rsidR="00F50F4B" w:rsidRDefault="00000000">
      <w:pPr>
        <w:pStyle w:val="Heading3"/>
      </w:pPr>
      <w:bookmarkStart w:id="21" w:name="_Toc222150138"/>
      <w:r>
        <w:t>Multiplikatoren vs. DCF in der Praxis</w:t>
      </w:r>
      <w:bookmarkEnd w:id="21"/>
    </w:p>
    <w:p w14:paraId="1178E515" w14:textId="77777777" w:rsidR="00F50F4B" w:rsidRDefault="00000000">
      <w:pPr>
        <w:spacing w:after="200" w:line="360" w:lineRule="auto"/>
        <w:jc w:val="both"/>
      </w:pPr>
      <w:r>
        <w:rPr>
          <w:color w:val="475569"/>
        </w:rPr>
        <w:t>EBIT- und EBITDA-Multiplikatoren sind gängige Maßstäbe. Sollte man Multiplikatoren jedoch als einziges Verfahren in der Beratung eines Transaktionsprojekts nutzen? Normalerweise nicht. Für die Herleitung eines Zukunftserfolgswertes wird notwendigerweise eine tiefergehende Analyse des Unternehmens und seiner Umwelt vorgenommen.</w:t>
      </w:r>
    </w:p>
    <w:p w14:paraId="65F9169E" w14:textId="77777777" w:rsidR="00F50F4B" w:rsidRDefault="00000000">
      <w:pPr>
        <w:pStyle w:val="ListParagraph"/>
        <w:numPr>
          <w:ilvl w:val="0"/>
          <w:numId w:val="2"/>
        </w:numPr>
        <w:spacing w:after="120" w:line="340" w:lineRule="auto"/>
      </w:pPr>
      <w:r>
        <w:rPr>
          <w:color w:val="475569"/>
        </w:rPr>
        <w:t>Es bringt mehr Klarheit über das Unternehmen und den Nutzwert für die beteiligten Parteien</w:t>
      </w:r>
    </w:p>
    <w:p w14:paraId="1FE589E3" w14:textId="77777777" w:rsidR="00F50F4B" w:rsidRDefault="00000000">
      <w:pPr>
        <w:pStyle w:val="ListParagraph"/>
        <w:numPr>
          <w:ilvl w:val="0"/>
          <w:numId w:val="2"/>
        </w:numPr>
        <w:spacing w:after="120" w:line="340" w:lineRule="auto"/>
      </w:pPr>
      <w:r>
        <w:rPr>
          <w:color w:val="475569"/>
        </w:rPr>
        <w:t>Es unterstützt die Argumentation gegenüber beteiligten Parteien und signalisiert größere Ernsthaftigkeit</w:t>
      </w:r>
    </w:p>
    <w:p w14:paraId="43E77ED0" w14:textId="77777777" w:rsidR="00F50F4B" w:rsidRDefault="00000000">
      <w:pPr>
        <w:pStyle w:val="ListParagraph"/>
        <w:numPr>
          <w:ilvl w:val="0"/>
          <w:numId w:val="2"/>
        </w:numPr>
        <w:spacing w:after="120" w:line="340" w:lineRule="auto"/>
      </w:pPr>
      <w:r>
        <w:rPr>
          <w:color w:val="475569"/>
        </w:rPr>
        <w:t>Die Planungsrechnung hilft auch in der Kommunikation mit Finanzierungspartnern</w:t>
      </w:r>
    </w:p>
    <w:p w14:paraId="22F8D7FE" w14:textId="77777777" w:rsidR="00F50F4B" w:rsidRDefault="00F50F4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07EB4EAE"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3F82EA5D" w14:textId="77777777" w:rsidR="00F50F4B" w:rsidRDefault="00000000">
            <w:pPr>
              <w:spacing w:after="80"/>
            </w:pPr>
            <w:r>
              <w:rPr>
                <w:b/>
                <w:bCs/>
                <w:color w:val="F97316"/>
              </w:rPr>
              <w:t>Praxistipp</w:t>
            </w:r>
          </w:p>
          <w:p w14:paraId="1C65C961" w14:textId="77777777" w:rsidR="00F50F4B" w:rsidRDefault="00000000">
            <w:pPr>
              <w:spacing w:line="340" w:lineRule="auto"/>
            </w:pPr>
            <w:r>
              <w:rPr>
                <w:color w:val="475569"/>
                <w:sz w:val="21"/>
                <w:szCs w:val="21"/>
              </w:rPr>
              <w:t>Auch bei Transaktionen ist eine fundierte DCF- oder Ertragswertanalyse empfehlenswert. Sie erhöht die Verhandlungssicherheit und die Wahrscheinlichkeit eines erfolgreichen Projektabschlusses. Multiplikatoren eignen sich ergänzend als Plausibilisierung.</w:t>
            </w:r>
          </w:p>
        </w:tc>
      </w:tr>
    </w:tbl>
    <w:p w14:paraId="693624C7" w14:textId="77777777" w:rsidR="00F50F4B" w:rsidRDefault="00F50F4B">
      <w:pPr>
        <w:spacing w:after="100"/>
      </w:pPr>
    </w:p>
    <w:p w14:paraId="5D2DCFA4" w14:textId="77777777" w:rsidR="00F50F4B" w:rsidRDefault="00000000">
      <w:pPr>
        <w:pStyle w:val="Heading2"/>
      </w:pPr>
      <w:bookmarkStart w:id="22" w:name="_Toc222150139"/>
      <w:r>
        <w:t>3.4  Substanzwertverfahren</w:t>
      </w:r>
      <w:bookmarkEnd w:id="22"/>
    </w:p>
    <w:p w14:paraId="4183AF41" w14:textId="77777777" w:rsidR="00F50F4B" w:rsidRDefault="00000000">
      <w:pPr>
        <w:spacing w:after="200" w:line="360" w:lineRule="auto"/>
        <w:jc w:val="both"/>
      </w:pPr>
      <w:r>
        <w:rPr>
          <w:color w:val="475569"/>
        </w:rPr>
        <w:t>Dem Substanzwert wird nach IDW S1 (Tz. 6, 170–172) keine eigenständige Bedeutung mehr zugeschrieben. Er kann als Liquidationswert (Tz. 140–141) oder Wiederbeschaffungswert ermittelt werden.</w:t>
      </w:r>
    </w:p>
    <w:p w14:paraId="73E720EF" w14:textId="77777777" w:rsidR="00F50F4B" w:rsidRDefault="00000000">
      <w:pPr>
        <w:pStyle w:val="ListParagraph"/>
        <w:numPr>
          <w:ilvl w:val="0"/>
          <w:numId w:val="2"/>
        </w:numPr>
        <w:spacing w:after="120" w:line="340" w:lineRule="auto"/>
      </w:pPr>
      <w:r>
        <w:rPr>
          <w:color w:val="475569"/>
        </w:rPr>
        <w:t>Der Wiederbeschaffungswert versucht auf Kostenbasis zu ermitteln, was aufgewendet werden müsste, um das Unternehmen auf der „grünen Wiese“ wieder zu errichten.</w:t>
      </w:r>
    </w:p>
    <w:p w14:paraId="04E7663E" w14:textId="77777777" w:rsidR="00F50F4B" w:rsidRDefault="00000000">
      <w:pPr>
        <w:pStyle w:val="ListParagraph"/>
        <w:numPr>
          <w:ilvl w:val="0"/>
          <w:numId w:val="2"/>
        </w:numPr>
        <w:spacing w:after="120" w:line="340" w:lineRule="auto"/>
      </w:pPr>
      <w:r>
        <w:rPr>
          <w:color w:val="475569"/>
        </w:rPr>
        <w:t>Der Liquidationswert bezieht die erwarteten Erlöse bei Veräußerung einzelner Aktiva ein und bildet eine Untergrenze für den Unternehmenswert.</w:t>
      </w:r>
    </w:p>
    <w:p w14:paraId="3C49FDEA" w14:textId="77777777" w:rsidR="00F50F4B" w:rsidRDefault="00F50F4B">
      <w:pPr>
        <w:spacing w:after="100"/>
      </w:pPr>
    </w:p>
    <w:p w14:paraId="7D9EC5FB" w14:textId="77777777" w:rsidR="00F50F4B" w:rsidRDefault="00000000">
      <w:pPr>
        <w:pStyle w:val="Heading2"/>
      </w:pPr>
      <w:bookmarkStart w:id="23" w:name="_Toc222150140"/>
      <w:r>
        <w:t>3.5  Vereinfachtes Ertragswertverfahren</w:t>
      </w:r>
      <w:bookmarkEnd w:id="23"/>
    </w:p>
    <w:p w14:paraId="4F1E356E" w14:textId="77777777" w:rsidR="00F50F4B" w:rsidRDefault="00000000">
      <w:pPr>
        <w:spacing w:after="200" w:line="360" w:lineRule="auto"/>
        <w:jc w:val="both"/>
      </w:pPr>
      <w:r>
        <w:rPr>
          <w:color w:val="475569"/>
        </w:rPr>
        <w:t>Das steuerlich relevante vereinfachte Ertragswertverfahren nach § 199 BewG verdeutlicht die Problematik einer reinen Vergangenheitsbetrachtung. Für die Bewertung wird ein Durchschnitt der vergangenen drei Jahre gebildet und mit dem Multiplikator 13,75 (Kehrwert einer Verzinsung von 7,3 %) multipliziert.</w:t>
      </w:r>
    </w:p>
    <w:p w14:paraId="54F4918E" w14:textId="77777777" w:rsidR="00F50F4B" w:rsidRDefault="00000000">
      <w:pPr>
        <w:spacing w:after="200" w:line="360" w:lineRule="auto"/>
        <w:jc w:val="both"/>
      </w:pPr>
      <w:r>
        <w:rPr>
          <w:color w:val="475569"/>
        </w:rPr>
        <w:lastRenderedPageBreak/>
        <w:t>Wieso ist diese Vorgehensweise meist nicht zielführend?</w:t>
      </w:r>
    </w:p>
    <w:p w14:paraId="4580D133" w14:textId="77777777" w:rsidR="00F50F4B" w:rsidRDefault="00000000">
      <w:pPr>
        <w:pStyle w:val="ListParagraph"/>
        <w:numPr>
          <w:ilvl w:val="0"/>
          <w:numId w:val="2"/>
        </w:numPr>
        <w:spacing w:after="120" w:line="340" w:lineRule="auto"/>
      </w:pPr>
      <w:r>
        <w:rPr>
          <w:color w:val="475569"/>
        </w:rPr>
        <w:t>Das Verfahren ist lediglich ein steuerrechtlich relevantes Verfahren und für alle anderen Fälle nicht anzuwenden, auch wenn dies in der Praxis häufig geschieht.</w:t>
      </w:r>
    </w:p>
    <w:p w14:paraId="79E6587B" w14:textId="77777777" w:rsidR="00F50F4B" w:rsidRDefault="00000000">
      <w:pPr>
        <w:pStyle w:val="ListParagraph"/>
        <w:numPr>
          <w:ilvl w:val="0"/>
          <w:numId w:val="2"/>
        </w:numPr>
        <w:spacing w:after="120" w:line="340" w:lineRule="auto"/>
      </w:pPr>
      <w:r>
        <w:rPr>
          <w:color w:val="475569"/>
        </w:rPr>
        <w:t>Die implizite Unterstellung ist, dass die Zukunft im Mittel genauso verläuft wie der festgelegte Vergangenheitszeitraum. Ist dies nicht die realistischste Erwartung, liegt immer eine Fehlbewertung vor.</w:t>
      </w:r>
    </w:p>
    <w:p w14:paraId="14DD676A" w14:textId="77777777" w:rsidR="00F50F4B" w:rsidRDefault="00000000">
      <w:pPr>
        <w:pStyle w:val="ListParagraph"/>
        <w:numPr>
          <w:ilvl w:val="0"/>
          <w:numId w:val="2"/>
        </w:numPr>
        <w:spacing w:after="120" w:line="340" w:lineRule="auto"/>
      </w:pPr>
      <w:r>
        <w:rPr>
          <w:color w:val="475569"/>
        </w:rPr>
        <w:t>Es wird eine 100 %ige Übertragbarkeit der Erträge unterstellt. Dies ist eine Annahme, die bei KMU oft nicht zutreffend ist.</w:t>
      </w:r>
    </w:p>
    <w:p w14:paraId="0CD50362" w14:textId="77777777" w:rsidR="00F50F4B" w:rsidRDefault="00000000">
      <w:pPr>
        <w:pStyle w:val="ListParagraph"/>
        <w:numPr>
          <w:ilvl w:val="0"/>
          <w:numId w:val="2"/>
        </w:numPr>
        <w:spacing w:after="120" w:line="340" w:lineRule="auto"/>
      </w:pPr>
      <w:r>
        <w:rPr>
          <w:color w:val="475569"/>
        </w:rPr>
        <w:t>Aufgrund des hohen Multiplikators in Verbindung mit der Annahme der vollständigen Übertragbarkeit ist das Bewertungsergebnis in der Mehrzahl der Fälle überhöht.</w:t>
      </w:r>
    </w:p>
    <w:p w14:paraId="62EF9114" w14:textId="77777777" w:rsidR="00F50F4B" w:rsidRDefault="00F50F4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5F3A6C3D"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1B9D9B3D" w14:textId="77777777" w:rsidR="00F50F4B" w:rsidRDefault="00000000">
            <w:pPr>
              <w:spacing w:after="80"/>
            </w:pPr>
            <w:r>
              <w:rPr>
                <w:b/>
                <w:bCs/>
                <w:color w:val="F97316"/>
              </w:rPr>
              <w:t>Achtung</w:t>
            </w:r>
          </w:p>
          <w:p w14:paraId="08592704" w14:textId="77777777" w:rsidR="00F50F4B" w:rsidRDefault="00000000">
            <w:pPr>
              <w:spacing w:line="340" w:lineRule="auto"/>
            </w:pPr>
            <w:r>
              <w:rPr>
                <w:color w:val="475569"/>
                <w:sz w:val="21"/>
                <w:szCs w:val="21"/>
              </w:rPr>
              <w:t>Die ersparten Bewertungskosten durch die einfache Bewertung werden oft in Form einer überhöhten Steuerlast deutlich überkompensiert. Das vereinfachte Ertragswertverfahren hat selbst eine Öffnungsklausel, dass es nur anwendbar ist, solange es nicht zu offensichtlich falschen Ergebnissen führt.</w:t>
            </w:r>
          </w:p>
        </w:tc>
      </w:tr>
    </w:tbl>
    <w:p w14:paraId="5F574B4E" w14:textId="77777777" w:rsidR="00F50F4B" w:rsidRDefault="00F50F4B">
      <w:pPr>
        <w:spacing w:after="100"/>
      </w:pPr>
    </w:p>
    <w:p w14:paraId="32F0E5CC" w14:textId="77777777" w:rsidR="00F50F4B" w:rsidRDefault="00000000">
      <w:pPr>
        <w:pStyle w:val="Heading2"/>
      </w:pPr>
      <w:bookmarkStart w:id="24" w:name="_Toc222150141"/>
      <w:r>
        <w:t>3.6  Vergleich der Verfahren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2260"/>
        <w:gridCol w:w="2260"/>
        <w:gridCol w:w="2246"/>
      </w:tblGrid>
      <w:tr w:rsidR="00F50F4B" w14:paraId="0C3115EE" w14:textId="77777777">
        <w:tblPrEx>
          <w:tblCellMar>
            <w:top w:w="0" w:type="dxa"/>
            <w:bottom w:w="0" w:type="dxa"/>
          </w:tblCellMar>
        </w:tblPrEx>
        <w:tc>
          <w:tcPr>
            <w:tcW w:w="226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5EACA39E" w14:textId="77777777" w:rsidR="00F50F4B" w:rsidRDefault="00000000">
            <w:r>
              <w:rPr>
                <w:b/>
                <w:bCs/>
                <w:color w:val="FFFFFF"/>
                <w:sz w:val="18"/>
                <w:szCs w:val="18"/>
              </w:rPr>
              <w:t>Kriterium</w:t>
            </w:r>
          </w:p>
        </w:tc>
        <w:tc>
          <w:tcPr>
            <w:tcW w:w="226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200DBC71" w14:textId="77777777" w:rsidR="00F50F4B" w:rsidRDefault="00000000">
            <w:r>
              <w:rPr>
                <w:b/>
                <w:bCs/>
                <w:color w:val="FFFFFF"/>
                <w:sz w:val="18"/>
                <w:szCs w:val="18"/>
              </w:rPr>
              <w:t>Zukunftserfolgs- verfahren</w:t>
            </w:r>
          </w:p>
        </w:tc>
        <w:tc>
          <w:tcPr>
            <w:tcW w:w="226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4A02FEEF" w14:textId="77777777" w:rsidR="00F50F4B" w:rsidRDefault="00000000">
            <w:r>
              <w:rPr>
                <w:b/>
                <w:bCs/>
                <w:color w:val="FFFFFF"/>
                <w:sz w:val="18"/>
                <w:szCs w:val="18"/>
              </w:rPr>
              <w:t>Multiplikator- verfahren</w:t>
            </w:r>
          </w:p>
        </w:tc>
        <w:tc>
          <w:tcPr>
            <w:tcW w:w="2246"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6FFB0664" w14:textId="77777777" w:rsidR="00F50F4B" w:rsidRDefault="00000000">
            <w:r>
              <w:rPr>
                <w:b/>
                <w:bCs/>
                <w:color w:val="FFFFFF"/>
                <w:sz w:val="18"/>
                <w:szCs w:val="18"/>
              </w:rPr>
              <w:t>Substanzwert- verfahren</w:t>
            </w:r>
          </w:p>
        </w:tc>
      </w:tr>
      <w:tr w:rsidR="00F50F4B" w14:paraId="6CB255A3" w14:textId="77777777">
        <w:tblPrEx>
          <w:tblCellMar>
            <w:top w:w="0" w:type="dxa"/>
            <w:bottom w:w="0" w:type="dxa"/>
          </w:tblCellMar>
        </w:tblPrEx>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222F8A4" w14:textId="77777777" w:rsidR="00F50F4B" w:rsidRDefault="00000000">
            <w:pPr>
              <w:spacing w:line="300" w:lineRule="auto"/>
            </w:pPr>
            <w:r>
              <w:rPr>
                <w:color w:val="475569"/>
                <w:sz w:val="19"/>
                <w:szCs w:val="19"/>
              </w:rPr>
              <w:t>Zeitbezug</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2A999BA" w14:textId="77777777" w:rsidR="00F50F4B" w:rsidRDefault="00000000">
            <w:pPr>
              <w:spacing w:line="300" w:lineRule="auto"/>
            </w:pPr>
            <w:r>
              <w:rPr>
                <w:color w:val="475569"/>
                <w:sz w:val="19"/>
                <w:szCs w:val="19"/>
              </w:rPr>
              <w:t>Zukunftsorientiert</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F7B287E" w14:textId="77777777" w:rsidR="00F50F4B" w:rsidRDefault="00000000">
            <w:pPr>
              <w:spacing w:line="300" w:lineRule="auto"/>
            </w:pPr>
            <w:r>
              <w:rPr>
                <w:color w:val="475569"/>
                <w:sz w:val="19"/>
                <w:szCs w:val="19"/>
              </w:rPr>
              <w:t>Marktpreise (Stichtag)</w:t>
            </w:r>
          </w:p>
        </w:tc>
        <w:tc>
          <w:tcPr>
            <w:tcW w:w="224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2CD6542" w14:textId="77777777" w:rsidR="00F50F4B" w:rsidRDefault="00000000">
            <w:pPr>
              <w:spacing w:line="300" w:lineRule="auto"/>
            </w:pPr>
            <w:r>
              <w:rPr>
                <w:color w:val="475569"/>
                <w:sz w:val="19"/>
                <w:szCs w:val="19"/>
              </w:rPr>
              <w:t>Vergangenheit / Stichtag</w:t>
            </w:r>
          </w:p>
        </w:tc>
      </w:tr>
      <w:tr w:rsidR="00F50F4B" w14:paraId="6B629813" w14:textId="77777777">
        <w:tblPrEx>
          <w:tblCellMar>
            <w:top w:w="0" w:type="dxa"/>
            <w:bottom w:w="0" w:type="dxa"/>
          </w:tblCellMar>
        </w:tblPrEx>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08C450E" w14:textId="77777777" w:rsidR="00F50F4B" w:rsidRDefault="00000000">
            <w:pPr>
              <w:spacing w:line="300" w:lineRule="auto"/>
            </w:pPr>
            <w:r>
              <w:rPr>
                <w:color w:val="475569"/>
                <w:sz w:val="19"/>
                <w:szCs w:val="19"/>
              </w:rPr>
              <w:t>Komplexität</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041E0DB" w14:textId="77777777" w:rsidR="00F50F4B" w:rsidRDefault="00000000">
            <w:pPr>
              <w:spacing w:line="300" w:lineRule="auto"/>
            </w:pPr>
            <w:r>
              <w:rPr>
                <w:color w:val="475569"/>
                <w:sz w:val="19"/>
                <w:szCs w:val="19"/>
              </w:rPr>
              <w:t>Hoch</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A5C294C" w14:textId="77777777" w:rsidR="00F50F4B" w:rsidRDefault="00000000">
            <w:pPr>
              <w:spacing w:line="300" w:lineRule="auto"/>
            </w:pPr>
            <w:r>
              <w:rPr>
                <w:color w:val="475569"/>
                <w:sz w:val="19"/>
                <w:szCs w:val="19"/>
              </w:rPr>
              <w:t>Gering bis mittel</w:t>
            </w:r>
          </w:p>
        </w:tc>
        <w:tc>
          <w:tcPr>
            <w:tcW w:w="224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CA90647" w14:textId="77777777" w:rsidR="00F50F4B" w:rsidRDefault="00000000">
            <w:pPr>
              <w:spacing w:line="300" w:lineRule="auto"/>
            </w:pPr>
            <w:r>
              <w:rPr>
                <w:color w:val="475569"/>
                <w:sz w:val="19"/>
                <w:szCs w:val="19"/>
              </w:rPr>
              <w:t>Gering</w:t>
            </w:r>
          </w:p>
        </w:tc>
      </w:tr>
      <w:tr w:rsidR="00F50F4B" w14:paraId="3AE5EB9B" w14:textId="77777777">
        <w:tblPrEx>
          <w:tblCellMar>
            <w:top w:w="0" w:type="dxa"/>
            <w:bottom w:w="0" w:type="dxa"/>
          </w:tblCellMar>
        </w:tblPrEx>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070F947" w14:textId="77777777" w:rsidR="00F50F4B" w:rsidRDefault="00000000">
            <w:pPr>
              <w:spacing w:line="300" w:lineRule="auto"/>
            </w:pPr>
            <w:r>
              <w:rPr>
                <w:color w:val="475569"/>
                <w:sz w:val="19"/>
                <w:szCs w:val="19"/>
              </w:rPr>
              <w:t>Datenbed.</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917F3AE" w14:textId="77777777" w:rsidR="00F50F4B" w:rsidRDefault="00000000">
            <w:pPr>
              <w:spacing w:line="300" w:lineRule="auto"/>
            </w:pPr>
            <w:r>
              <w:rPr>
                <w:color w:val="475569"/>
                <w:sz w:val="19"/>
                <w:szCs w:val="19"/>
              </w:rPr>
              <w:t>Planung notwendig</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6EC40B7" w14:textId="77777777" w:rsidR="00F50F4B" w:rsidRDefault="00000000">
            <w:pPr>
              <w:spacing w:line="300" w:lineRule="auto"/>
            </w:pPr>
            <w:r>
              <w:rPr>
                <w:color w:val="475569"/>
                <w:sz w:val="19"/>
                <w:szCs w:val="19"/>
              </w:rPr>
              <w:t>Vergleichsdaten</w:t>
            </w:r>
          </w:p>
        </w:tc>
        <w:tc>
          <w:tcPr>
            <w:tcW w:w="224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07B728A" w14:textId="77777777" w:rsidR="00F50F4B" w:rsidRDefault="00000000">
            <w:pPr>
              <w:spacing w:line="300" w:lineRule="auto"/>
            </w:pPr>
            <w:r>
              <w:rPr>
                <w:color w:val="475569"/>
                <w:sz w:val="19"/>
                <w:szCs w:val="19"/>
              </w:rPr>
              <w:t>Buchwerte / Marktwerte</w:t>
            </w:r>
          </w:p>
        </w:tc>
      </w:tr>
      <w:tr w:rsidR="00F50F4B" w14:paraId="68399D79" w14:textId="77777777">
        <w:tblPrEx>
          <w:tblCellMar>
            <w:top w:w="0" w:type="dxa"/>
            <w:bottom w:w="0" w:type="dxa"/>
          </w:tblCellMar>
        </w:tblPrEx>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18C5A20" w14:textId="77777777" w:rsidR="00F50F4B" w:rsidRDefault="00000000">
            <w:pPr>
              <w:spacing w:line="300" w:lineRule="auto"/>
            </w:pPr>
            <w:r>
              <w:rPr>
                <w:color w:val="475569"/>
                <w:sz w:val="19"/>
                <w:szCs w:val="19"/>
              </w:rPr>
              <w:t>KMU-Eignung</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06A35AC" w14:textId="77777777" w:rsidR="00F50F4B" w:rsidRDefault="00000000">
            <w:pPr>
              <w:spacing w:line="300" w:lineRule="auto"/>
            </w:pPr>
            <w:r>
              <w:rPr>
                <w:color w:val="475569"/>
                <w:sz w:val="19"/>
                <w:szCs w:val="19"/>
              </w:rPr>
              <w:t>Sehr gut (mit Anpassung)</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599DC3B" w14:textId="77777777" w:rsidR="00F50F4B" w:rsidRDefault="00000000">
            <w:pPr>
              <w:spacing w:line="300" w:lineRule="auto"/>
            </w:pPr>
            <w:r>
              <w:rPr>
                <w:color w:val="475569"/>
                <w:sz w:val="19"/>
                <w:szCs w:val="19"/>
              </w:rPr>
              <w:t>Eingeschränkt (Vergleichbarkeit)</w:t>
            </w:r>
          </w:p>
        </w:tc>
        <w:tc>
          <w:tcPr>
            <w:tcW w:w="224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AA2879F" w14:textId="77777777" w:rsidR="00F50F4B" w:rsidRDefault="00000000">
            <w:pPr>
              <w:spacing w:line="300" w:lineRule="auto"/>
            </w:pPr>
            <w:r>
              <w:rPr>
                <w:color w:val="475569"/>
                <w:sz w:val="19"/>
                <w:szCs w:val="19"/>
              </w:rPr>
              <w:t>Untergrenze</w:t>
            </w:r>
          </w:p>
        </w:tc>
      </w:tr>
      <w:tr w:rsidR="00F50F4B" w14:paraId="706E5771" w14:textId="77777777">
        <w:tblPrEx>
          <w:tblCellMar>
            <w:top w:w="0" w:type="dxa"/>
            <w:bottom w:w="0" w:type="dxa"/>
          </w:tblCellMar>
        </w:tblPrEx>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55B2C70" w14:textId="77777777" w:rsidR="00F50F4B" w:rsidRDefault="00000000">
            <w:pPr>
              <w:spacing w:line="300" w:lineRule="auto"/>
            </w:pPr>
            <w:r>
              <w:rPr>
                <w:color w:val="475569"/>
                <w:sz w:val="19"/>
                <w:szCs w:val="19"/>
              </w:rPr>
              <w:t>Aussagekraft</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5C4735F" w14:textId="77777777" w:rsidR="00F50F4B" w:rsidRDefault="00000000">
            <w:pPr>
              <w:spacing w:line="300" w:lineRule="auto"/>
            </w:pPr>
            <w:r>
              <w:rPr>
                <w:color w:val="475569"/>
                <w:sz w:val="19"/>
                <w:szCs w:val="19"/>
              </w:rPr>
              <w:t>Intrinsischer Wert</w:t>
            </w:r>
          </w:p>
        </w:tc>
        <w:tc>
          <w:tcPr>
            <w:tcW w:w="226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C8ABD35" w14:textId="77777777" w:rsidR="00F50F4B" w:rsidRDefault="00000000">
            <w:pPr>
              <w:spacing w:line="300" w:lineRule="auto"/>
            </w:pPr>
            <w:r>
              <w:rPr>
                <w:color w:val="475569"/>
                <w:sz w:val="19"/>
                <w:szCs w:val="19"/>
              </w:rPr>
              <w:t>Marktpreis-Indikation</w:t>
            </w:r>
          </w:p>
        </w:tc>
        <w:tc>
          <w:tcPr>
            <w:tcW w:w="224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1896ED9" w14:textId="77777777" w:rsidR="00F50F4B" w:rsidRDefault="00000000">
            <w:pPr>
              <w:spacing w:line="300" w:lineRule="auto"/>
            </w:pPr>
            <w:r>
              <w:rPr>
                <w:color w:val="475569"/>
                <w:sz w:val="19"/>
                <w:szCs w:val="19"/>
              </w:rPr>
              <w:t>Substanzielle Untergrenze</w:t>
            </w:r>
          </w:p>
        </w:tc>
      </w:tr>
    </w:tbl>
    <w:p w14:paraId="541D775F" w14:textId="77777777" w:rsidR="00F50F4B" w:rsidRDefault="00F50F4B">
      <w:pPr>
        <w:spacing w:after="100"/>
      </w:pPr>
    </w:p>
    <w:p w14:paraId="097951F4" w14:textId="77777777" w:rsidR="00F50F4B" w:rsidRDefault="00000000">
      <w:r>
        <w:br w:type="page"/>
      </w:r>
    </w:p>
    <w:p w14:paraId="0E49BA56" w14:textId="77777777" w:rsidR="00F50F4B" w:rsidRDefault="00000000">
      <w:pPr>
        <w:pStyle w:val="Heading1"/>
      </w:pPr>
      <w:bookmarkStart w:id="25" w:name="_Toc222150142"/>
      <w:r>
        <w:lastRenderedPageBreak/>
        <w:t>4  Besonderheiten bei der Bewertung von KMU</w:t>
      </w:r>
      <w:bookmarkEnd w:id="25"/>
    </w:p>
    <w:p w14:paraId="3D7E2DAA" w14:textId="77777777" w:rsidR="00F50F4B" w:rsidRDefault="00000000">
      <w:pPr>
        <w:pStyle w:val="Heading2"/>
      </w:pPr>
      <w:bookmarkStart w:id="26" w:name="_Toc222150143"/>
      <w:r>
        <w:t>4.1  Warum KMU anders bewertet werden müssen</w:t>
      </w:r>
      <w:bookmarkEnd w:id="26"/>
    </w:p>
    <w:p w14:paraId="2CAAA3FB" w14:textId="77777777" w:rsidR="00F50F4B" w:rsidRDefault="00000000">
      <w:pPr>
        <w:spacing w:after="200" w:line="360" w:lineRule="auto"/>
        <w:jc w:val="both"/>
      </w:pPr>
      <w:r>
        <w:rPr>
          <w:color w:val="475569"/>
        </w:rPr>
        <w:t>Kleine und mittlere Unternehmen unterscheiden sich von großen, ggf. börsennotierten Unternehmen in einer Reihe von Faktoren, die direkte Auswirkungen auf die Bewertung haben.</w:t>
      </w:r>
    </w:p>
    <w:p w14:paraId="2961AA21" w14:textId="77777777" w:rsidR="00F50F4B" w:rsidRDefault="00000000">
      <w:pPr>
        <w:pStyle w:val="Heading3"/>
      </w:pPr>
      <w:bookmarkStart w:id="27" w:name="_Toc222150144"/>
      <w:r>
        <w:t>Geschäftsmodell</w:t>
      </w:r>
      <w:bookmarkEnd w:id="27"/>
    </w:p>
    <w:p w14:paraId="22C87494" w14:textId="77777777" w:rsidR="00F50F4B" w:rsidRDefault="00000000">
      <w:pPr>
        <w:pStyle w:val="ListParagraph"/>
        <w:numPr>
          <w:ilvl w:val="0"/>
          <w:numId w:val="2"/>
        </w:numPr>
        <w:spacing w:after="120" w:line="340" w:lineRule="auto"/>
      </w:pPr>
      <w:r>
        <w:rPr>
          <w:color w:val="475569"/>
        </w:rPr>
        <w:t>Starke Abhängigkeit von wenigen Kunden, Produkten oder Lieferanten</w:t>
      </w:r>
    </w:p>
    <w:p w14:paraId="7F2D1B44" w14:textId="77777777" w:rsidR="00F50F4B" w:rsidRDefault="00000000">
      <w:pPr>
        <w:pStyle w:val="ListParagraph"/>
        <w:numPr>
          <w:ilvl w:val="0"/>
          <w:numId w:val="2"/>
        </w:numPr>
        <w:spacing w:after="120" w:line="340" w:lineRule="auto"/>
      </w:pPr>
      <w:r>
        <w:rPr>
          <w:color w:val="475569"/>
        </w:rPr>
        <w:t>Wenig diversifiziertes Geschäftsmodell</w:t>
      </w:r>
    </w:p>
    <w:p w14:paraId="007C072D" w14:textId="77777777" w:rsidR="00F50F4B" w:rsidRDefault="00000000">
      <w:pPr>
        <w:pStyle w:val="ListParagraph"/>
        <w:numPr>
          <w:ilvl w:val="0"/>
          <w:numId w:val="2"/>
        </w:numPr>
        <w:spacing w:after="120" w:line="340" w:lineRule="auto"/>
      </w:pPr>
      <w:r>
        <w:rPr>
          <w:color w:val="475569"/>
        </w:rPr>
        <w:t>Eingeschränkte Informationsquellen und Datenqualität</w:t>
      </w:r>
    </w:p>
    <w:p w14:paraId="312C0C69" w14:textId="77777777" w:rsidR="00F50F4B" w:rsidRDefault="00000000">
      <w:pPr>
        <w:pStyle w:val="Heading3"/>
      </w:pPr>
      <w:bookmarkStart w:id="28" w:name="_Toc222150145"/>
      <w:r>
        <w:t>Eigentümerstruktur</w:t>
      </w:r>
      <w:bookmarkEnd w:id="28"/>
    </w:p>
    <w:p w14:paraId="01E4E16E" w14:textId="77777777" w:rsidR="00F50F4B" w:rsidRDefault="00000000">
      <w:pPr>
        <w:pStyle w:val="ListParagraph"/>
        <w:numPr>
          <w:ilvl w:val="0"/>
          <w:numId w:val="2"/>
        </w:numPr>
        <w:spacing w:after="120" w:line="340" w:lineRule="auto"/>
      </w:pPr>
      <w:r>
        <w:rPr>
          <w:color w:val="475569"/>
        </w:rPr>
        <w:t>Eigentümer mit geschäftsführender Funktion</w:t>
      </w:r>
    </w:p>
    <w:p w14:paraId="44A8EA4D" w14:textId="77777777" w:rsidR="00F50F4B" w:rsidRDefault="00000000">
      <w:pPr>
        <w:pStyle w:val="ListParagraph"/>
        <w:numPr>
          <w:ilvl w:val="0"/>
          <w:numId w:val="2"/>
        </w:numPr>
        <w:spacing w:after="120" w:line="340" w:lineRule="auto"/>
      </w:pPr>
      <w:r>
        <w:rPr>
          <w:color w:val="475569"/>
        </w:rPr>
        <w:t>Abhängigkeiten vom Eigentümer als Leistungserbringer, Vertriebler und Know-How-Träger</w:t>
      </w:r>
    </w:p>
    <w:p w14:paraId="1F316A0D" w14:textId="77777777" w:rsidR="00F50F4B" w:rsidRDefault="00000000">
      <w:pPr>
        <w:pStyle w:val="ListParagraph"/>
        <w:numPr>
          <w:ilvl w:val="0"/>
          <w:numId w:val="2"/>
        </w:numPr>
        <w:spacing w:after="120" w:line="340" w:lineRule="auto"/>
      </w:pPr>
      <w:r>
        <w:rPr>
          <w:color w:val="475569"/>
        </w:rPr>
        <w:t>Leistungsbeziehungen zwischen Eigner und Unternehmen</w:t>
      </w:r>
    </w:p>
    <w:p w14:paraId="45BE2DE5" w14:textId="77777777" w:rsidR="00F50F4B" w:rsidRDefault="00000000">
      <w:pPr>
        <w:pStyle w:val="ListParagraph"/>
        <w:numPr>
          <w:ilvl w:val="0"/>
          <w:numId w:val="2"/>
        </w:numPr>
        <w:spacing w:after="120" w:line="340" w:lineRule="auto"/>
      </w:pPr>
      <w:r>
        <w:rPr>
          <w:color w:val="475569"/>
        </w:rPr>
        <w:t>Überschneidung privater und betrieblicher Sphären</w:t>
      </w:r>
    </w:p>
    <w:p w14:paraId="2BF3745F" w14:textId="77777777" w:rsidR="00F50F4B" w:rsidRDefault="00000000">
      <w:pPr>
        <w:pStyle w:val="Heading3"/>
      </w:pPr>
      <w:bookmarkStart w:id="29" w:name="_Toc222150146"/>
      <w:r>
        <w:t>Finanzierung</w:t>
      </w:r>
      <w:bookmarkEnd w:id="29"/>
    </w:p>
    <w:p w14:paraId="35C4339C" w14:textId="77777777" w:rsidR="00F50F4B" w:rsidRDefault="00000000">
      <w:pPr>
        <w:pStyle w:val="ListParagraph"/>
        <w:numPr>
          <w:ilvl w:val="0"/>
          <w:numId w:val="2"/>
        </w:numPr>
        <w:spacing w:after="120" w:line="340" w:lineRule="auto"/>
      </w:pPr>
      <w:r>
        <w:rPr>
          <w:color w:val="475569"/>
        </w:rPr>
        <w:t>Kein Kapitalmarktzugang</w:t>
      </w:r>
    </w:p>
    <w:p w14:paraId="42FCAC02" w14:textId="77777777" w:rsidR="00F50F4B" w:rsidRDefault="00000000">
      <w:pPr>
        <w:pStyle w:val="ListParagraph"/>
        <w:numPr>
          <w:ilvl w:val="0"/>
          <w:numId w:val="2"/>
        </w:numPr>
        <w:spacing w:after="120" w:line="340" w:lineRule="auto"/>
      </w:pPr>
      <w:r>
        <w:rPr>
          <w:color w:val="475569"/>
        </w:rPr>
        <w:t>Eingeschränkte Finanzierungsmöglichkeiten</w:t>
      </w:r>
    </w:p>
    <w:p w14:paraId="725F9560" w14:textId="77777777" w:rsidR="00F50F4B" w:rsidRDefault="00000000">
      <w:pPr>
        <w:pStyle w:val="ListParagraph"/>
        <w:numPr>
          <w:ilvl w:val="0"/>
          <w:numId w:val="2"/>
        </w:numPr>
        <w:spacing w:after="120" w:line="340" w:lineRule="auto"/>
      </w:pPr>
      <w:r>
        <w:rPr>
          <w:color w:val="475569"/>
        </w:rPr>
        <w:t>Oftmals ungenügende Eigenkapitalausstattung</w:t>
      </w:r>
    </w:p>
    <w:p w14:paraId="57F27D1C" w14:textId="77777777" w:rsidR="00F50F4B" w:rsidRDefault="00000000">
      <w:pPr>
        <w:pStyle w:val="ListParagraph"/>
        <w:numPr>
          <w:ilvl w:val="0"/>
          <w:numId w:val="2"/>
        </w:numPr>
        <w:spacing w:after="120" w:line="340" w:lineRule="auto"/>
      </w:pPr>
      <w:r>
        <w:rPr>
          <w:color w:val="475569"/>
        </w:rPr>
        <w:t>Illliquidität des Investments</w:t>
      </w:r>
    </w:p>
    <w:p w14:paraId="0CB6711E" w14:textId="77777777" w:rsidR="00F50F4B" w:rsidRDefault="00F50F4B">
      <w:pPr>
        <w:spacing w:after="100"/>
      </w:pPr>
    </w:p>
    <w:p w14:paraId="4E1E4C7C" w14:textId="77777777" w:rsidR="00F50F4B" w:rsidRDefault="00000000">
      <w:pPr>
        <w:pStyle w:val="Heading2"/>
      </w:pPr>
      <w:bookmarkStart w:id="30" w:name="_Toc222150147"/>
      <w:r>
        <w:t>4.2  Übertragbare Ertragskraft</w:t>
      </w:r>
      <w:bookmarkEnd w:id="30"/>
    </w:p>
    <w:p w14:paraId="7B6920E9" w14:textId="77777777" w:rsidR="00F50F4B" w:rsidRDefault="00000000">
      <w:pPr>
        <w:spacing w:after="200" w:line="360" w:lineRule="auto"/>
        <w:jc w:val="both"/>
      </w:pPr>
      <w:r>
        <w:rPr>
          <w:color w:val="475569"/>
        </w:rPr>
        <w:t>Bei großen börsennotierten Unternehmen kann man in der Regel durch die Trennung von Eigentum und Management davon ausgehen, dass die Ertragskraft auf neue Eigentümer voll übertragbar ist. Bei personenbezogenen Unternehmen ist der Einfluss der Eigentümer bzw. Schlüsselpersonen auf die Ertragskraft zu analysieren und diese Einflüsse sind ggf. anlassbezogen zu eliminieren (IDW S1, Tz. 38–42).</w:t>
      </w:r>
    </w:p>
    <w:p w14:paraId="0B20921E" w14:textId="77777777" w:rsidR="00F50F4B" w:rsidRDefault="00000000">
      <w:pPr>
        <w:pStyle w:val="Heading3"/>
      </w:pPr>
      <w:bookmarkStart w:id="31" w:name="_Toc222150148"/>
      <w:r>
        <w:t>Inhabergeführt ist nicht gleich inhaberabhängig</w:t>
      </w:r>
      <w:bookmarkEnd w:id="31"/>
    </w:p>
    <w:p w14:paraId="7B924BF5" w14:textId="77777777" w:rsidR="00F50F4B" w:rsidRDefault="00000000">
      <w:pPr>
        <w:spacing w:after="200" w:line="360" w:lineRule="auto"/>
        <w:jc w:val="both"/>
      </w:pPr>
      <w:r>
        <w:rPr>
          <w:color w:val="475569"/>
        </w:rPr>
        <w:lastRenderedPageBreak/>
        <w:t>Nicht jedes inhabergeführte Unternehmen ist auch inhaberabhängig. Beispielsweise führt ein Arzt oder Physiotherapeut sehr persönliche Dienstleistungen durch, aufgrund derer sich Kunden für dessen inhabergeführte Praxis entscheiden. Bei einem inhabergeführten Self-Storage-Unternehmen hängt die Kundenbeziehung eher von den Gegebenheiten des Unternehmens ab (Lage, Erreichbarkeit, Sicherheit der Räumlichkeiten).</w:t>
      </w:r>
    </w:p>
    <w:p w14:paraId="3678E5A6" w14:textId="77777777" w:rsidR="00F50F4B" w:rsidRDefault="00000000">
      <w:pPr>
        <w:pStyle w:val="Heading3"/>
      </w:pPr>
      <w:bookmarkStart w:id="32" w:name="_Toc222150149"/>
      <w:r>
        <w:t>Betrieblicher und persönlicher Goodwill</w:t>
      </w:r>
      <w:bookmarkEnd w:id="32"/>
    </w:p>
    <w:p w14:paraId="570EDDA8" w14:textId="77777777" w:rsidR="00F50F4B" w:rsidRDefault="00000000">
      <w:pPr>
        <w:spacing w:after="200" w:line="360" w:lineRule="auto"/>
        <w:jc w:val="both"/>
      </w:pPr>
      <w:r>
        <w:rPr>
          <w:color w:val="475569"/>
        </w:rPr>
        <w:t>Man spricht in diesem Zusammenhang von betrieblichem und persönlichem Goodwill. Relevante Erfolgsfaktoren des Unternehmens knüpfen entweder an der Person (persönlicher Goodwill) oder an den Unternehmensmerkmalen (betrieblicher Goodwill) an.</w:t>
      </w:r>
    </w:p>
    <w:p w14:paraId="705A5364" w14:textId="77777777" w:rsidR="00F50F4B" w:rsidRDefault="00000000">
      <w:pPr>
        <w:spacing w:after="200" w:line="360" w:lineRule="auto"/>
        <w:jc w:val="both"/>
      </w:pPr>
      <w:r>
        <w:rPr>
          <w:color w:val="475569"/>
        </w:rPr>
        <w:t>Beispiele für personenbezogenen Goodwill sind:</w:t>
      </w:r>
    </w:p>
    <w:p w14:paraId="543E099B" w14:textId="77777777" w:rsidR="00F50F4B" w:rsidRDefault="00000000">
      <w:pPr>
        <w:pStyle w:val="ListParagraph"/>
        <w:numPr>
          <w:ilvl w:val="0"/>
          <w:numId w:val="2"/>
        </w:numPr>
        <w:spacing w:after="120" w:line="340" w:lineRule="auto"/>
      </w:pPr>
      <w:r>
        <w:rPr>
          <w:color w:val="475569"/>
        </w:rPr>
        <w:t>Besondere Beziehungen zu Kunden, Lieferanten, Mitarbeitern</w:t>
      </w:r>
    </w:p>
    <w:p w14:paraId="6B0356E6" w14:textId="77777777" w:rsidR="00F50F4B" w:rsidRDefault="00000000">
      <w:pPr>
        <w:pStyle w:val="ListParagraph"/>
        <w:numPr>
          <w:ilvl w:val="0"/>
          <w:numId w:val="2"/>
        </w:numPr>
        <w:spacing w:after="120" w:line="340" w:lineRule="auto"/>
      </w:pPr>
      <w:r>
        <w:rPr>
          <w:color w:val="475569"/>
        </w:rPr>
        <w:t>Sonstige Beziehungen persönlicher oder familiärer Art</w:t>
      </w:r>
    </w:p>
    <w:p w14:paraId="7A299C5A" w14:textId="77777777" w:rsidR="00F50F4B" w:rsidRDefault="00000000">
      <w:pPr>
        <w:pStyle w:val="ListParagraph"/>
        <w:numPr>
          <w:ilvl w:val="0"/>
          <w:numId w:val="2"/>
        </w:numPr>
        <w:spacing w:after="120" w:line="340" w:lineRule="auto"/>
      </w:pPr>
      <w:r>
        <w:rPr>
          <w:color w:val="475569"/>
        </w:rPr>
        <w:t>Herausragende Eigenschaften des Eigentümers wie Spezialistenwissen, technisches Know-How, Kreativität</w:t>
      </w:r>
    </w:p>
    <w:p w14:paraId="296030FE" w14:textId="77777777" w:rsidR="00F50F4B" w:rsidRDefault="00000000">
      <w:pPr>
        <w:pStyle w:val="ListParagraph"/>
        <w:numPr>
          <w:ilvl w:val="0"/>
          <w:numId w:val="2"/>
        </w:numPr>
        <w:spacing w:after="120" w:line="340" w:lineRule="auto"/>
      </w:pPr>
      <w:r>
        <w:rPr>
          <w:color w:val="475569"/>
        </w:rPr>
        <w:t>Hohe Loyalität der Arbeitnehmer gegenüber Eigentümer / Schlüsselperson</w:t>
      </w:r>
    </w:p>
    <w:p w14:paraId="6A444355" w14:textId="77777777" w:rsidR="00F50F4B" w:rsidRDefault="00F50F4B">
      <w:pPr>
        <w:spacing w:after="100"/>
      </w:pPr>
    </w:p>
    <w:p w14:paraId="57D80385" w14:textId="77777777" w:rsidR="00F50F4B" w:rsidRDefault="00000000">
      <w:pPr>
        <w:spacing w:after="200" w:line="360" w:lineRule="auto"/>
        <w:jc w:val="both"/>
      </w:pPr>
      <w:r>
        <w:rPr>
          <w:color w:val="475569"/>
        </w:rPr>
        <w:t>Die Ertragskraft kann in übertragbare (betrieblicher Goodwill) und nicht übertragbare Anteile (persönlicher Goodwill) aufgeteilt werden. Wesentlich für die Aufteilung und die Bereinigung personenbezogener Erfolgsfaktoren ist die Einteilung in Kapitaleinsatz und persönliche Leistung.</w:t>
      </w:r>
    </w:p>
    <w:p w14:paraId="150BF7E2" w14:textId="77777777" w:rsidR="00F50F4B" w:rsidRDefault="00000000">
      <w:pPr>
        <w:pStyle w:val="Heading3"/>
      </w:pPr>
      <w:bookmarkStart w:id="33" w:name="_Toc222150150"/>
      <w:r>
        <w:t>Formen der Übertragbarkeit</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F50F4B" w14:paraId="5A24361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07316888" w14:textId="77777777" w:rsidR="00F50F4B" w:rsidRDefault="00000000">
            <w:r>
              <w:rPr>
                <w:b/>
                <w:bCs/>
                <w:color w:val="FFFFFF"/>
                <w:sz w:val="18"/>
                <w:szCs w:val="18"/>
              </w:rPr>
              <w:t>Art</w:t>
            </w:r>
          </w:p>
        </w:tc>
        <w:tc>
          <w:tcPr>
            <w:tcW w:w="350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0D83CB34" w14:textId="77777777" w:rsidR="00F50F4B" w:rsidRDefault="00000000">
            <w:r>
              <w:rPr>
                <w:b/>
                <w:bCs/>
                <w:color w:val="FFFFFF"/>
                <w:sz w:val="18"/>
                <w:szCs w:val="18"/>
              </w:rPr>
              <w:t>Verlauf</w:t>
            </w:r>
          </w:p>
        </w:tc>
        <w:tc>
          <w:tcPr>
            <w:tcW w:w="3526"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14173A4C" w14:textId="77777777" w:rsidR="00F50F4B" w:rsidRDefault="00000000">
            <w:r>
              <w:rPr>
                <w:b/>
                <w:bCs/>
                <w:color w:val="FFFFFF"/>
                <w:sz w:val="18"/>
                <w:szCs w:val="18"/>
              </w:rPr>
              <w:t>Beispiele</w:t>
            </w:r>
          </w:p>
        </w:tc>
      </w:tr>
      <w:tr w:rsidR="00F50F4B" w14:paraId="037415D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A3D2C29" w14:textId="77777777" w:rsidR="00F50F4B" w:rsidRDefault="00000000">
            <w:pPr>
              <w:spacing w:line="300" w:lineRule="auto"/>
            </w:pPr>
            <w:r>
              <w:rPr>
                <w:color w:val="475569"/>
                <w:sz w:val="19"/>
                <w:szCs w:val="19"/>
              </w:rPr>
              <w:t>Dauerhaft</w:t>
            </w:r>
          </w:p>
        </w:tc>
        <w:tc>
          <w:tcPr>
            <w:tcW w:w="3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7D4061F" w14:textId="77777777" w:rsidR="00F50F4B" w:rsidRDefault="00000000">
            <w:pPr>
              <w:spacing w:line="300" w:lineRule="auto"/>
            </w:pPr>
            <w:r>
              <w:rPr>
                <w:color w:val="475569"/>
                <w:sz w:val="19"/>
                <w:szCs w:val="19"/>
              </w:rPr>
              <w:t>Ertragskraft bleibt voll erhalten</w:t>
            </w:r>
          </w:p>
        </w:tc>
        <w:tc>
          <w:tcPr>
            <w:tcW w:w="35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BFBBC4F" w14:textId="77777777" w:rsidR="00F50F4B" w:rsidRDefault="00000000">
            <w:pPr>
              <w:spacing w:line="300" w:lineRule="auto"/>
            </w:pPr>
            <w:r>
              <w:rPr>
                <w:color w:val="475569"/>
                <w:sz w:val="19"/>
                <w:szCs w:val="19"/>
              </w:rPr>
              <w:t>Standortabhängiges Geschäft mit Laufkundschaft (Tankstelle, Apotheke)</w:t>
            </w:r>
          </w:p>
        </w:tc>
      </w:tr>
      <w:tr w:rsidR="00F50F4B" w14:paraId="2689AC4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777A02C" w14:textId="77777777" w:rsidR="00F50F4B" w:rsidRDefault="00000000">
            <w:pPr>
              <w:spacing w:line="300" w:lineRule="auto"/>
            </w:pPr>
            <w:r>
              <w:rPr>
                <w:color w:val="475569"/>
                <w:sz w:val="19"/>
                <w:szCs w:val="19"/>
              </w:rPr>
              <w:t>Partiell</w:t>
            </w:r>
          </w:p>
        </w:tc>
        <w:tc>
          <w:tcPr>
            <w:tcW w:w="3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3486623" w14:textId="77777777" w:rsidR="00F50F4B" w:rsidRDefault="00000000">
            <w:pPr>
              <w:spacing w:line="300" w:lineRule="auto"/>
            </w:pPr>
            <w:r>
              <w:rPr>
                <w:color w:val="475569"/>
                <w:sz w:val="19"/>
                <w:szCs w:val="19"/>
              </w:rPr>
              <w:t>Ertragskraft geht teilweise verloren</w:t>
            </w:r>
          </w:p>
        </w:tc>
        <w:tc>
          <w:tcPr>
            <w:tcW w:w="35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B8348B8" w14:textId="77777777" w:rsidR="00F50F4B" w:rsidRDefault="00000000">
            <w:pPr>
              <w:spacing w:line="300" w:lineRule="auto"/>
            </w:pPr>
            <w:r>
              <w:rPr>
                <w:color w:val="475569"/>
                <w:sz w:val="19"/>
                <w:szCs w:val="19"/>
              </w:rPr>
              <w:t>Kundenstamm geht langsam verloren, neue Kunden müssen gewonnen werden</w:t>
            </w:r>
          </w:p>
        </w:tc>
      </w:tr>
      <w:tr w:rsidR="00F50F4B" w14:paraId="755ABC3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AA346A9" w14:textId="77777777" w:rsidR="00F50F4B" w:rsidRDefault="00000000">
            <w:pPr>
              <w:spacing w:line="300" w:lineRule="auto"/>
            </w:pPr>
            <w:r>
              <w:rPr>
                <w:color w:val="475569"/>
                <w:sz w:val="19"/>
                <w:szCs w:val="19"/>
              </w:rPr>
              <w:t>Temporär</w:t>
            </w:r>
          </w:p>
        </w:tc>
        <w:tc>
          <w:tcPr>
            <w:tcW w:w="3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4DA8894" w14:textId="77777777" w:rsidR="00F50F4B" w:rsidRDefault="00000000">
            <w:pPr>
              <w:spacing w:line="300" w:lineRule="auto"/>
            </w:pPr>
            <w:r>
              <w:rPr>
                <w:color w:val="475569"/>
                <w:sz w:val="19"/>
                <w:szCs w:val="19"/>
              </w:rPr>
              <w:t>Ertragskraft zunächst gesichert, dann abfallend</w:t>
            </w:r>
          </w:p>
        </w:tc>
        <w:tc>
          <w:tcPr>
            <w:tcW w:w="35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EB65EAC" w14:textId="77777777" w:rsidR="00F50F4B" w:rsidRDefault="00000000">
            <w:pPr>
              <w:spacing w:line="300" w:lineRule="auto"/>
            </w:pPr>
            <w:r>
              <w:rPr>
                <w:color w:val="475569"/>
                <w:sz w:val="19"/>
                <w:szCs w:val="19"/>
              </w:rPr>
              <w:t>Feste Restlaufzeit der Kundenverträge, Patentschutz</w:t>
            </w:r>
          </w:p>
        </w:tc>
      </w:tr>
      <w:tr w:rsidR="00F50F4B" w14:paraId="209074B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4F32149" w14:textId="77777777" w:rsidR="00F50F4B" w:rsidRDefault="00000000">
            <w:pPr>
              <w:spacing w:line="300" w:lineRule="auto"/>
            </w:pPr>
            <w:r>
              <w:rPr>
                <w:color w:val="475569"/>
                <w:sz w:val="19"/>
                <w:szCs w:val="19"/>
              </w:rPr>
              <w:t>Temporär verzögert</w:t>
            </w:r>
          </w:p>
        </w:tc>
        <w:tc>
          <w:tcPr>
            <w:tcW w:w="3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E50B3E0" w14:textId="77777777" w:rsidR="00F50F4B" w:rsidRDefault="00000000">
            <w:pPr>
              <w:spacing w:line="300" w:lineRule="auto"/>
            </w:pPr>
            <w:r>
              <w:rPr>
                <w:color w:val="475569"/>
                <w:sz w:val="19"/>
                <w:szCs w:val="19"/>
              </w:rPr>
              <w:t>Ertragskraft bleibt vorübergehend, fällt dann ab</w:t>
            </w:r>
          </w:p>
        </w:tc>
        <w:tc>
          <w:tcPr>
            <w:tcW w:w="35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91187B8" w14:textId="77777777" w:rsidR="00F50F4B" w:rsidRDefault="00000000">
            <w:pPr>
              <w:spacing w:line="300" w:lineRule="auto"/>
            </w:pPr>
            <w:r>
              <w:rPr>
                <w:color w:val="475569"/>
                <w:sz w:val="19"/>
                <w:szCs w:val="19"/>
              </w:rPr>
              <w:t>GF bleibt für gewisse Zeit im Unternehmen</w:t>
            </w:r>
          </w:p>
        </w:tc>
      </w:tr>
      <w:tr w:rsidR="00F50F4B" w14:paraId="02ABC6D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0D94B6B" w14:textId="77777777" w:rsidR="00F50F4B" w:rsidRDefault="00000000">
            <w:pPr>
              <w:spacing w:line="300" w:lineRule="auto"/>
            </w:pPr>
            <w:r>
              <w:rPr>
                <w:color w:val="475569"/>
                <w:sz w:val="19"/>
                <w:szCs w:val="19"/>
              </w:rPr>
              <w:t>Gar nicht</w:t>
            </w:r>
          </w:p>
        </w:tc>
        <w:tc>
          <w:tcPr>
            <w:tcW w:w="35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B2F2CA7" w14:textId="77777777" w:rsidR="00F50F4B" w:rsidRDefault="00000000">
            <w:pPr>
              <w:spacing w:line="300" w:lineRule="auto"/>
            </w:pPr>
            <w:r>
              <w:rPr>
                <w:color w:val="475569"/>
                <w:sz w:val="19"/>
                <w:szCs w:val="19"/>
              </w:rPr>
              <w:t>Ertragskraft nicht übertragbar</w:t>
            </w:r>
          </w:p>
        </w:tc>
        <w:tc>
          <w:tcPr>
            <w:tcW w:w="35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BD0C1E9" w14:textId="77777777" w:rsidR="00F50F4B" w:rsidRDefault="00000000">
            <w:pPr>
              <w:spacing w:line="300" w:lineRule="auto"/>
            </w:pPr>
            <w:r>
              <w:rPr>
                <w:color w:val="475569"/>
                <w:sz w:val="19"/>
                <w:szCs w:val="19"/>
              </w:rPr>
              <w:t>Persönliche DL, Geschäfte mit Freunden/Verwandten</w:t>
            </w:r>
          </w:p>
        </w:tc>
      </w:tr>
    </w:tbl>
    <w:p w14:paraId="12F6D1C3" w14:textId="77777777" w:rsidR="00F50F4B" w:rsidRDefault="00F50F4B">
      <w:pPr>
        <w:spacing w:after="100"/>
      </w:pPr>
    </w:p>
    <w:p w14:paraId="21D9E229" w14:textId="77777777" w:rsidR="00F50F4B" w:rsidRDefault="00000000">
      <w:pPr>
        <w:pStyle w:val="Heading3"/>
      </w:pPr>
      <w:bookmarkStart w:id="34" w:name="_Toc222150151"/>
      <w:r>
        <w:lastRenderedPageBreak/>
        <w:t>Bewertungstechnische Konsequenzen</w:t>
      </w:r>
      <w:bookmarkEnd w:id="34"/>
    </w:p>
    <w:p w14:paraId="3EC611D7" w14:textId="77777777" w:rsidR="00F50F4B" w:rsidRDefault="00000000">
      <w:pPr>
        <w:spacing w:after="200" w:line="360" w:lineRule="auto"/>
        <w:jc w:val="both"/>
      </w:pPr>
      <w:r>
        <w:rPr>
          <w:color w:val="475569"/>
        </w:rPr>
        <w:t>Die Form der Übertragbarkeit bestimmt das bewertungstechnische Vorgehen:</w:t>
      </w:r>
    </w:p>
    <w:p w14:paraId="4FA741DE" w14:textId="77777777" w:rsidR="00F50F4B" w:rsidRDefault="00000000">
      <w:pPr>
        <w:pStyle w:val="ListParagraph"/>
        <w:numPr>
          <w:ilvl w:val="0"/>
          <w:numId w:val="2"/>
        </w:numPr>
        <w:spacing w:after="120" w:line="340" w:lineRule="auto"/>
      </w:pPr>
      <w:r>
        <w:rPr>
          <w:color w:val="475569"/>
        </w:rPr>
        <w:t>Voll übertragbar: Standardbewertung nach IDW S1 ohne Anpassung der Ertragskraft. Dies ist der „Normalfall“ bei größeren gewerblichen KMU oder bei standortbezogenen Geschäften mit Laufkundschaft.</w:t>
      </w:r>
    </w:p>
    <w:p w14:paraId="5E96B68A" w14:textId="77777777" w:rsidR="00F50F4B" w:rsidRDefault="00000000">
      <w:pPr>
        <w:pStyle w:val="ListParagraph"/>
        <w:numPr>
          <w:ilvl w:val="0"/>
          <w:numId w:val="2"/>
        </w:numPr>
        <w:spacing w:after="120" w:line="340" w:lineRule="auto"/>
      </w:pPr>
      <w:r>
        <w:rPr>
          <w:color w:val="475569"/>
        </w:rPr>
        <w:t>Partiell oder temporär übertragbar: Die Ertragskraft wird mittels der Abschmelz-Methode (vgl. Abschnitt 4.3) auf den übertragbaren Anteil reduziert. Dies ist der häufigste Fall bei inhabergeprägten KMU.</w:t>
      </w:r>
    </w:p>
    <w:p w14:paraId="56E5C49E" w14:textId="77777777" w:rsidR="00F50F4B" w:rsidRDefault="00000000">
      <w:pPr>
        <w:pStyle w:val="ListParagraph"/>
        <w:numPr>
          <w:ilvl w:val="0"/>
          <w:numId w:val="2"/>
        </w:numPr>
        <w:spacing w:after="120" w:line="340" w:lineRule="auto"/>
      </w:pPr>
      <w:r>
        <w:rPr>
          <w:color w:val="475569"/>
        </w:rPr>
        <w:t>Nicht übertragbar: Ist die Ertragskraft vollständig an die Person des Eigentümers gebunden, kommt eine Fortführungsbewertung nicht in Betracht. In diesem Fall bildet der Liquidationswert die relevante Wertgröße (vgl. Abschnitt 4.3, Sonderfall Liquidationswert).</w:t>
      </w:r>
    </w:p>
    <w:p w14:paraId="47B4BE3C" w14:textId="77777777" w:rsidR="00F50F4B" w:rsidRDefault="00F50F4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223013FB"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7BF2DFA8" w14:textId="77777777" w:rsidR="00F50F4B" w:rsidRDefault="00000000">
            <w:pPr>
              <w:spacing w:after="80"/>
            </w:pPr>
            <w:r>
              <w:rPr>
                <w:b/>
                <w:bCs/>
                <w:color w:val="F97316"/>
              </w:rPr>
              <w:t>Standortbezogene Ertragskraft</w:t>
            </w:r>
          </w:p>
          <w:p w14:paraId="2F7B2465" w14:textId="77777777" w:rsidR="00F50F4B" w:rsidRDefault="00000000">
            <w:pPr>
              <w:spacing w:line="340" w:lineRule="auto"/>
            </w:pPr>
            <w:r>
              <w:rPr>
                <w:color w:val="475569"/>
                <w:sz w:val="21"/>
                <w:szCs w:val="21"/>
              </w:rPr>
              <w:t>Eine wichtige Ausnahme bilden standortabhängige Geschäfte wie z. B. Apotheken, Tankstellen oder Bäckereien in stark frequentierten Lagen. Hier hängt die Kundenbeziehung primär vom Standort und nicht von der Person des Inhabers ab. Trotz Inhaberführung kann die Ertragskraft in solchen Fällen dauerhaft übertragbar sein.</w:t>
            </w:r>
          </w:p>
        </w:tc>
      </w:tr>
    </w:tbl>
    <w:p w14:paraId="297B3D21" w14:textId="77777777" w:rsidR="00F50F4B" w:rsidRDefault="00F50F4B">
      <w:pPr>
        <w:spacing w:after="100"/>
      </w:pPr>
    </w:p>
    <w:p w14:paraId="77E4F69F" w14:textId="77777777" w:rsidR="00F50F4B" w:rsidRDefault="00000000">
      <w:pPr>
        <w:pStyle w:val="Heading2"/>
      </w:pPr>
      <w:bookmarkStart w:id="35" w:name="_Toc222150152"/>
      <w:r>
        <w:t>4.3  Die Abschmelz-Methode</w:t>
      </w:r>
      <w:bookmarkEnd w:id="35"/>
    </w:p>
    <w:p w14:paraId="25D63796" w14:textId="77777777" w:rsidR="00F50F4B" w:rsidRDefault="00000000">
      <w:pPr>
        <w:spacing w:after="200" w:line="360" w:lineRule="auto"/>
        <w:jc w:val="both"/>
      </w:pPr>
      <w:r>
        <w:rPr>
          <w:color w:val="475569"/>
        </w:rPr>
        <w:t>Wenn die Ertragskraft nicht voll übertragbar ist, muss dies im Bewertungsmodell berücksichtigt werden. Die Abschmelz-Methode ist das zentrale Instrument hierfür. Es gibt grundsätzlich zwei Ansatzpunkte:</w:t>
      </w:r>
    </w:p>
    <w:p w14:paraId="261F38DB" w14:textId="77777777" w:rsidR="00F50F4B" w:rsidRDefault="00000000">
      <w:pPr>
        <w:pStyle w:val="Heading3"/>
      </w:pPr>
      <w:bookmarkStart w:id="36" w:name="_Toc222150153"/>
      <w:r>
        <w:t>(a) Abschmelzung des Kundenstamms</w:t>
      </w:r>
      <w:bookmarkEnd w:id="36"/>
    </w:p>
    <w:p w14:paraId="16D4E85A" w14:textId="77777777" w:rsidR="00F50F4B" w:rsidRDefault="00000000">
      <w:pPr>
        <w:spacing w:after="200" w:line="360" w:lineRule="auto"/>
        <w:jc w:val="both"/>
      </w:pPr>
      <w:r>
        <w:rPr>
          <w:color w:val="475569"/>
        </w:rPr>
        <w:t>Bei einem oder wenigen isolierbaren immateriellen Faktoren, z. B. dem Kundenstamm, können Abwanderungsraten der Umsatzerlöse ggf. aus historischen Daten abgeleitet werden. Die Nutzungsdauer der immateriellen Faktoren und die Abschmelzgeschwindigkeit müssen geschätzt werden.</w:t>
      </w:r>
    </w:p>
    <w:p w14:paraId="00E2806B" w14:textId="77777777" w:rsidR="00F50F4B" w:rsidRDefault="00000000">
      <w:pPr>
        <w:pStyle w:val="Heading3"/>
      </w:pPr>
      <w:bookmarkStart w:id="37" w:name="_Toc222150154"/>
      <w:r>
        <w:t>(b) Abschmelzung der Überrenditen</w:t>
      </w:r>
      <w:bookmarkEnd w:id="37"/>
    </w:p>
    <w:p w14:paraId="0C65336F" w14:textId="77777777" w:rsidR="00F50F4B" w:rsidRDefault="00000000">
      <w:pPr>
        <w:spacing w:after="200" w:line="360" w:lineRule="auto"/>
        <w:jc w:val="both"/>
      </w:pPr>
      <w:r>
        <w:rPr>
          <w:color w:val="475569"/>
        </w:rPr>
        <w:t xml:space="preserve">Wenn der relevante Faktor nicht isoliert betrachtet werden kann, wird das durch die Gesellschaft eingesetzte Kapital mit dem Diskontierungszinssatz verzinst. Diese Verzinsung stellt eine angemessene Benchmark dar; darüber hinausgehende Renditen werden als Überrenditen angesehen. Diese werden gemäß des angenommenen Abschmelzungsverlaufs </w:t>
      </w:r>
      <w:r>
        <w:rPr>
          <w:color w:val="475569"/>
        </w:rPr>
        <w:lastRenderedPageBreak/>
        <w:t>abgeschmolzen und der nicht übertragbare Teil wird von den Zahlungsmittelüberschüssen abgezogen.</w:t>
      </w:r>
    </w:p>
    <w:p w14:paraId="2172E366" w14:textId="77777777" w:rsidR="00F50F4B" w:rsidRDefault="00000000">
      <w:pPr>
        <w:spacing w:after="200" w:line="360" w:lineRule="auto"/>
        <w:jc w:val="both"/>
      </w:pPr>
      <w:r>
        <w:rPr>
          <w:color w:val="475569"/>
        </w:rPr>
        <w:t>Vereinfachend werden in der Praxis teilweise auch operative Margen der Gesellschaft auf ein marktübliches Niveau abgeschmolzen.</w:t>
      </w:r>
    </w:p>
    <w:p w14:paraId="4F8A7644" w14:textId="77777777" w:rsidR="00F50F4B" w:rsidRDefault="00000000">
      <w:pPr>
        <w:pStyle w:val="Heading3"/>
      </w:pPr>
      <w:bookmarkStart w:id="38" w:name="_Toc222150155"/>
      <w:r>
        <w:t>Schätzung der Abschmelz-Höhe – Scoring-Methode (MuM-Methode)</w:t>
      </w:r>
      <w:bookmarkEnd w:id="38"/>
    </w:p>
    <w:p w14:paraId="0DE7E55C" w14:textId="77777777" w:rsidR="00F50F4B" w:rsidRDefault="00000000">
      <w:pPr>
        <w:spacing w:after="200" w:line="360" w:lineRule="auto"/>
        <w:jc w:val="both"/>
      </w:pPr>
      <w:r>
        <w:rPr>
          <w:color w:val="475569"/>
        </w:rPr>
        <w:t>Die Höhe abschmelzender Überrenditen kann unter anderem durch eine Trennung in betrieblichen und persönlichen Goodwill bestimmt werden. Dabei wird die Abhängigkeit des Bestands der immateriellen Faktoren von der Reputation des Unternehmens, der Existenz anderer Werte im Unternehmen sowie der Person des Eigentümers analysiert und auf die Sphäre des Unternehmens (betrieblicher Goodwill) sowie der Person des Eigentümers (persönlicher Goodwill) aufgeteilt.</w:t>
      </w:r>
    </w:p>
    <w:p w14:paraId="1456C3B4" w14:textId="77777777" w:rsidR="00F50F4B" w:rsidRDefault="00000000">
      <w:pPr>
        <w:spacing w:after="200" w:line="360" w:lineRule="auto"/>
        <w:jc w:val="both"/>
      </w:pPr>
      <w:r>
        <w:rPr>
          <w:color w:val="475569"/>
        </w:rPr>
        <w:t>Ein systematischer Ansatz zur Bestimmung der Abschmelzhöhe ist die sogenannte MuM-Methode (Scoring-Methode). Dabei werden zehn Kategorien gleichgewichtet (je 10 %) bewertet und dem persönlichen oder betrieblichen Goodwill zugeordnet: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gridCol w:w="1826"/>
      </w:tblGrid>
      <w:tr w:rsidR="00F50F4B" w14:paraId="3DE1E8B6"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1E40AF"/>
            <w:tcMar>
              <w:top w:w="60" w:type="dxa"/>
              <w:left w:w="100" w:type="dxa"/>
              <w:bottom w:w="60" w:type="dxa"/>
              <w:right w:w="100" w:type="dxa"/>
            </w:tcMar>
          </w:tcPr>
          <w:p w14:paraId="5F9E9C97" w14:textId="77777777" w:rsidR="00F50F4B" w:rsidRDefault="00000000">
            <w:r>
              <w:rPr>
                <w:b/>
                <w:bCs/>
                <w:color w:val="FFFFFF"/>
                <w:sz w:val="17"/>
                <w:szCs w:val="17"/>
              </w:rPr>
              <w:t>Kategorie</w:t>
            </w:r>
          </w:p>
        </w:tc>
        <w:tc>
          <w:tcPr>
            <w:tcW w:w="1900" w:type="dxa"/>
            <w:tcBorders>
              <w:top w:val="single" w:sz="1" w:space="0" w:color="E2E8F0"/>
              <w:left w:val="single" w:sz="1" w:space="0" w:color="E2E8F0"/>
              <w:bottom w:val="single" w:sz="1" w:space="0" w:color="E2E8F0"/>
              <w:right w:val="single" w:sz="1" w:space="0" w:color="E2E8F0"/>
            </w:tcBorders>
            <w:shd w:val="clear" w:color="auto" w:fill="1E40AF"/>
            <w:tcMar>
              <w:top w:w="60" w:type="dxa"/>
              <w:left w:w="100" w:type="dxa"/>
              <w:bottom w:w="60" w:type="dxa"/>
              <w:right w:w="100" w:type="dxa"/>
            </w:tcMar>
          </w:tcPr>
          <w:p w14:paraId="62EA42A4" w14:textId="77777777" w:rsidR="00F50F4B" w:rsidRDefault="00000000">
            <w:r>
              <w:rPr>
                <w:b/>
                <w:bCs/>
                <w:color w:val="FFFFFF"/>
                <w:sz w:val="17"/>
                <w:szCs w:val="17"/>
              </w:rPr>
              <w:t>Persönlicher Goodwill</w:t>
            </w:r>
          </w:p>
        </w:tc>
        <w:tc>
          <w:tcPr>
            <w:tcW w:w="1900" w:type="dxa"/>
            <w:tcBorders>
              <w:top w:val="single" w:sz="1" w:space="0" w:color="E2E8F0"/>
              <w:left w:val="single" w:sz="1" w:space="0" w:color="E2E8F0"/>
              <w:bottom w:val="single" w:sz="1" w:space="0" w:color="E2E8F0"/>
              <w:right w:val="single" w:sz="1" w:space="0" w:color="E2E8F0"/>
            </w:tcBorders>
            <w:shd w:val="clear" w:color="auto" w:fill="1E40AF"/>
            <w:tcMar>
              <w:top w:w="60" w:type="dxa"/>
              <w:left w:w="100" w:type="dxa"/>
              <w:bottom w:w="60" w:type="dxa"/>
              <w:right w:w="100" w:type="dxa"/>
            </w:tcMar>
          </w:tcPr>
          <w:p w14:paraId="500B7C19" w14:textId="77777777" w:rsidR="00F50F4B" w:rsidRDefault="00000000">
            <w:r>
              <w:rPr>
                <w:b/>
                <w:bCs/>
                <w:color w:val="FFFFFF"/>
                <w:sz w:val="17"/>
                <w:szCs w:val="17"/>
              </w:rPr>
              <w:t>Betrieblicher Goodwill</w:t>
            </w:r>
          </w:p>
        </w:tc>
        <w:tc>
          <w:tcPr>
            <w:tcW w:w="1826" w:type="dxa"/>
            <w:tcBorders>
              <w:top w:val="single" w:sz="1" w:space="0" w:color="E2E8F0"/>
              <w:left w:val="single" w:sz="1" w:space="0" w:color="E2E8F0"/>
              <w:bottom w:val="single" w:sz="1" w:space="0" w:color="E2E8F0"/>
              <w:right w:val="single" w:sz="1" w:space="0" w:color="E2E8F0"/>
            </w:tcBorders>
            <w:shd w:val="clear" w:color="auto" w:fill="1E40AF"/>
            <w:tcMar>
              <w:top w:w="60" w:type="dxa"/>
              <w:left w:w="100" w:type="dxa"/>
              <w:bottom w:w="60" w:type="dxa"/>
              <w:right w:w="100" w:type="dxa"/>
            </w:tcMar>
          </w:tcPr>
          <w:p w14:paraId="63A4A1D9" w14:textId="77777777" w:rsidR="00F50F4B" w:rsidRDefault="00000000">
            <w:r>
              <w:rPr>
                <w:b/>
                <w:bCs/>
                <w:color w:val="FFFFFF"/>
                <w:sz w:val="17"/>
                <w:szCs w:val="17"/>
              </w:rPr>
              <w:t>Gewichtung</w:t>
            </w:r>
          </w:p>
        </w:tc>
      </w:tr>
      <w:tr w:rsidR="00F50F4B" w14:paraId="35301CF6"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EA950A8" w14:textId="77777777" w:rsidR="00F50F4B" w:rsidRDefault="00000000">
            <w:pPr>
              <w:spacing w:line="300" w:lineRule="auto"/>
            </w:pPr>
            <w:r>
              <w:rPr>
                <w:color w:val="475569"/>
                <w:sz w:val="19"/>
                <w:szCs w:val="19"/>
              </w:rPr>
              <w:t>Fähigkeiten und Vorteile</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087FBE5" w14:textId="77777777" w:rsidR="00F50F4B" w:rsidRDefault="00000000">
            <w:pPr>
              <w:spacing w:line="300" w:lineRule="auto"/>
            </w:pPr>
            <w:r>
              <w:rPr>
                <w:color w:val="475569"/>
                <w:sz w:val="19"/>
                <w:szCs w:val="19"/>
              </w:rPr>
              <w:t>100 %</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BD7693D" w14:textId="77777777" w:rsidR="00F50F4B" w:rsidRDefault="00000000">
            <w:pPr>
              <w:spacing w:line="300" w:lineRule="auto"/>
            </w:pPr>
            <w:r>
              <w:rPr>
                <w:color w:val="475569"/>
                <w:sz w:val="19"/>
                <w:szCs w:val="19"/>
              </w:rPr>
              <w:t>–</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1ED3C52" w14:textId="77777777" w:rsidR="00F50F4B" w:rsidRDefault="00000000">
            <w:pPr>
              <w:spacing w:line="300" w:lineRule="auto"/>
            </w:pPr>
            <w:r>
              <w:rPr>
                <w:color w:val="475569"/>
                <w:sz w:val="19"/>
                <w:szCs w:val="19"/>
              </w:rPr>
              <w:t>10 %</w:t>
            </w:r>
          </w:p>
        </w:tc>
      </w:tr>
      <w:tr w:rsidR="00F50F4B" w14:paraId="28D12774"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1D3D6EC" w14:textId="77777777" w:rsidR="00F50F4B" w:rsidRDefault="00000000">
            <w:pPr>
              <w:spacing w:line="300" w:lineRule="auto"/>
            </w:pPr>
            <w:r>
              <w:rPr>
                <w:color w:val="475569"/>
                <w:sz w:val="19"/>
                <w:szCs w:val="19"/>
              </w:rPr>
              <w:t>Alter, Gesundheit, Arbeitsethos</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6E8CF24" w14:textId="77777777" w:rsidR="00F50F4B" w:rsidRDefault="00000000">
            <w:pPr>
              <w:spacing w:line="300" w:lineRule="auto"/>
            </w:pPr>
            <w:r>
              <w:rPr>
                <w:color w:val="475569"/>
                <w:sz w:val="19"/>
                <w:szCs w:val="19"/>
              </w:rPr>
              <w:t>100 %</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C5F3C6B" w14:textId="77777777" w:rsidR="00F50F4B" w:rsidRDefault="00000000">
            <w:pPr>
              <w:spacing w:line="300" w:lineRule="auto"/>
            </w:pPr>
            <w:r>
              <w:rPr>
                <w:color w:val="475569"/>
                <w:sz w:val="19"/>
                <w:szCs w:val="19"/>
              </w:rPr>
              <w:t>–</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C9DB261" w14:textId="77777777" w:rsidR="00F50F4B" w:rsidRDefault="00000000">
            <w:pPr>
              <w:spacing w:line="300" w:lineRule="auto"/>
            </w:pPr>
            <w:r>
              <w:rPr>
                <w:color w:val="475569"/>
                <w:sz w:val="19"/>
                <w:szCs w:val="19"/>
              </w:rPr>
              <w:t>10 %</w:t>
            </w:r>
          </w:p>
        </w:tc>
      </w:tr>
      <w:tr w:rsidR="00F50F4B" w14:paraId="1EFD095A"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AE35C69" w14:textId="77777777" w:rsidR="00F50F4B" w:rsidRDefault="00000000">
            <w:pPr>
              <w:spacing w:line="300" w:lineRule="auto"/>
            </w:pPr>
            <w:r>
              <w:rPr>
                <w:color w:val="475569"/>
                <w:sz w:val="19"/>
                <w:szCs w:val="19"/>
              </w:rPr>
              <w:t>Reputation</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F5D2F16" w14:textId="77777777" w:rsidR="00F50F4B" w:rsidRDefault="00000000">
            <w:pPr>
              <w:spacing w:line="300" w:lineRule="auto"/>
            </w:pPr>
            <w:r>
              <w:rPr>
                <w:color w:val="475569"/>
                <w:sz w:val="19"/>
                <w:szCs w:val="19"/>
              </w:rPr>
              <w:t>100 %</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4E46471" w14:textId="77777777" w:rsidR="00F50F4B" w:rsidRDefault="00000000">
            <w:pPr>
              <w:spacing w:line="300" w:lineRule="auto"/>
            </w:pPr>
            <w:r>
              <w:rPr>
                <w:color w:val="475569"/>
                <w:sz w:val="19"/>
                <w:szCs w:val="19"/>
              </w:rPr>
              <w:t>–</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8EE09DC" w14:textId="77777777" w:rsidR="00F50F4B" w:rsidRDefault="00000000">
            <w:pPr>
              <w:spacing w:line="300" w:lineRule="auto"/>
            </w:pPr>
            <w:r>
              <w:rPr>
                <w:color w:val="475569"/>
                <w:sz w:val="19"/>
                <w:szCs w:val="19"/>
              </w:rPr>
              <w:t>10 %</w:t>
            </w:r>
          </w:p>
        </w:tc>
      </w:tr>
      <w:tr w:rsidR="00F50F4B" w14:paraId="22F74710"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C5C7FA9" w14:textId="77777777" w:rsidR="00F50F4B" w:rsidRDefault="00000000">
            <w:pPr>
              <w:spacing w:line="300" w:lineRule="auto"/>
            </w:pPr>
            <w:r>
              <w:rPr>
                <w:color w:val="475569"/>
                <w:sz w:val="19"/>
                <w:szCs w:val="19"/>
              </w:rPr>
              <w:t>Bindung des Personals</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39A588D" w14:textId="77777777" w:rsidR="00F50F4B" w:rsidRDefault="00000000">
            <w:pPr>
              <w:spacing w:line="300" w:lineRule="auto"/>
            </w:pPr>
            <w:r>
              <w:rPr>
                <w:color w:val="475569"/>
                <w:sz w:val="19"/>
                <w:szCs w:val="19"/>
              </w:rPr>
              <w:t>–</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343F143" w14:textId="77777777" w:rsidR="00F50F4B" w:rsidRDefault="00000000">
            <w:pPr>
              <w:spacing w:line="300" w:lineRule="auto"/>
            </w:pPr>
            <w:r>
              <w:rPr>
                <w:color w:val="475569"/>
                <w:sz w:val="19"/>
                <w:szCs w:val="19"/>
              </w:rPr>
              <w:t>100 %</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08B8197" w14:textId="77777777" w:rsidR="00F50F4B" w:rsidRDefault="00000000">
            <w:pPr>
              <w:spacing w:line="300" w:lineRule="auto"/>
            </w:pPr>
            <w:r>
              <w:rPr>
                <w:color w:val="475569"/>
                <w:sz w:val="19"/>
                <w:szCs w:val="19"/>
              </w:rPr>
              <w:t>10 %</w:t>
            </w:r>
          </w:p>
        </w:tc>
      </w:tr>
      <w:tr w:rsidR="00F50F4B" w14:paraId="650CD790"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36DF60D" w14:textId="77777777" w:rsidR="00F50F4B" w:rsidRDefault="00000000">
            <w:pPr>
              <w:spacing w:line="300" w:lineRule="auto"/>
            </w:pPr>
            <w:r>
              <w:rPr>
                <w:color w:val="475569"/>
                <w:sz w:val="19"/>
                <w:szCs w:val="19"/>
              </w:rPr>
              <w:t>Firmenname</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C84FDE8" w14:textId="77777777" w:rsidR="00F50F4B" w:rsidRDefault="00000000">
            <w:pPr>
              <w:spacing w:line="300" w:lineRule="auto"/>
            </w:pPr>
            <w:r>
              <w:rPr>
                <w:color w:val="475569"/>
                <w:sz w:val="19"/>
                <w:szCs w:val="19"/>
              </w:rPr>
              <w:t>–</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50D7511" w14:textId="77777777" w:rsidR="00F50F4B" w:rsidRDefault="00000000">
            <w:pPr>
              <w:spacing w:line="300" w:lineRule="auto"/>
            </w:pPr>
            <w:r>
              <w:rPr>
                <w:color w:val="475569"/>
                <w:sz w:val="19"/>
                <w:szCs w:val="19"/>
              </w:rPr>
              <w:t>100 %</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050C119" w14:textId="77777777" w:rsidR="00F50F4B" w:rsidRDefault="00000000">
            <w:pPr>
              <w:spacing w:line="300" w:lineRule="auto"/>
            </w:pPr>
            <w:r>
              <w:rPr>
                <w:color w:val="475569"/>
                <w:sz w:val="19"/>
                <w:szCs w:val="19"/>
              </w:rPr>
              <w:t>10 %</w:t>
            </w:r>
          </w:p>
        </w:tc>
      </w:tr>
      <w:tr w:rsidR="00F50F4B" w14:paraId="4D7D097B"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8B69657" w14:textId="77777777" w:rsidR="00F50F4B" w:rsidRDefault="00000000">
            <w:pPr>
              <w:spacing w:line="300" w:lineRule="auto"/>
            </w:pPr>
            <w:r>
              <w:rPr>
                <w:color w:val="475569"/>
                <w:sz w:val="19"/>
                <w:szCs w:val="19"/>
              </w:rPr>
              <w:t>Marketing und Branding</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FB25814" w14:textId="77777777" w:rsidR="00F50F4B" w:rsidRDefault="00000000">
            <w:pPr>
              <w:spacing w:line="300" w:lineRule="auto"/>
            </w:pPr>
            <w:r>
              <w:rPr>
                <w:color w:val="475569"/>
                <w:sz w:val="19"/>
                <w:szCs w:val="19"/>
              </w:rPr>
              <w:t>–</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7E9D441" w14:textId="77777777" w:rsidR="00F50F4B" w:rsidRDefault="00000000">
            <w:pPr>
              <w:spacing w:line="300" w:lineRule="auto"/>
            </w:pPr>
            <w:r>
              <w:rPr>
                <w:color w:val="475569"/>
                <w:sz w:val="19"/>
                <w:szCs w:val="19"/>
              </w:rPr>
              <w:t>100 %</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080850D" w14:textId="77777777" w:rsidR="00F50F4B" w:rsidRDefault="00000000">
            <w:pPr>
              <w:spacing w:line="300" w:lineRule="auto"/>
            </w:pPr>
            <w:r>
              <w:rPr>
                <w:color w:val="475569"/>
                <w:sz w:val="19"/>
                <w:szCs w:val="19"/>
              </w:rPr>
              <w:t>10 %</w:t>
            </w:r>
          </w:p>
        </w:tc>
      </w:tr>
      <w:tr w:rsidR="00F50F4B" w14:paraId="58B80864"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0E191A5" w14:textId="77777777" w:rsidR="00F50F4B" w:rsidRDefault="00000000">
            <w:pPr>
              <w:spacing w:line="300" w:lineRule="auto"/>
            </w:pPr>
            <w:r>
              <w:rPr>
                <w:color w:val="475569"/>
                <w:sz w:val="19"/>
                <w:szCs w:val="19"/>
              </w:rPr>
              <w:t>Kundennähe / -bindung</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89D383C" w14:textId="77777777" w:rsidR="00F50F4B" w:rsidRDefault="00000000">
            <w:pPr>
              <w:spacing w:line="300" w:lineRule="auto"/>
            </w:pPr>
            <w:r>
              <w:rPr>
                <w:color w:val="475569"/>
                <w:sz w:val="19"/>
                <w:szCs w:val="19"/>
              </w:rPr>
              <w:t>–</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2835912" w14:textId="77777777" w:rsidR="00F50F4B" w:rsidRDefault="00000000">
            <w:pPr>
              <w:spacing w:line="300" w:lineRule="auto"/>
            </w:pPr>
            <w:r>
              <w:rPr>
                <w:color w:val="475569"/>
                <w:sz w:val="19"/>
                <w:szCs w:val="19"/>
              </w:rPr>
              <w:t>100 %</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3FCEA5F" w14:textId="77777777" w:rsidR="00F50F4B" w:rsidRDefault="00000000">
            <w:pPr>
              <w:spacing w:line="300" w:lineRule="auto"/>
            </w:pPr>
            <w:r>
              <w:rPr>
                <w:color w:val="475569"/>
                <w:sz w:val="19"/>
                <w:szCs w:val="19"/>
              </w:rPr>
              <w:t>10 %</w:t>
            </w:r>
          </w:p>
        </w:tc>
      </w:tr>
      <w:tr w:rsidR="00F50F4B" w14:paraId="5BC2ED67"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726C1EA" w14:textId="77777777" w:rsidR="00F50F4B" w:rsidRDefault="00000000">
            <w:pPr>
              <w:spacing w:line="300" w:lineRule="auto"/>
            </w:pPr>
            <w:r>
              <w:rPr>
                <w:color w:val="475569"/>
                <w:sz w:val="19"/>
                <w:szCs w:val="19"/>
              </w:rPr>
              <w:t>Wiederkehrende Erlöse</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4EA02D4" w14:textId="77777777" w:rsidR="00F50F4B" w:rsidRDefault="00000000">
            <w:pPr>
              <w:spacing w:line="300" w:lineRule="auto"/>
            </w:pPr>
            <w:r>
              <w:rPr>
                <w:color w:val="475569"/>
                <w:sz w:val="19"/>
                <w:szCs w:val="19"/>
              </w:rPr>
              <w:t>–</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07B4A2B" w14:textId="77777777" w:rsidR="00F50F4B" w:rsidRDefault="00000000">
            <w:pPr>
              <w:spacing w:line="300" w:lineRule="auto"/>
            </w:pPr>
            <w:r>
              <w:rPr>
                <w:color w:val="475569"/>
                <w:sz w:val="19"/>
                <w:szCs w:val="19"/>
              </w:rPr>
              <w:t>100 %</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4D93494" w14:textId="77777777" w:rsidR="00F50F4B" w:rsidRDefault="00000000">
            <w:pPr>
              <w:spacing w:line="300" w:lineRule="auto"/>
            </w:pPr>
            <w:r>
              <w:rPr>
                <w:color w:val="475569"/>
                <w:sz w:val="19"/>
                <w:szCs w:val="19"/>
              </w:rPr>
              <w:t>10 %</w:t>
            </w:r>
          </w:p>
        </w:tc>
      </w:tr>
      <w:tr w:rsidR="00F50F4B" w14:paraId="3DC62D41"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01A67E0" w14:textId="77777777" w:rsidR="00F50F4B" w:rsidRDefault="00000000">
            <w:pPr>
              <w:spacing w:line="300" w:lineRule="auto"/>
            </w:pPr>
            <w:r>
              <w:rPr>
                <w:color w:val="475569"/>
                <w:sz w:val="19"/>
                <w:szCs w:val="19"/>
              </w:rPr>
              <w:t>Organisationsgrad</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00FE5F2" w14:textId="77777777" w:rsidR="00F50F4B" w:rsidRDefault="00000000">
            <w:pPr>
              <w:spacing w:line="300" w:lineRule="auto"/>
            </w:pPr>
            <w:r>
              <w:rPr>
                <w:color w:val="475569"/>
                <w:sz w:val="19"/>
                <w:szCs w:val="19"/>
              </w:rPr>
              <w:t>–</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CF5727F" w14:textId="77777777" w:rsidR="00F50F4B" w:rsidRDefault="00000000">
            <w:pPr>
              <w:spacing w:line="300" w:lineRule="auto"/>
            </w:pPr>
            <w:r>
              <w:rPr>
                <w:color w:val="475569"/>
                <w:sz w:val="19"/>
                <w:szCs w:val="19"/>
              </w:rPr>
              <w:t>100 %</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F363618" w14:textId="77777777" w:rsidR="00F50F4B" w:rsidRDefault="00000000">
            <w:pPr>
              <w:spacing w:line="300" w:lineRule="auto"/>
            </w:pPr>
            <w:r>
              <w:rPr>
                <w:color w:val="475569"/>
                <w:sz w:val="19"/>
                <w:szCs w:val="19"/>
              </w:rPr>
              <w:t>10 %</w:t>
            </w:r>
          </w:p>
        </w:tc>
      </w:tr>
      <w:tr w:rsidR="00F50F4B" w14:paraId="6312668E"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76C2FE16" w14:textId="77777777" w:rsidR="00F50F4B" w:rsidRDefault="00000000">
            <w:pPr>
              <w:spacing w:line="300" w:lineRule="auto"/>
            </w:pPr>
            <w:r>
              <w:rPr>
                <w:color w:val="475569"/>
                <w:sz w:val="19"/>
                <w:szCs w:val="19"/>
              </w:rPr>
              <w:t>Geschützte Rechte</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19A8C47" w14:textId="77777777" w:rsidR="00F50F4B" w:rsidRDefault="00000000">
            <w:pPr>
              <w:spacing w:line="300" w:lineRule="auto"/>
            </w:pPr>
            <w:r>
              <w:rPr>
                <w:color w:val="475569"/>
                <w:sz w:val="19"/>
                <w:szCs w:val="19"/>
              </w:rPr>
              <w:t>–</w:t>
            </w:r>
          </w:p>
        </w:tc>
        <w:tc>
          <w:tcPr>
            <w:tcW w:w="19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104440E" w14:textId="77777777" w:rsidR="00F50F4B" w:rsidRDefault="00000000">
            <w:pPr>
              <w:spacing w:line="300" w:lineRule="auto"/>
            </w:pPr>
            <w:r>
              <w:rPr>
                <w:color w:val="475569"/>
                <w:sz w:val="19"/>
                <w:szCs w:val="19"/>
              </w:rPr>
              <w:t>100 %</w:t>
            </w:r>
          </w:p>
        </w:tc>
        <w:tc>
          <w:tcPr>
            <w:tcW w:w="18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6BB392C4" w14:textId="77777777" w:rsidR="00F50F4B" w:rsidRDefault="00000000">
            <w:pPr>
              <w:spacing w:line="300" w:lineRule="auto"/>
            </w:pPr>
            <w:r>
              <w:rPr>
                <w:color w:val="475569"/>
                <w:sz w:val="19"/>
                <w:szCs w:val="19"/>
              </w:rPr>
              <w:t>10 %</w:t>
            </w:r>
          </w:p>
        </w:tc>
      </w:tr>
      <w:tr w:rsidR="00F50F4B" w14:paraId="6EF2D335" w14:textId="77777777">
        <w:tblPrEx>
          <w:tblCellMar>
            <w:top w:w="0" w:type="dxa"/>
            <w:bottom w:w="0" w:type="dxa"/>
          </w:tblCellMar>
        </w:tblPrEx>
        <w:tc>
          <w:tcPr>
            <w:tcW w:w="3400"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14:paraId="53F55171" w14:textId="77777777" w:rsidR="00F50F4B" w:rsidRDefault="00000000">
            <w:r>
              <w:rPr>
                <w:b/>
                <w:bCs/>
                <w:color w:val="1E40AF"/>
                <w:sz w:val="19"/>
                <w:szCs w:val="19"/>
              </w:rPr>
              <w:t>Ergebnis (Beispiel)</w:t>
            </w:r>
          </w:p>
        </w:tc>
        <w:tc>
          <w:tcPr>
            <w:tcW w:w="1900"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14:paraId="05423F8F" w14:textId="77777777" w:rsidR="00F50F4B" w:rsidRDefault="00000000">
            <w:r>
              <w:rPr>
                <w:b/>
                <w:bCs/>
                <w:color w:val="1E40AF"/>
                <w:sz w:val="19"/>
                <w:szCs w:val="19"/>
              </w:rPr>
              <w:t>30 %</w:t>
            </w:r>
          </w:p>
        </w:tc>
        <w:tc>
          <w:tcPr>
            <w:tcW w:w="1900"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14:paraId="598D0CD1" w14:textId="77777777" w:rsidR="00F50F4B" w:rsidRDefault="00000000">
            <w:r>
              <w:rPr>
                <w:b/>
                <w:bCs/>
                <w:color w:val="1E40AF"/>
                <w:sz w:val="19"/>
                <w:szCs w:val="19"/>
              </w:rPr>
              <w:t>70 %</w:t>
            </w:r>
          </w:p>
        </w:tc>
        <w:tc>
          <w:tcPr>
            <w:tcW w:w="1826"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14:paraId="13318CCA" w14:textId="77777777" w:rsidR="00F50F4B" w:rsidRDefault="00000000">
            <w:r>
              <w:rPr>
                <w:b/>
                <w:bCs/>
                <w:color w:val="1E40AF"/>
                <w:sz w:val="19"/>
                <w:szCs w:val="19"/>
              </w:rPr>
              <w:t>100 %</w:t>
            </w:r>
          </w:p>
        </w:tc>
      </w:tr>
    </w:tbl>
    <w:p w14:paraId="749D9070" w14:textId="77777777" w:rsidR="00F50F4B" w:rsidRDefault="00F50F4B">
      <w:pPr>
        <w:spacing w:after="100"/>
      </w:pPr>
    </w:p>
    <w:p w14:paraId="5BBB0003" w14:textId="77777777" w:rsidR="00F50F4B" w:rsidRDefault="00000000">
      <w:pPr>
        <w:spacing w:after="200" w:line="360" w:lineRule="auto"/>
        <w:jc w:val="both"/>
      </w:pPr>
      <w:r>
        <w:rPr>
          <w:color w:val="475569"/>
        </w:rPr>
        <w:t>Im dargestellten Beispiel entfallen 30 % der Ertragskraft auf den persönlichen Goodwill (nicht übertragbar) und 70 % auf den betrieblichen Goodwill (übertragbar). Die Zuordnung zu den Kategorien ist dabei einzelfallabhängig und muss für jedes Unternehmen individuell beurteilt werden.</w:t>
      </w:r>
    </w:p>
    <w:p w14:paraId="2FFC5F83" w14:textId="77777777" w:rsidR="00F50F4B" w:rsidRDefault="00000000">
      <w:pPr>
        <w:pStyle w:val="Heading3"/>
      </w:pPr>
      <w:bookmarkStart w:id="39" w:name="_Toc222150156"/>
      <w:r>
        <w:t>Schätzung der Abschmelz-Dauer – IDW Kriterienkatalog</w:t>
      </w:r>
      <w:bookmarkEnd w:id="39"/>
    </w:p>
    <w:p w14:paraId="7FE8F80E" w14:textId="77777777" w:rsidR="00F50F4B" w:rsidRDefault="00000000">
      <w:pPr>
        <w:spacing w:after="200" w:line="360" w:lineRule="auto"/>
        <w:jc w:val="both"/>
      </w:pPr>
      <w:r>
        <w:rPr>
          <w:color w:val="475569"/>
        </w:rPr>
        <w:lastRenderedPageBreak/>
        <w:t>Für die Schätzung der Abschmelzdauer definiert der IDW Praxishinweis 1/2014 einen Kriterienkatalog, der systematisch durchgearbeitet werden sollte:</w:t>
      </w:r>
    </w:p>
    <w:p w14:paraId="27813EA1" w14:textId="77777777" w:rsidR="00F50F4B" w:rsidRDefault="00000000">
      <w:pPr>
        <w:pStyle w:val="ListParagraph"/>
        <w:numPr>
          <w:ilvl w:val="0"/>
          <w:numId w:val="2"/>
        </w:numPr>
        <w:spacing w:after="120" w:line="340" w:lineRule="auto"/>
      </w:pPr>
      <w:r>
        <w:rPr>
          <w:color w:val="475569"/>
        </w:rPr>
        <w:t>Vertragslaufzeiten und erwartete Vertragsverlängerungen</w:t>
      </w:r>
    </w:p>
    <w:p w14:paraId="244C5E9D" w14:textId="77777777" w:rsidR="00F50F4B" w:rsidRDefault="00000000">
      <w:pPr>
        <w:pStyle w:val="ListParagraph"/>
        <w:numPr>
          <w:ilvl w:val="0"/>
          <w:numId w:val="2"/>
        </w:numPr>
        <w:spacing w:after="120" w:line="340" w:lineRule="auto"/>
      </w:pPr>
      <w:r>
        <w:rPr>
          <w:color w:val="475569"/>
        </w:rPr>
        <w:t>Typische Produktlebenszyklen</w:t>
      </w:r>
    </w:p>
    <w:p w14:paraId="20D66263" w14:textId="77777777" w:rsidR="00F50F4B" w:rsidRDefault="00000000">
      <w:pPr>
        <w:pStyle w:val="ListParagraph"/>
        <w:numPr>
          <w:ilvl w:val="0"/>
          <w:numId w:val="2"/>
        </w:numPr>
        <w:spacing w:after="120" w:line="340" w:lineRule="auto"/>
      </w:pPr>
      <w:r>
        <w:rPr>
          <w:color w:val="475569"/>
        </w:rPr>
        <w:t>Art der Kundenbeziehung (Laufkundschaft aufgrund der Lage vs. persönliche Beziehung)</w:t>
      </w:r>
    </w:p>
    <w:p w14:paraId="5B893007" w14:textId="77777777" w:rsidR="00F50F4B" w:rsidRDefault="00000000">
      <w:pPr>
        <w:pStyle w:val="ListParagraph"/>
        <w:numPr>
          <w:ilvl w:val="0"/>
          <w:numId w:val="2"/>
        </w:numPr>
        <w:spacing w:after="120" w:line="340" w:lineRule="auto"/>
      </w:pPr>
      <w:r>
        <w:rPr>
          <w:color w:val="475569"/>
        </w:rPr>
        <w:t>Verhalten von Wettbewerbern</w:t>
      </w:r>
    </w:p>
    <w:p w14:paraId="390461FF" w14:textId="77777777" w:rsidR="00F50F4B" w:rsidRDefault="00000000">
      <w:pPr>
        <w:pStyle w:val="ListParagraph"/>
        <w:numPr>
          <w:ilvl w:val="0"/>
          <w:numId w:val="2"/>
        </w:numPr>
        <w:spacing w:after="120" w:line="340" w:lineRule="auto"/>
      </w:pPr>
      <w:r>
        <w:rPr>
          <w:color w:val="475569"/>
        </w:rPr>
        <w:t>Höhe und Dauer der Abhängigkeit von Kunden</w:t>
      </w:r>
    </w:p>
    <w:p w14:paraId="78304B3A" w14:textId="77777777" w:rsidR="00F50F4B" w:rsidRDefault="00000000">
      <w:pPr>
        <w:pStyle w:val="ListParagraph"/>
        <w:numPr>
          <w:ilvl w:val="0"/>
          <w:numId w:val="2"/>
        </w:numPr>
        <w:spacing w:after="120" w:line="340" w:lineRule="auto"/>
      </w:pPr>
      <w:r>
        <w:rPr>
          <w:color w:val="475569"/>
        </w:rPr>
        <w:t>Demographische und biometrische Aspekte</w:t>
      </w:r>
    </w:p>
    <w:p w14:paraId="6FC2D6DF" w14:textId="77777777" w:rsidR="00F50F4B" w:rsidRDefault="00000000">
      <w:pPr>
        <w:pStyle w:val="ListParagraph"/>
        <w:numPr>
          <w:ilvl w:val="0"/>
          <w:numId w:val="2"/>
        </w:numPr>
        <w:spacing w:after="120" w:line="340" w:lineRule="auto"/>
      </w:pPr>
      <w:r>
        <w:rPr>
          <w:color w:val="475569"/>
        </w:rPr>
        <w:t>Änderung der Kundenbeziehungen im Zeitablauf</w:t>
      </w:r>
    </w:p>
    <w:p w14:paraId="20BA0AF2" w14:textId="77777777" w:rsidR="00F50F4B" w:rsidRDefault="00000000">
      <w:pPr>
        <w:pStyle w:val="ListParagraph"/>
        <w:numPr>
          <w:ilvl w:val="0"/>
          <w:numId w:val="2"/>
        </w:numPr>
        <w:spacing w:after="120" w:line="340" w:lineRule="auto"/>
      </w:pPr>
      <w:r>
        <w:rPr>
          <w:color w:val="475569"/>
        </w:rPr>
        <w:t>Handelsbilanziell und steuerrechtlich festgelegte Nutzungsdauern immaterieller Vermögenswerte als Anhaltspunkt</w:t>
      </w:r>
    </w:p>
    <w:p w14:paraId="1C42A8FA" w14:textId="77777777" w:rsidR="00F50F4B" w:rsidRDefault="00000000">
      <w:pPr>
        <w:pStyle w:val="ListParagraph"/>
        <w:numPr>
          <w:ilvl w:val="0"/>
          <w:numId w:val="2"/>
        </w:numPr>
        <w:spacing w:after="120" w:line="340" w:lineRule="auto"/>
      </w:pPr>
      <w:r>
        <w:rPr>
          <w:color w:val="475569"/>
        </w:rPr>
        <w:t>Allgemeine wirtschaftliche Nutzungsdauer der spezifischen immateriellen Vermögenswerte</w:t>
      </w:r>
    </w:p>
    <w:p w14:paraId="4459481A" w14:textId="77777777" w:rsidR="00F50F4B" w:rsidRDefault="00000000">
      <w:pPr>
        <w:pStyle w:val="ListParagraph"/>
        <w:numPr>
          <w:ilvl w:val="0"/>
          <w:numId w:val="2"/>
        </w:numPr>
        <w:spacing w:after="120" w:line="340" w:lineRule="auto"/>
      </w:pPr>
      <w:r>
        <w:rPr>
          <w:color w:val="475569"/>
        </w:rPr>
        <w:t>Dauer der steuerlichen Abschreibung als weitere Orientierungsgröße</w:t>
      </w:r>
    </w:p>
    <w:p w14:paraId="302FD9A6" w14:textId="77777777" w:rsidR="00F50F4B" w:rsidRDefault="00F50F4B">
      <w:pPr>
        <w:spacing w:after="100"/>
      </w:pPr>
    </w:p>
    <w:p w14:paraId="36BD84BB" w14:textId="77777777" w:rsidR="00F50F4B" w:rsidRDefault="00000000">
      <w:pPr>
        <w:spacing w:after="200" w:line="360" w:lineRule="auto"/>
        <w:jc w:val="both"/>
      </w:pPr>
      <w:r>
        <w:rPr>
          <w:color w:val="475569"/>
        </w:rPr>
        <w:t>Für die Abschmelzdauer werden in der Praxis typischerweise Zeiträume von 1 bis 13 Jahren zugrunde gelegt. Die Kundenabhängigkeit des Unternehmens ist oftmals der Haupteinflussfaktor. Auch technische, technologische, wirtschaftliche oder andere Arten der Veralterung der Produkte bzw. Dienstleistungen, die Stabilität der Branche, voraussichtliche Handlungen von (potenziellen) Wettbewerbern sowie die Höhe der Erhaltungsaufwendungen, die zur Bindung des Kunden bzw. der Verlängerung von Verträgen notwendig sind, gehen in die Überlegungen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6CC56323"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1F99C218" w14:textId="77777777" w:rsidR="00F50F4B" w:rsidRDefault="00000000">
            <w:pPr>
              <w:spacing w:after="80"/>
            </w:pPr>
            <w:r>
              <w:rPr>
                <w:b/>
                <w:bCs/>
                <w:color w:val="F97316"/>
              </w:rPr>
              <w:t>Praxistipp</w:t>
            </w:r>
          </w:p>
          <w:p w14:paraId="68B7C31F" w14:textId="77777777" w:rsidR="00F50F4B" w:rsidRDefault="00000000">
            <w:pPr>
              <w:spacing w:line="340" w:lineRule="auto"/>
            </w:pPr>
            <w:r>
              <w:rPr>
                <w:color w:val="475569"/>
                <w:sz w:val="21"/>
                <w:szCs w:val="21"/>
              </w:rPr>
              <w:t>Die Art der Kundenbeziehung – z. B. Laufkundschaft vs. langfristige, persönliche Kundenbeziehung – ist ein zentrales Kriterium für die Einschätzung der Abschmelzdauer. Handelsbilanziell und steuerrechtlich festgelegte Nutzungsdauern sowie die allgemeine wirtschaftliche Nutzungsdauer der spezifischen immateriellen Assets können als weitere Anhaltspunkte herangezogen werden.</w:t>
            </w:r>
          </w:p>
        </w:tc>
      </w:tr>
    </w:tbl>
    <w:p w14:paraId="6B791E9D" w14:textId="77777777" w:rsidR="00F50F4B" w:rsidRDefault="00F50F4B">
      <w:pPr>
        <w:spacing w:after="100"/>
      </w:pPr>
    </w:p>
    <w:p w14:paraId="20985244" w14:textId="77777777" w:rsidR="00F50F4B" w:rsidRDefault="00000000">
      <w:pPr>
        <w:pStyle w:val="Heading3"/>
      </w:pPr>
      <w:bookmarkStart w:id="40" w:name="_Toc222150157"/>
      <w:r>
        <w:t>Sonderfall: Liquidationswert als Wertuntergrenze</w:t>
      </w:r>
      <w:bookmarkEnd w:id="40"/>
    </w:p>
    <w:p w14:paraId="0E98BD78" w14:textId="77777777" w:rsidR="00F50F4B" w:rsidRDefault="00000000">
      <w:pPr>
        <w:spacing w:after="200" w:line="360" w:lineRule="auto"/>
        <w:jc w:val="both"/>
      </w:pPr>
      <w:r>
        <w:rPr>
          <w:color w:val="475569"/>
        </w:rPr>
        <w:t xml:space="preserve">Bei stark personenbezogenen Unternehmen, bei denen die Ertragskraft ganz oder nahezu vollständig abgeschmolzen wird, stellt sich die Frage nach einer Wertuntergrenze. In diesem </w:t>
      </w:r>
      <w:r>
        <w:rPr>
          <w:color w:val="475569"/>
        </w:rPr>
        <w:lastRenderedPageBreak/>
        <w:t>Zusammenhang ist es wichtig zu betonen, dass als Untergrenze stets der Liquidationswert herangezogen wird – nicht der Reproduktionswert (Wiederbeschaffungswert).</w:t>
      </w:r>
    </w:p>
    <w:p w14:paraId="14A95201" w14:textId="77777777" w:rsidR="00F50F4B" w:rsidRDefault="00000000">
      <w:pPr>
        <w:spacing w:after="200" w:line="360" w:lineRule="auto"/>
        <w:jc w:val="both"/>
      </w:pPr>
      <w:r>
        <w:rPr>
          <w:color w:val="475569"/>
        </w:rPr>
        <w:t>Der Liquidationswert ergibt sich aus den erwarteten Erlösen bei Veräußerung der einzelnen Vermögensgegenstände abzüglich der Schulden und Liquidationskosten. Er stellt den Betrag dar, den der Eigentümer bei Auflösung des Unternehmens mindestens erhalten würde. Der Reproduktionswert hingegen beantwortet die Frage, was es kosten würde, das Unternehmen auf der „grünen Wiese“ neu zu errichten – eine Perspektive, die bei nicht übertragbarer Ertragskraft in der Regel nicht zielführend ist, da gerade die wertbestimmenden immateriellen Faktoren nicht reproduzierbar sind.</w:t>
      </w:r>
    </w:p>
    <w:p w14:paraId="3EBBA6B0" w14:textId="77777777" w:rsidR="00F50F4B" w:rsidRDefault="00F50F4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43604E81"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3FF67BDD" w14:textId="77777777" w:rsidR="00F50F4B" w:rsidRDefault="00000000">
            <w:pPr>
              <w:spacing w:after="80"/>
            </w:pPr>
            <w:r>
              <w:rPr>
                <w:b/>
                <w:bCs/>
                <w:color w:val="F97316"/>
              </w:rPr>
              <w:t>Kernaussage</w:t>
            </w:r>
          </w:p>
          <w:p w14:paraId="6DFAA386" w14:textId="77777777" w:rsidR="00F50F4B" w:rsidRDefault="00000000">
            <w:pPr>
              <w:spacing w:line="340" w:lineRule="auto"/>
            </w:pPr>
            <w:r>
              <w:rPr>
                <w:color w:val="475569"/>
                <w:sz w:val="21"/>
                <w:szCs w:val="21"/>
              </w:rPr>
              <w:t>Wenn die Unternehmensfortführung ohne den bisherigen Inhaber nicht möglich ist, bildet der Liquidationswert die Wertuntergrenze. Der Reproduktionswert ist in diesem Fall nicht die richtige Bezugsgröße, da die personenbezogenen Erfolgsfaktoren nicht nachgebaut werden können.</w:t>
            </w:r>
          </w:p>
        </w:tc>
      </w:tr>
    </w:tbl>
    <w:p w14:paraId="60B08A65" w14:textId="77777777" w:rsidR="00F50F4B" w:rsidRDefault="00F50F4B">
      <w:pPr>
        <w:spacing w:after="100"/>
      </w:pPr>
    </w:p>
    <w:p w14:paraId="6FBA353B" w14:textId="77777777" w:rsidR="00F50F4B" w:rsidRDefault="00000000">
      <w:pPr>
        <w:pStyle w:val="Heading2"/>
      </w:pPr>
      <w:bookmarkStart w:id="41" w:name="_Toc222150158"/>
      <w:r>
        <w:t>4.4  Size Discount – Größenabschlag bei KMU</w:t>
      </w:r>
      <w:bookmarkEnd w:id="41"/>
    </w:p>
    <w:p w14:paraId="559911E4" w14:textId="77777777" w:rsidR="00F50F4B" w:rsidRDefault="00000000">
      <w:pPr>
        <w:spacing w:after="200" w:line="360" w:lineRule="auto"/>
        <w:jc w:val="both"/>
      </w:pPr>
      <w:r>
        <w:rPr>
          <w:color w:val="475569"/>
        </w:rPr>
        <w:t>Für kleine und mittlere Unternehmen werden beobachtbar zumeist deutlich geringere Kaufpreise gezahlt als für signifikant größere Unternehmen. Im Allgemeinen geht man von einer Größenordnung von ca. 30 % bis 50 % für KMU-Abschläge aus.</w:t>
      </w:r>
    </w:p>
    <w:p w14:paraId="6C504299" w14:textId="77777777" w:rsidR="00F50F4B" w:rsidRDefault="00000000">
      <w:pPr>
        <w:spacing w:after="200" w:line="360" w:lineRule="auto"/>
        <w:jc w:val="both"/>
      </w:pPr>
      <w:r>
        <w:rPr>
          <w:color w:val="475569"/>
        </w:rPr>
        <w:t>Dies resultiert aus den zuvor beschriebenen KMU-spezifischen Risiken: Inhaberprägung, Konzentrationsrisiken, eingeschränkte Finanzierungsmöglichkeiten und Illliquidität des Investments. Zusätzlich können für besonders kleine Unternehmen (Umsatz deutlich unter 20 Mio. EUR) noch weitere Abschläge für unternehmensspezifische Charakteristika hinzukommen.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77DB99C3"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5E17E190" w14:textId="77777777" w:rsidR="00F50F4B" w:rsidRDefault="00000000">
            <w:pPr>
              <w:spacing w:after="80"/>
            </w:pPr>
            <w:r>
              <w:rPr>
                <w:b/>
                <w:bCs/>
                <w:color w:val="F97316"/>
              </w:rPr>
              <w:t>Kernaussage</w:t>
            </w:r>
          </w:p>
          <w:p w14:paraId="5535466D" w14:textId="77777777" w:rsidR="00F50F4B" w:rsidRDefault="00000000">
            <w:pPr>
              <w:spacing w:line="340" w:lineRule="auto"/>
            </w:pPr>
            <w:r>
              <w:rPr>
                <w:color w:val="475569"/>
                <w:sz w:val="21"/>
                <w:szCs w:val="21"/>
              </w:rPr>
              <w:t>Dein Unternehmen macht das Gleiche wie der Großkonzern – aber ist dennoch weniger wert. Der Grund liegt nicht in der Leistung, sondern in den strukturellen Risiken und der eingeschränkten Übertragbarkeit, die typisch für KMU sind.</w:t>
            </w:r>
          </w:p>
        </w:tc>
      </w:tr>
    </w:tbl>
    <w:p w14:paraId="3EA6C9B2" w14:textId="77777777" w:rsidR="00F50F4B" w:rsidRDefault="00F50F4B">
      <w:pPr>
        <w:spacing w:after="100"/>
      </w:pPr>
    </w:p>
    <w:p w14:paraId="1F94953F" w14:textId="77777777" w:rsidR="00F50F4B" w:rsidRDefault="00000000">
      <w:pPr>
        <w:pStyle w:val="Heading2"/>
      </w:pPr>
      <w:bookmarkStart w:id="42" w:name="_Toc222150159"/>
      <w:r>
        <w:t>4.5  KMU-spezifische Anpassungen im Bewertungsmodell</w:t>
      </w:r>
      <w:bookmarkEnd w:id="42"/>
    </w:p>
    <w:p w14:paraId="222E54BA" w14:textId="77777777" w:rsidR="00F50F4B" w:rsidRDefault="00000000">
      <w:pPr>
        <w:spacing w:after="200" w:line="360" w:lineRule="auto"/>
        <w:jc w:val="both"/>
      </w:pPr>
      <w:r>
        <w:rPr>
          <w:color w:val="475569"/>
        </w:rPr>
        <w:t>Die beschriebenen Besonderheiten wirken sich auf alle Parameter der Bewertung aus: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50F4B" w14:paraId="530877F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667517F1" w14:textId="77777777" w:rsidR="00F50F4B" w:rsidRDefault="00000000">
            <w:r>
              <w:rPr>
                <w:b/>
                <w:bCs/>
                <w:color w:val="FFFFFF"/>
                <w:sz w:val="18"/>
                <w:szCs w:val="18"/>
              </w:rPr>
              <w:lastRenderedPageBreak/>
              <w:t>Parameter</w:t>
            </w:r>
          </w:p>
        </w:tc>
        <w:tc>
          <w:tcPr>
            <w:tcW w:w="6026"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3524777B" w14:textId="77777777" w:rsidR="00F50F4B" w:rsidRDefault="00000000">
            <w:r>
              <w:rPr>
                <w:b/>
                <w:bCs/>
                <w:color w:val="FFFFFF"/>
                <w:sz w:val="18"/>
                <w:szCs w:val="18"/>
              </w:rPr>
              <w:t>KMU-spezifische Anpassung</w:t>
            </w:r>
          </w:p>
        </w:tc>
      </w:tr>
      <w:tr w:rsidR="00F50F4B" w14:paraId="4FA23DF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06EFD146" w14:textId="77777777" w:rsidR="00F50F4B" w:rsidRDefault="00000000">
            <w:pPr>
              <w:spacing w:line="300" w:lineRule="auto"/>
            </w:pPr>
            <w:r>
              <w:rPr>
                <w:color w:val="475569"/>
                <w:sz w:val="19"/>
                <w:szCs w:val="19"/>
              </w:rPr>
              <w:t>Vergangenheits-bereinigung</w:t>
            </w:r>
          </w:p>
        </w:tc>
        <w:tc>
          <w:tcPr>
            <w:tcW w:w="60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393C0BEC" w14:textId="77777777" w:rsidR="00F50F4B" w:rsidRDefault="00000000">
            <w:pPr>
              <w:spacing w:line="300" w:lineRule="auto"/>
            </w:pPr>
            <w:r>
              <w:rPr>
                <w:color w:val="475569"/>
                <w:sz w:val="19"/>
                <w:szCs w:val="19"/>
              </w:rPr>
              <w:t>Unternehmerlohn, Entlohnung Familienangehöriger, Gesellschafterdarlehen, Trennung private/betriebliche Sphäre</w:t>
            </w:r>
          </w:p>
        </w:tc>
      </w:tr>
      <w:tr w:rsidR="00F50F4B" w14:paraId="44A7288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E310A46" w14:textId="77777777" w:rsidR="00F50F4B" w:rsidRDefault="00000000">
            <w:pPr>
              <w:spacing w:line="300" w:lineRule="auto"/>
            </w:pPr>
            <w:r>
              <w:rPr>
                <w:color w:val="475569"/>
                <w:sz w:val="19"/>
                <w:szCs w:val="19"/>
              </w:rPr>
              <w:t>Planung / Cashflows</w:t>
            </w:r>
          </w:p>
        </w:tc>
        <w:tc>
          <w:tcPr>
            <w:tcW w:w="60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A63E077" w14:textId="77777777" w:rsidR="00F50F4B" w:rsidRDefault="00000000">
            <w:pPr>
              <w:spacing w:line="300" w:lineRule="auto"/>
            </w:pPr>
            <w:r>
              <w:rPr>
                <w:color w:val="475569"/>
                <w:sz w:val="19"/>
                <w:szCs w:val="19"/>
              </w:rPr>
              <w:t>Übertragbarkeit der Höhe der Erträge für Dritte, Abschmelzung personenbezogener Erfolgsfaktoren</w:t>
            </w:r>
          </w:p>
        </w:tc>
      </w:tr>
      <w:tr w:rsidR="00F50F4B" w14:paraId="56671BE4"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BCB4B3D" w14:textId="77777777" w:rsidR="00F50F4B" w:rsidRDefault="00000000">
            <w:pPr>
              <w:spacing w:line="300" w:lineRule="auto"/>
            </w:pPr>
            <w:r>
              <w:rPr>
                <w:color w:val="475569"/>
                <w:sz w:val="19"/>
                <w:szCs w:val="19"/>
              </w:rPr>
              <w:t>Wachstum / Zeitraum</w:t>
            </w:r>
          </w:p>
        </w:tc>
        <w:tc>
          <w:tcPr>
            <w:tcW w:w="60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1124ED6" w14:textId="77777777" w:rsidR="00F50F4B" w:rsidRDefault="00000000">
            <w:pPr>
              <w:spacing w:line="300" w:lineRule="auto"/>
            </w:pPr>
            <w:r>
              <w:rPr>
                <w:color w:val="475569"/>
                <w:sz w:val="19"/>
                <w:szCs w:val="19"/>
              </w:rPr>
              <w:t>Begrenzung des Ergebniszeitraums, natürlicher endlicher Zeithorizont, Abschmelzen immaterieller Faktoren</w:t>
            </w:r>
          </w:p>
        </w:tc>
      </w:tr>
      <w:tr w:rsidR="00F50F4B" w14:paraId="404B5585"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4CA5E3DA" w14:textId="77777777" w:rsidR="00F50F4B" w:rsidRDefault="00000000">
            <w:pPr>
              <w:spacing w:line="300" w:lineRule="auto"/>
            </w:pPr>
            <w:r>
              <w:rPr>
                <w:color w:val="475569"/>
                <w:sz w:val="19"/>
                <w:szCs w:val="19"/>
              </w:rPr>
              <w:t>Kapitalisierungszins</w:t>
            </w:r>
          </w:p>
        </w:tc>
        <w:tc>
          <w:tcPr>
            <w:tcW w:w="60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1322FCDD" w14:textId="77777777" w:rsidR="00F50F4B" w:rsidRDefault="00000000">
            <w:pPr>
              <w:spacing w:line="300" w:lineRule="auto"/>
            </w:pPr>
            <w:r>
              <w:rPr>
                <w:color w:val="475569"/>
                <w:sz w:val="19"/>
                <w:szCs w:val="19"/>
              </w:rPr>
              <w:t>Illliquidität, fehlende Diversifizierung der Anteilseigner, objektive Einschränkung der Investitionsmöglichkeiten</w:t>
            </w:r>
          </w:p>
        </w:tc>
      </w:tr>
      <w:tr w:rsidR="00F50F4B" w14:paraId="79D4F21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251CA1BD" w14:textId="77777777" w:rsidR="00F50F4B" w:rsidRDefault="00000000">
            <w:pPr>
              <w:spacing w:line="300" w:lineRule="auto"/>
            </w:pPr>
            <w:r>
              <w:rPr>
                <w:color w:val="475569"/>
                <w:sz w:val="19"/>
                <w:szCs w:val="19"/>
              </w:rPr>
              <w:t>Untergrenze</w:t>
            </w:r>
          </w:p>
        </w:tc>
        <w:tc>
          <w:tcPr>
            <w:tcW w:w="6026" w:type="dxa"/>
            <w:tcBorders>
              <w:top w:val="single" w:sz="1" w:space="0" w:color="E2E8F0"/>
              <w:left w:val="single" w:sz="1" w:space="0" w:color="E2E8F0"/>
              <w:bottom w:val="single" w:sz="1" w:space="0" w:color="E2E8F0"/>
              <w:right w:val="single" w:sz="1" w:space="0" w:color="E2E8F0"/>
            </w:tcBorders>
            <w:tcMar>
              <w:top w:w="60" w:type="dxa"/>
              <w:left w:w="120" w:type="dxa"/>
              <w:bottom w:w="60" w:type="dxa"/>
              <w:right w:w="120" w:type="dxa"/>
            </w:tcMar>
          </w:tcPr>
          <w:p w14:paraId="5675A201" w14:textId="77777777" w:rsidR="00F50F4B" w:rsidRDefault="00000000">
            <w:pPr>
              <w:spacing w:line="300" w:lineRule="auto"/>
            </w:pPr>
            <w:r>
              <w:rPr>
                <w:color w:val="475569"/>
                <w:sz w:val="19"/>
                <w:szCs w:val="19"/>
              </w:rPr>
              <w:t>Liquidationswert als Untergrenze, insbesondere wenn Fortführung ohne bisherige Unternehmenführung nicht möglich</w:t>
            </w:r>
          </w:p>
        </w:tc>
      </w:tr>
    </w:tbl>
    <w:p w14:paraId="7958C54E" w14:textId="77777777" w:rsidR="00F50F4B" w:rsidRDefault="00F50F4B">
      <w:pPr>
        <w:spacing w:after="100"/>
      </w:pPr>
    </w:p>
    <w:p w14:paraId="5D9636E6" w14:textId="77777777" w:rsidR="00F50F4B" w:rsidRDefault="00000000">
      <w:r>
        <w:br w:type="page"/>
      </w:r>
    </w:p>
    <w:p w14:paraId="66C4EF3E" w14:textId="77777777" w:rsidR="00F50F4B" w:rsidRDefault="00000000">
      <w:pPr>
        <w:pStyle w:val="Heading1"/>
      </w:pPr>
      <w:bookmarkStart w:id="43" w:name="_Toc222150160"/>
      <w:r>
        <w:lastRenderedPageBreak/>
        <w:t>5  Prozess der Unternehmensbewertung</w:t>
      </w:r>
      <w:bookmarkEnd w:id="43"/>
    </w:p>
    <w:p w14:paraId="2C1B07A0" w14:textId="77777777" w:rsidR="00F50F4B" w:rsidRDefault="00000000">
      <w:pPr>
        <w:spacing w:after="200" w:line="360" w:lineRule="auto"/>
        <w:jc w:val="both"/>
      </w:pPr>
      <w:r>
        <w:rPr>
          <w:color w:val="475569"/>
        </w:rPr>
        <w:t>Die Bewertung eines Unternehmens folgt einem strukturierten Prozess, der von der Aufnahme historischer Daten bis zur Finalisierung des Gutachtens reicht. Die folgenden Schritte geben einen Überblick über den typischen Ablauf:</w:t>
      </w:r>
    </w:p>
    <w:p w14:paraId="24004065" w14:textId="77777777" w:rsidR="00F50F4B" w:rsidRDefault="00F50F4B">
      <w:pPr>
        <w:spacing w:after="100"/>
      </w:pPr>
    </w:p>
    <w:p w14:paraId="38B3302B" w14:textId="77777777" w:rsidR="00F50F4B" w:rsidRDefault="00000000">
      <w:pPr>
        <w:pStyle w:val="Heading2"/>
      </w:pPr>
      <w:bookmarkStart w:id="44" w:name="_Toc222150161"/>
      <w:r>
        <w:t>5.1  Aufnahme und Analyse der historischen Zahlen</w:t>
      </w:r>
      <w:bookmarkEnd w:id="44"/>
    </w:p>
    <w:p w14:paraId="4D4BB46B" w14:textId="77777777" w:rsidR="00F50F4B" w:rsidRDefault="00000000">
      <w:pPr>
        <w:spacing w:after="200" w:line="360" w:lineRule="auto"/>
        <w:jc w:val="both"/>
      </w:pPr>
      <w:r>
        <w:rPr>
          <w:color w:val="475569"/>
        </w:rPr>
        <w:t>Am Anfang jeder Bewertung steht die systematische Aufnahme der historischen Finanzzahlen des Unternehmens (IDW S1, Tz. 69–71). Hierfür wird in der Regel eine Informationsanforderungsliste an das Unternehmen versendet, die unter anderem Jahresabschlüsse, betriebswirtschaftliche Auswertungen, Steuerbescheide und weitere relevante Unterlagen umfasst.</w:t>
      </w:r>
    </w:p>
    <w:p w14:paraId="6C553BB1" w14:textId="77777777" w:rsidR="00F50F4B" w:rsidRDefault="00000000">
      <w:pPr>
        <w:spacing w:after="200" w:line="360" w:lineRule="auto"/>
        <w:jc w:val="both"/>
      </w:pPr>
      <w:r>
        <w:rPr>
          <w:color w:val="475569"/>
        </w:rPr>
        <w:t>Nach Eingang der Unterlagen werden die Informationen verarbeitet und Rückfragen durch ergänzende Fragenlisten oder telefonische Rücksprache geklärt. Das Ziel ist ein möglichst vollständiges und konsistentes Bild der historischen wirtschaftlichen Lage des Unternehmens.</w:t>
      </w:r>
    </w:p>
    <w:p w14:paraId="1CDFF8CD" w14:textId="77777777" w:rsidR="00F50F4B" w:rsidRDefault="00F50F4B">
      <w:pPr>
        <w:spacing w:after="100"/>
      </w:pPr>
    </w:p>
    <w:p w14:paraId="5758A1EB" w14:textId="77777777" w:rsidR="00F50F4B" w:rsidRDefault="00000000">
      <w:pPr>
        <w:pStyle w:val="Heading2"/>
      </w:pPr>
      <w:bookmarkStart w:id="45" w:name="_Toc222150162"/>
      <w:r>
        <w:t>5.2  Bereinigung der historischen Zahlen</w:t>
      </w:r>
      <w:bookmarkEnd w:id="45"/>
    </w:p>
    <w:p w14:paraId="7E489F37" w14:textId="77777777" w:rsidR="00F50F4B" w:rsidRDefault="00000000">
      <w:pPr>
        <w:spacing w:after="200" w:line="360" w:lineRule="auto"/>
        <w:jc w:val="both"/>
      </w:pPr>
      <w:r>
        <w:rPr>
          <w:color w:val="475569"/>
        </w:rPr>
        <w:t>Die historischen Finanzzahlen eines KMU müssen bereinigt werden, bevor sie als Grundlage für die Zukunftsplanung dienen können (IDW S1, Tz. 73). Ziel ist es, ein nachhaltiges und verzerrungsfreies Ertragsniveau sichtbar zu machen. Bei KMU ist dieser Schritt besonders bedeutsam, da die Vermischung privater und betrieblicher Sphären häufig zu verzerrten Finanzzahlen führt.</w:t>
      </w:r>
    </w:p>
    <w:p w14:paraId="431101EF" w14:textId="77777777" w:rsidR="00F50F4B" w:rsidRDefault="00000000">
      <w:pPr>
        <w:pStyle w:val="Heading3"/>
      </w:pPr>
      <w:bookmarkStart w:id="46" w:name="_Toc222150163"/>
      <w:r>
        <w:t>Kalkulatorischer Unternehmerlohn</w:t>
      </w:r>
      <w:bookmarkEnd w:id="46"/>
    </w:p>
    <w:p w14:paraId="7E83F886" w14:textId="77777777" w:rsidR="00F50F4B" w:rsidRDefault="00000000">
      <w:pPr>
        <w:spacing w:after="200" w:line="360" w:lineRule="auto"/>
        <w:jc w:val="both"/>
      </w:pPr>
      <w:r>
        <w:rPr>
          <w:color w:val="475569"/>
        </w:rPr>
        <w:t>Der kalkulatorische Unternehmerlohn ist einer der wichtigsten Bereinigungsfaktoren bei KMU (IDW S1, Tz. 40). Inhabergeführte Unternehmen weisen häufig keinen oder einen nicht marktgerechten Geschäftsführergehalt aus. Für die Bewertung muss eine marktübliche Vergütung für die Tätigkeit des Eigentümers angesetzt werden, da der Unternehmenswert die Überschüsse widerspiegelt, nachdem alle beteiligten Parteien marktgerecht entlohnt sind.</w:t>
      </w:r>
    </w:p>
    <w:p w14:paraId="27E2308E" w14:textId="77777777" w:rsidR="00F50F4B" w:rsidRDefault="00000000">
      <w:pPr>
        <w:spacing w:after="200" w:line="360" w:lineRule="auto"/>
        <w:jc w:val="both"/>
      </w:pPr>
      <w:r>
        <w:rPr>
          <w:color w:val="475569"/>
        </w:rPr>
        <w:t>Der kalkulatorische Unternehmerlohn orientiert sich daran, was ein angestellter Geschäftsführer mit vergleichbarer Qualifikation und Aufgabenstellung am Markt verdienen würde. Dieser Betrag wird von den historischen und geplanten Erträgen abgezogen, bevor die Bewertung durchgeführt wird.</w:t>
      </w:r>
    </w:p>
    <w:p w14:paraId="2B6D8570" w14:textId="77777777" w:rsidR="00F50F4B" w:rsidRDefault="00000000">
      <w:pPr>
        <w:pStyle w:val="Heading3"/>
      </w:pPr>
      <w:bookmarkStart w:id="47" w:name="_Toc222150164"/>
      <w:r>
        <w:lastRenderedPageBreak/>
        <w:t>Weitere typische Bereinigungen</w:t>
      </w:r>
      <w:bookmarkEnd w:id="47"/>
    </w:p>
    <w:p w14:paraId="23A4E8F7" w14:textId="77777777" w:rsidR="00F50F4B" w:rsidRDefault="00000000">
      <w:pPr>
        <w:pStyle w:val="ListParagraph"/>
        <w:numPr>
          <w:ilvl w:val="0"/>
          <w:numId w:val="2"/>
        </w:numPr>
        <w:spacing w:after="120" w:line="340" w:lineRule="auto"/>
      </w:pPr>
      <w:r>
        <w:rPr>
          <w:color w:val="475569"/>
        </w:rPr>
        <w:t>Entlohnung von Familienangehörigen: Sind Familienangehörige im Unternehmen tätig, ist zu prüfen, ob deren Vergütung marktgerecht ist, und ggf. eine Anpassung vorzunehmen.</w:t>
      </w:r>
    </w:p>
    <w:p w14:paraId="088A05F4" w14:textId="77777777" w:rsidR="00F50F4B" w:rsidRDefault="00000000">
      <w:pPr>
        <w:pStyle w:val="ListParagraph"/>
        <w:numPr>
          <w:ilvl w:val="0"/>
          <w:numId w:val="2"/>
        </w:numPr>
        <w:spacing w:after="120" w:line="340" w:lineRule="auto"/>
      </w:pPr>
      <w:r>
        <w:rPr>
          <w:color w:val="475569"/>
        </w:rPr>
        <w:t>Gesellschafterdarlehen und Sicherheiten: Darlehen des Gesellschafters an das Unternehmen (oder umgekehrt) sowie gestellte Sicherheiten sind auf Marktkonformität zu prüfen.</w:t>
      </w:r>
    </w:p>
    <w:p w14:paraId="32131A4A" w14:textId="77777777" w:rsidR="00F50F4B" w:rsidRDefault="00000000">
      <w:pPr>
        <w:pStyle w:val="ListParagraph"/>
        <w:numPr>
          <w:ilvl w:val="0"/>
          <w:numId w:val="2"/>
        </w:numPr>
        <w:spacing w:after="120" w:line="340" w:lineRule="auto"/>
      </w:pPr>
      <w:r>
        <w:rPr>
          <w:color w:val="475569"/>
        </w:rPr>
        <w:t>Trennung privater und betrieblicher Sphäre: Private Aufwendungen, die über das Unternehmen abgerechnet werden (z. B. Kfz-Nutzung, Reisen), müssen identifiziert und bereinigt werden.</w:t>
      </w:r>
    </w:p>
    <w:p w14:paraId="21E448A6" w14:textId="77777777" w:rsidR="00F50F4B" w:rsidRDefault="00000000">
      <w:pPr>
        <w:pStyle w:val="ListParagraph"/>
        <w:numPr>
          <w:ilvl w:val="0"/>
          <w:numId w:val="2"/>
        </w:numPr>
        <w:spacing w:after="120" w:line="340" w:lineRule="auto"/>
      </w:pPr>
      <w:r>
        <w:rPr>
          <w:color w:val="475569"/>
        </w:rPr>
        <w:t>Einmal- und Sondereffekte: Außergewöhnliche Erträge oder Aufwendungen (z. B. Schadenersatz, Versicherungsleistungen, einmalige Projekte) sind zu eliminieren, damit ein nachhaltiges Ertragsniveau sichtbar wird.</w:t>
      </w:r>
    </w:p>
    <w:p w14:paraId="4DC3D1E2" w14:textId="77777777" w:rsidR="00F50F4B" w:rsidRDefault="00F50F4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387C9253"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6C57B32D" w14:textId="77777777" w:rsidR="00F50F4B" w:rsidRDefault="00000000">
            <w:pPr>
              <w:spacing w:after="80"/>
            </w:pPr>
            <w:r>
              <w:rPr>
                <w:b/>
                <w:bCs/>
                <w:color w:val="F97316"/>
              </w:rPr>
              <w:t>Wichtig</w:t>
            </w:r>
          </w:p>
          <w:p w14:paraId="7B81AAA6" w14:textId="77777777" w:rsidR="00F50F4B" w:rsidRDefault="00000000">
            <w:pPr>
              <w:spacing w:line="340" w:lineRule="auto"/>
            </w:pPr>
            <w:r>
              <w:rPr>
                <w:color w:val="475569"/>
                <w:sz w:val="21"/>
                <w:szCs w:val="21"/>
              </w:rPr>
              <w:t>Ohne einen korrekt angesetzten kalkulatorischen Unternehmerlohn ist der ermittelte Unternehmenswert in der Regel überhöht, da die Leistung des Inhabers nicht berücksichtigt wird. Die Bereinigung der historischen Zahlen ist damit zwingende Voraussetzung für eine sachgerechte Unternehmensplanung und Bewertung.</w:t>
            </w:r>
          </w:p>
        </w:tc>
      </w:tr>
    </w:tbl>
    <w:p w14:paraId="1E0642E9" w14:textId="77777777" w:rsidR="00F50F4B" w:rsidRDefault="00F50F4B">
      <w:pPr>
        <w:spacing w:after="100"/>
      </w:pPr>
    </w:p>
    <w:p w14:paraId="7141A66E" w14:textId="77777777" w:rsidR="00F50F4B" w:rsidRDefault="00000000">
      <w:pPr>
        <w:pStyle w:val="Heading2"/>
      </w:pPr>
      <w:bookmarkStart w:id="48" w:name="_Toc222150165"/>
      <w:r>
        <w:t>5.3  Planung der zukünftigen Zahlungsmittelüberschüsse</w:t>
      </w:r>
      <w:bookmarkEnd w:id="48"/>
    </w:p>
    <w:p w14:paraId="7E9AB63B" w14:textId="77777777" w:rsidR="00F50F4B" w:rsidRDefault="00000000">
      <w:pPr>
        <w:spacing w:after="200" w:line="360" w:lineRule="auto"/>
        <w:jc w:val="both"/>
      </w:pPr>
      <w:r>
        <w:rPr>
          <w:color w:val="475569"/>
        </w:rPr>
        <w:t>Auf Basis der bereinigten historischen Finanzzahlen wird eine Unternehmensplanung für die kommenden Jahre erstellt (IDW S1, Tz. 75–80). Diese Planung umfasst typischerweise einen Detailplanungszeitraum von drei bis fünf Jahren und ggf. eine Phase mit vereinfachten Annahmen für die fernere Zukunft (Fortführungsphase / ewige Rente).</w:t>
      </w:r>
    </w:p>
    <w:p w14:paraId="104DE169" w14:textId="77777777" w:rsidR="00F50F4B" w:rsidRDefault="00000000">
      <w:pPr>
        <w:spacing w:after="200" w:line="360" w:lineRule="auto"/>
        <w:jc w:val="both"/>
      </w:pPr>
      <w:r>
        <w:rPr>
          <w:color w:val="475569"/>
        </w:rPr>
        <w:t>Die Planung berücksichtigt sowohl unternehmensinterne Einschätzungen zur zukünftigen Entwicklung (z. B. geplante Investitionen, Personalaufbau, neue Produkte) als auch externe Einflussfaktoren (z. B. Marktentwicklung, Wettbewerbssituation, regulatorische Veränderungen).</w:t>
      </w:r>
    </w:p>
    <w:p w14:paraId="16CD22E2" w14:textId="77777777" w:rsidR="00F50F4B" w:rsidRDefault="00000000">
      <w:pPr>
        <w:spacing w:after="200" w:line="360" w:lineRule="auto"/>
        <w:jc w:val="both"/>
      </w:pPr>
      <w:r>
        <w:rPr>
          <w:color w:val="475569"/>
        </w:rPr>
        <w:t>Bei KMU stellt die Planung eine besondere Herausforderung dar, da häufig keine formale Unternehmensplanung existiert und die Datenbasis weniger umfangreich ist als bei größeren Unternehmen. In diesen Fällen muss die Planung in enger Abstimmung mit dem Unternehmer erarbeitet werden.</w:t>
      </w:r>
    </w:p>
    <w:p w14:paraId="56BFF23F" w14:textId="77777777" w:rsidR="00F50F4B" w:rsidRDefault="00F50F4B">
      <w:pPr>
        <w:spacing w:after="100"/>
      </w:pPr>
    </w:p>
    <w:p w14:paraId="1CBD32EE" w14:textId="77777777" w:rsidR="00F50F4B" w:rsidRDefault="00000000">
      <w:pPr>
        <w:pStyle w:val="Heading2"/>
      </w:pPr>
      <w:bookmarkStart w:id="49" w:name="_Toc222150166"/>
      <w:r>
        <w:t>5.4  Plausibilitätsbeurteilung der Planungen</w:t>
      </w:r>
      <w:bookmarkEnd w:id="49"/>
    </w:p>
    <w:p w14:paraId="21579859" w14:textId="77777777" w:rsidR="00F50F4B" w:rsidRDefault="00000000">
      <w:pPr>
        <w:spacing w:after="200" w:line="360" w:lineRule="auto"/>
        <w:jc w:val="both"/>
      </w:pPr>
      <w:r>
        <w:rPr>
          <w:color w:val="475569"/>
        </w:rPr>
        <w:t>Gemäß IDW S1 (Tz. 81) ist die Prognose der künftigen finanziellen Überschüsse auf ihre Plausibilität hin zu beurteilen. Die einzelnen Teilplanungen – insbesondere Plan-Bilanzen, Plan-Gewinn- und Verlustrechnungen und Finanzplanungen – müssen aufeinander abgestimmt und in sich plausibel sein. Im Rahmen der Planung der Gewinn- und Verlustrechnungen ist auch zu beachten, dass die Entwicklungen einzelner Positionen zueinander im Zeitablauf nachvollziehbar sind. In der Finanzplanung müssen die getroffenen Finanzierungsprämissen insbesondere unter Berücksichtigung des jeweiligen Ausschüttungsverhaltens zutreffend umgesetzt sein.</w:t>
      </w:r>
    </w:p>
    <w:p w14:paraId="387C578A" w14:textId="77777777" w:rsidR="00F50F4B" w:rsidRDefault="00000000">
      <w:pPr>
        <w:spacing w:after="200" w:line="360" w:lineRule="auto"/>
        <w:jc w:val="both"/>
      </w:pPr>
      <w:r>
        <w:rPr>
          <w:color w:val="475569"/>
        </w:rPr>
        <w:t>In der Praxis unterscheidet man zwischen interner und externer Plausibilisierung:</w:t>
      </w:r>
    </w:p>
    <w:p w14:paraId="15370E5F" w14:textId="77777777" w:rsidR="00F50F4B" w:rsidRDefault="00000000">
      <w:pPr>
        <w:pStyle w:val="Heading3"/>
      </w:pPr>
      <w:bookmarkStart w:id="50" w:name="_Toc222150167"/>
      <w:r>
        <w:t>Interne Plausibilisierung</w:t>
      </w:r>
      <w:bookmarkEnd w:id="50"/>
    </w:p>
    <w:p w14:paraId="7C2EFFB1" w14:textId="77777777" w:rsidR="00F50F4B" w:rsidRDefault="00000000">
      <w:pPr>
        <w:pStyle w:val="ListParagraph"/>
        <w:numPr>
          <w:ilvl w:val="0"/>
          <w:numId w:val="2"/>
        </w:numPr>
        <w:spacing w:after="120" w:line="340" w:lineRule="auto"/>
      </w:pPr>
      <w:r>
        <w:rPr>
          <w:color w:val="475569"/>
        </w:rPr>
        <w:t>Konsistenz mit der Vergangenheit: Stehen die geplanten Wachstumsraten, Margen und Investitionen im Einklang mit der historischen Entwicklung? Abweichungen müssen nachvollziehbar begründet sein.</w:t>
      </w:r>
    </w:p>
    <w:p w14:paraId="32141772" w14:textId="77777777" w:rsidR="00F50F4B" w:rsidRDefault="00000000">
      <w:pPr>
        <w:pStyle w:val="ListParagraph"/>
        <w:numPr>
          <w:ilvl w:val="0"/>
          <w:numId w:val="2"/>
        </w:numPr>
        <w:spacing w:after="120" w:line="340" w:lineRule="auto"/>
      </w:pPr>
      <w:r>
        <w:rPr>
          <w:color w:val="475569"/>
        </w:rPr>
        <w:t>Abstimmung der Teilplanungen: Plan-Bilanz, Plan-GuV und Finanzplanung müssen rechnerisch konsistent sein. Beispielsweise müssen sich Investitionsplanung und Abschreibungen im Zeitablauf korrekt widerspiegeln.</w:t>
      </w:r>
    </w:p>
    <w:p w14:paraId="47D44ADA" w14:textId="77777777" w:rsidR="00F50F4B" w:rsidRDefault="00000000">
      <w:pPr>
        <w:pStyle w:val="ListParagraph"/>
        <w:numPr>
          <w:ilvl w:val="0"/>
          <w:numId w:val="2"/>
        </w:numPr>
        <w:spacing w:after="120" w:line="340" w:lineRule="auto"/>
      </w:pPr>
      <w:r>
        <w:rPr>
          <w:color w:val="475569"/>
        </w:rPr>
        <w:t>Nachvollziehbarkeit im Zeitablauf: Die Entwicklung einzelner Positionen muss zueinander im Zeitablauf schlüssig sein – z. B. müssen steigende Umsätze mit entsprechender Personal- und Investitionsplanung einhergehen.</w:t>
      </w:r>
    </w:p>
    <w:p w14:paraId="36487040" w14:textId="77777777" w:rsidR="00F50F4B" w:rsidRDefault="00000000">
      <w:pPr>
        <w:pStyle w:val="ListParagraph"/>
        <w:numPr>
          <w:ilvl w:val="0"/>
          <w:numId w:val="2"/>
        </w:numPr>
        <w:spacing w:after="120" w:line="340" w:lineRule="auto"/>
      </w:pPr>
      <w:r>
        <w:rPr>
          <w:color w:val="475569"/>
        </w:rPr>
        <w:t>Abstimmung mit dem Management: Die Planungsannahmen werden mit dem Unternehmer bzw. der Geschäftsführung besprochen und freigegeben.</w:t>
      </w:r>
    </w:p>
    <w:p w14:paraId="1407260A" w14:textId="77777777" w:rsidR="00F50F4B" w:rsidRDefault="00000000">
      <w:pPr>
        <w:pStyle w:val="Heading3"/>
      </w:pPr>
      <w:bookmarkStart w:id="51" w:name="_Toc222150168"/>
      <w:r>
        <w:t>Externe Plausibilisierung</w:t>
      </w:r>
      <w:bookmarkEnd w:id="51"/>
    </w:p>
    <w:p w14:paraId="714AF87D" w14:textId="77777777" w:rsidR="00F50F4B" w:rsidRDefault="00000000">
      <w:pPr>
        <w:pStyle w:val="ListParagraph"/>
        <w:numPr>
          <w:ilvl w:val="0"/>
          <w:numId w:val="2"/>
        </w:numPr>
        <w:spacing w:after="120" w:line="340" w:lineRule="auto"/>
      </w:pPr>
      <w:r>
        <w:rPr>
          <w:color w:val="475569"/>
        </w:rPr>
        <w:t>Marktdaten und Branchenanalysen: Vergleich der geplanten Entwicklung mit verfügbaren Markt- und Branchendaten (z. B. Marktwachstum, Branchendurchschnittsmargen).</w:t>
      </w:r>
    </w:p>
    <w:p w14:paraId="642BCFB7" w14:textId="77777777" w:rsidR="00F50F4B" w:rsidRDefault="00000000">
      <w:pPr>
        <w:pStyle w:val="ListParagraph"/>
        <w:numPr>
          <w:ilvl w:val="0"/>
          <w:numId w:val="2"/>
        </w:numPr>
        <w:spacing w:after="120" w:line="340" w:lineRule="auto"/>
      </w:pPr>
      <w:r>
        <w:rPr>
          <w:color w:val="475569"/>
        </w:rPr>
        <w:t>Vergleichsunternehmen (Peer Group): Benchmarking der wesentlichen Kennzahlen (Umsatzwachstum, EBITDA-Marge, Investitionsquote) mit vergleichbaren Unternehmen.</w:t>
      </w:r>
    </w:p>
    <w:p w14:paraId="7FCC8681" w14:textId="77777777" w:rsidR="00F50F4B" w:rsidRDefault="00000000">
      <w:pPr>
        <w:pStyle w:val="ListParagraph"/>
        <w:numPr>
          <w:ilvl w:val="0"/>
          <w:numId w:val="2"/>
        </w:numPr>
        <w:spacing w:after="120" w:line="340" w:lineRule="auto"/>
      </w:pPr>
      <w:r>
        <w:rPr>
          <w:color w:val="475569"/>
        </w:rPr>
        <w:t>Multiplikatoren als Plausibilisierung: Die Ergebnisse der Ertragswert- oder DCF-Bewertung werden anhand von Marktmultiplikatoren auf Marktgängigkeit geprüft (vgl. Abschnitt 3.3).</w:t>
      </w:r>
    </w:p>
    <w:p w14:paraId="6450F9B3" w14:textId="77777777" w:rsidR="00F50F4B" w:rsidRDefault="00F50F4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29743D5F"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1188252B" w14:textId="77777777" w:rsidR="00F50F4B" w:rsidRDefault="00000000">
            <w:pPr>
              <w:spacing w:after="80"/>
            </w:pPr>
            <w:r>
              <w:rPr>
                <w:b/>
                <w:bCs/>
                <w:color w:val="F97316"/>
              </w:rPr>
              <w:t>Praxistipp</w:t>
            </w:r>
          </w:p>
          <w:p w14:paraId="2F068DA2" w14:textId="77777777" w:rsidR="00F50F4B" w:rsidRDefault="00000000">
            <w:pPr>
              <w:spacing w:line="340" w:lineRule="auto"/>
            </w:pPr>
            <w:r>
              <w:rPr>
                <w:color w:val="475569"/>
                <w:sz w:val="21"/>
                <w:szCs w:val="21"/>
              </w:rPr>
              <w:t>Eine gründliche Plausibilisierung gemäß IDW S1 erhöht die Belastbarkeit und Verteidigungsfähigkeit des Bewertungsergebnisses gegenüber Dritten erheblich – sei es gegenüber Verhandlungspartnern, Finanzinstituten oder dem Finanzamt.</w:t>
            </w:r>
          </w:p>
        </w:tc>
      </w:tr>
    </w:tbl>
    <w:p w14:paraId="6B631DDB" w14:textId="77777777" w:rsidR="00F50F4B" w:rsidRDefault="00F50F4B">
      <w:pPr>
        <w:spacing w:after="100"/>
      </w:pPr>
    </w:p>
    <w:p w14:paraId="547D4B2D" w14:textId="77777777" w:rsidR="00F50F4B" w:rsidRDefault="00000000">
      <w:pPr>
        <w:pStyle w:val="Heading2"/>
      </w:pPr>
      <w:bookmarkStart w:id="52" w:name="_Toc222150169"/>
      <w:r>
        <w:t>5.5  Bestimmung der übertragbaren Ertragskraft</w:t>
      </w:r>
      <w:bookmarkEnd w:id="52"/>
    </w:p>
    <w:p w14:paraId="65B9D77C" w14:textId="77777777" w:rsidR="00F50F4B" w:rsidRDefault="00000000">
      <w:pPr>
        <w:spacing w:after="200" w:line="360" w:lineRule="auto"/>
        <w:jc w:val="both"/>
      </w:pPr>
      <w:r>
        <w:rPr>
          <w:color w:val="475569"/>
        </w:rPr>
        <w:t>Im fünften Schritt wird geprüft, inwieweit die geplanten Zahlungsmittelüberschüsse auf einen neuen Eigentümer übertragbar sind. Dieser Schritt ist das Kernstück der KMU-Bewertung und greift auf die in Abschnitt 4.2 dargestellten Konzepte der Übertragbarkeit und die in Abschnitt 4.3 beschriebene Abschmelz-Methode zurück. Die dort beschriebenen Instrumente – Scoring-Methode, IDW-Kriterienkatalog, Size Discount – werden hier auf den konkreten Einzelfall angewendet und in das Bewertungsmodell integriert.</w:t>
      </w:r>
    </w:p>
    <w:p w14:paraId="258C9D98" w14:textId="77777777" w:rsidR="00F50F4B" w:rsidRDefault="00F50F4B">
      <w:pPr>
        <w:spacing w:after="100"/>
      </w:pPr>
    </w:p>
    <w:p w14:paraId="1E869920" w14:textId="77777777" w:rsidR="00F50F4B" w:rsidRDefault="00000000">
      <w:pPr>
        <w:pStyle w:val="Heading2"/>
      </w:pPr>
      <w:bookmarkStart w:id="53" w:name="_Toc222150170"/>
      <w:r>
        <w:t>5.6  Finalisierung und Gutachten</w:t>
      </w:r>
      <w:bookmarkEnd w:id="53"/>
    </w:p>
    <w:p w14:paraId="2CAD305A" w14:textId="77777777" w:rsidR="00F50F4B" w:rsidRDefault="00000000">
      <w:pPr>
        <w:spacing w:after="200" w:line="360" w:lineRule="auto"/>
        <w:jc w:val="both"/>
      </w:pPr>
      <w:r>
        <w:rPr>
          <w:color w:val="475569"/>
        </w:rPr>
        <w:t>Im letzten Schritt wird das Bewertungsgutachten fertiggestellt (IDW S1, Tz. 175–179). Dazu gehören die Dokumentation aller getroffenen Annahmen, die Durchführung von Sensitivitätsanalysen für wesentliche Parameter sowie die Zusammenfassung der Ergebnisse.</w:t>
      </w:r>
    </w:p>
    <w:p w14:paraId="0B24AA5D" w14:textId="77777777" w:rsidR="00F50F4B" w:rsidRDefault="00000000">
      <w:pPr>
        <w:spacing w:after="200" w:line="360" w:lineRule="auto"/>
        <w:jc w:val="both"/>
      </w:pPr>
      <w:r>
        <w:rPr>
          <w:color w:val="475569"/>
        </w:rPr>
        <w:t>Typischerweise wird eine Vorabversion des Gutachtens erstellt und mit dem Auftraggeber besprochen. Nach Einarbeitung etwaiger Anmerkungen wird das finale Gutachten versendet und in einem Abschlussgespräch erläutert.</w:t>
      </w:r>
    </w:p>
    <w:p w14:paraId="18A87812" w14:textId="77777777" w:rsidR="00F50F4B" w:rsidRDefault="00F50F4B">
      <w:pPr>
        <w:spacing w:after="100"/>
      </w:pPr>
    </w:p>
    <w:p w14:paraId="12130C8E" w14:textId="77777777" w:rsidR="00F50F4B" w:rsidRDefault="00000000">
      <w:r>
        <w:br w:type="page"/>
      </w:r>
    </w:p>
    <w:p w14:paraId="7FD55808" w14:textId="77777777" w:rsidR="00F50F4B" w:rsidRDefault="00000000">
      <w:pPr>
        <w:pStyle w:val="Heading1"/>
      </w:pPr>
      <w:bookmarkStart w:id="54" w:name="_Toc222150171"/>
      <w:r>
        <w:lastRenderedPageBreak/>
        <w:t>6  Wertsteigerung bei KMU</w:t>
      </w:r>
      <w:bookmarkEnd w:id="54"/>
    </w:p>
    <w:p w14:paraId="369F30CE" w14:textId="77777777" w:rsidR="00F50F4B" w:rsidRDefault="00000000">
      <w:pPr>
        <w:spacing w:after="200" w:line="360" w:lineRule="auto"/>
        <w:jc w:val="both"/>
      </w:pPr>
      <w:r>
        <w:rPr>
          <w:color w:val="475569"/>
        </w:rPr>
        <w:t>Die zuvor dargestellten Herausforderungen bei der Bewertung von KMU sind zugleich Ansatzpunkte für eine aktive Steigerung des Unternehmenswertes. Die Maßnahmen setzen an zwei Hebeln an:</w:t>
      </w:r>
    </w:p>
    <w:p w14:paraId="14201918" w14:textId="77777777" w:rsidR="00F50F4B" w:rsidRDefault="00000000">
      <w:pPr>
        <w:pStyle w:val="Heading2"/>
      </w:pPr>
      <w:bookmarkStart w:id="55" w:name="_Toc222150172"/>
      <w:r>
        <w:t>6.1  Den Bewertungs-Triangel optimieren</w:t>
      </w:r>
      <w:bookmarkEnd w:id="55"/>
    </w:p>
    <w:p w14:paraId="2E6F616C" w14:textId="77777777" w:rsidR="00F50F4B" w:rsidRDefault="00000000">
      <w:pPr>
        <w:spacing w:after="200" w:line="360" w:lineRule="auto"/>
        <w:jc w:val="both"/>
      </w:pPr>
      <w:r>
        <w:rPr>
          <w:color w:val="475569"/>
        </w:rPr>
        <w:t>Die drei zentralen Werttreiber – Höhe der Zahlungsmittelüberschüsse, Zeitschiene und Risiko – bilden den Bewertungs-Triangel. Jede Maßnahme, die auf einen dieser Hebel wirkt, steigert den Unternehmenswert:</w:t>
      </w:r>
    </w:p>
    <w:p w14:paraId="01F92C74" w14:textId="77777777" w:rsidR="00F50F4B" w:rsidRDefault="00000000">
      <w:pPr>
        <w:pStyle w:val="ListParagraph"/>
        <w:numPr>
          <w:ilvl w:val="0"/>
          <w:numId w:val="2"/>
        </w:numPr>
        <w:spacing w:after="120" w:line="340" w:lineRule="auto"/>
      </w:pPr>
      <w:r>
        <w:rPr>
          <w:color w:val="475569"/>
        </w:rPr>
        <w:t>Cashflows steigern: Höhere Umsätze, verbesserte Margen, effizienterer Ressourceneinsatz</w:t>
      </w:r>
    </w:p>
    <w:p w14:paraId="4F2B04CE" w14:textId="77777777" w:rsidR="00F50F4B" w:rsidRDefault="00000000">
      <w:pPr>
        <w:pStyle w:val="ListParagraph"/>
        <w:numPr>
          <w:ilvl w:val="0"/>
          <w:numId w:val="2"/>
        </w:numPr>
        <w:spacing w:after="120" w:line="340" w:lineRule="auto"/>
      </w:pPr>
      <w:r>
        <w:rPr>
          <w:color w:val="475569"/>
        </w:rPr>
        <w:t>Zeitraum verlängern: Langfristige Wettbewerbsvorteile aufbauen, Kundenbindung stärken</w:t>
      </w:r>
    </w:p>
    <w:p w14:paraId="40642230" w14:textId="77777777" w:rsidR="00F50F4B" w:rsidRDefault="00000000">
      <w:pPr>
        <w:pStyle w:val="ListParagraph"/>
        <w:numPr>
          <w:ilvl w:val="0"/>
          <w:numId w:val="2"/>
        </w:numPr>
        <w:spacing w:after="120" w:line="340" w:lineRule="auto"/>
      </w:pPr>
      <w:r>
        <w:rPr>
          <w:color w:val="475569"/>
        </w:rPr>
        <w:t>Risiken senken: Diversifikation, stabile Prozesse, robuste Geschäftsbeziehungen</w:t>
      </w:r>
    </w:p>
    <w:p w14:paraId="5C8063A0" w14:textId="77777777" w:rsidR="00F50F4B" w:rsidRDefault="00000000">
      <w:pPr>
        <w:pStyle w:val="Heading2"/>
      </w:pPr>
      <w:bookmarkStart w:id="56" w:name="_Toc222150173"/>
      <w:r>
        <w:t>6.2  KMU-Besonderheiten aktiv entgegenwirken</w:t>
      </w:r>
      <w:bookmarkEnd w:id="56"/>
    </w:p>
    <w:p w14:paraId="447AE94F" w14:textId="77777777" w:rsidR="00F50F4B" w:rsidRDefault="00000000">
      <w:pPr>
        <w:spacing w:after="200" w:line="360" w:lineRule="auto"/>
        <w:jc w:val="both"/>
      </w:pPr>
      <w:r>
        <w:rPr>
          <w:color w:val="475569"/>
        </w:rPr>
        <w:t>Zusätzlich zum Bewertungs-Triangel können KMU-Inhaber gezielt an den typischen Schwächen ansetzen, die den Unternehmenswert drücken:</w:t>
      </w:r>
    </w:p>
    <w:p w14:paraId="3A556307" w14:textId="77777777" w:rsidR="00F50F4B" w:rsidRDefault="00000000">
      <w:pPr>
        <w:pStyle w:val="ListParagraph"/>
        <w:numPr>
          <w:ilvl w:val="0"/>
          <w:numId w:val="2"/>
        </w:numPr>
        <w:spacing w:after="120" w:line="340" w:lineRule="auto"/>
      </w:pPr>
      <w:r>
        <w:rPr>
          <w:color w:val="475569"/>
        </w:rPr>
        <w:t>Zweite Führungsebene aufbauen: Die Abhängigkeit vom Inhaber reduzieren und die Übertragbarkeit der Ertragskraft sicherstellen</w:t>
      </w:r>
    </w:p>
    <w:p w14:paraId="78C4C986" w14:textId="77777777" w:rsidR="00F50F4B" w:rsidRDefault="00000000">
      <w:pPr>
        <w:pStyle w:val="ListParagraph"/>
        <w:numPr>
          <w:ilvl w:val="0"/>
          <w:numId w:val="2"/>
        </w:numPr>
        <w:spacing w:after="120" w:line="340" w:lineRule="auto"/>
      </w:pPr>
      <w:r>
        <w:rPr>
          <w:color w:val="475569"/>
        </w:rPr>
        <w:t>Prozesse und Abläufe dokumentieren: Systematische Dokumentation der Geschäftsprozesse erhöht die Transparenz und erleichtert die Übergabe</w:t>
      </w:r>
    </w:p>
    <w:p w14:paraId="30740C8C" w14:textId="77777777" w:rsidR="00F50F4B" w:rsidRDefault="00000000">
      <w:pPr>
        <w:pStyle w:val="ListParagraph"/>
        <w:numPr>
          <w:ilvl w:val="0"/>
          <w:numId w:val="2"/>
        </w:numPr>
        <w:spacing w:after="120" w:line="340" w:lineRule="auto"/>
      </w:pPr>
      <w:r>
        <w:rPr>
          <w:color w:val="475569"/>
        </w:rPr>
        <w:t>Kundenkontakte im Unternehmen verteilen: Kundenbeziehungen nicht ausschließlich auf den Unternehmer konzentrieren, sondern im Team verankern</w:t>
      </w:r>
    </w:p>
    <w:p w14:paraId="6F121BDE" w14:textId="77777777" w:rsidR="00F50F4B" w:rsidRDefault="00000000">
      <w:pPr>
        <w:pStyle w:val="ListParagraph"/>
        <w:numPr>
          <w:ilvl w:val="0"/>
          <w:numId w:val="2"/>
        </w:numPr>
        <w:spacing w:after="120" w:line="340" w:lineRule="auto"/>
      </w:pPr>
      <w:r>
        <w:rPr>
          <w:color w:val="475569"/>
        </w:rPr>
        <w:t>Datenqualität verbessern: Professionelles Rechnungswesen und Reporting aufbauen</w:t>
      </w:r>
    </w:p>
    <w:p w14:paraId="24C3F8A7" w14:textId="77777777" w:rsidR="00F50F4B" w:rsidRDefault="00000000">
      <w:pPr>
        <w:pStyle w:val="ListParagraph"/>
        <w:numPr>
          <w:ilvl w:val="0"/>
          <w:numId w:val="2"/>
        </w:numPr>
        <w:spacing w:after="120" w:line="340" w:lineRule="auto"/>
      </w:pPr>
      <w:r>
        <w:rPr>
          <w:color w:val="475569"/>
        </w:rPr>
        <w:t>Konzentrationsrisiken reduzieren: Kunden- und Lieferantenportfolio diversifizieren</w:t>
      </w:r>
    </w:p>
    <w:p w14:paraId="0D26F2D1" w14:textId="77777777" w:rsidR="00F50F4B" w:rsidRDefault="00F50F4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50F4B" w14:paraId="7A93D6BA" w14:textId="77777777">
        <w:tblPrEx>
          <w:tblCellMar>
            <w:top w:w="0" w:type="dxa"/>
            <w:bottom w:w="0" w:type="dxa"/>
          </w:tblCellMar>
        </w:tblPrEx>
        <w:tc>
          <w:tcPr>
            <w:tcW w:w="9026" w:type="dxa"/>
            <w:tcBorders>
              <w:top w:val="none" w:sz="0" w:space="0" w:color="FFFFFF"/>
              <w:left w:val="single" w:sz="12" w:space="0" w:color="F97316"/>
              <w:bottom w:val="none" w:sz="0" w:space="0" w:color="FFFFFF"/>
              <w:right w:val="none" w:sz="0" w:space="0" w:color="FFFFFF"/>
            </w:tcBorders>
            <w:shd w:val="clear" w:color="auto" w:fill="EFF6FF"/>
            <w:tcMar>
              <w:top w:w="120" w:type="dxa"/>
              <w:left w:w="200" w:type="dxa"/>
              <w:bottom w:w="120" w:type="dxa"/>
              <w:right w:w="200" w:type="dxa"/>
            </w:tcMar>
          </w:tcPr>
          <w:p w14:paraId="2A3DEEBB" w14:textId="77777777" w:rsidR="00F50F4B" w:rsidRDefault="00000000">
            <w:pPr>
              <w:spacing w:after="80"/>
            </w:pPr>
            <w:r>
              <w:rPr>
                <w:b/>
                <w:bCs/>
                <w:color w:val="F97316"/>
              </w:rPr>
              <w:t>Strategische Empfehlung</w:t>
            </w:r>
          </w:p>
          <w:p w14:paraId="24FC3541" w14:textId="77777777" w:rsidR="00F50F4B" w:rsidRDefault="00000000">
            <w:pPr>
              <w:spacing w:line="340" w:lineRule="auto"/>
            </w:pPr>
            <w:r>
              <w:rPr>
                <w:color w:val="475569"/>
                <w:sz w:val="21"/>
                <w:szCs w:val="21"/>
              </w:rPr>
              <w:t>Wer den Wert seines Unternehmens langfristig steigern möchte, sollte frühzeitig – idealerweise Jahre vor einem geplanten Verkauf – an den beschriebenen Stellschrauben arbeiten. Eine frühzeitige Analyse der eigenen Werthebel und Schwächen ist der erste Schritt.</w:t>
            </w:r>
          </w:p>
        </w:tc>
      </w:tr>
    </w:tbl>
    <w:p w14:paraId="14A18ECA" w14:textId="77777777" w:rsidR="00F50F4B" w:rsidRDefault="00F50F4B">
      <w:pPr>
        <w:spacing w:after="100"/>
      </w:pPr>
    </w:p>
    <w:p w14:paraId="14EFA08B" w14:textId="77777777" w:rsidR="00F50F4B" w:rsidRDefault="00000000">
      <w:r>
        <w:lastRenderedPageBreak/>
        <w:br w:type="page"/>
      </w:r>
    </w:p>
    <w:p w14:paraId="47EEC113" w14:textId="77777777" w:rsidR="00F50F4B" w:rsidRDefault="00000000">
      <w:pPr>
        <w:pStyle w:val="Heading1"/>
      </w:pPr>
      <w:bookmarkStart w:id="57" w:name="_Toc222150174"/>
      <w:r>
        <w:lastRenderedPageBreak/>
        <w:t>7  Zusammenfassung</w:t>
      </w:r>
      <w:bookmarkEnd w:id="57"/>
    </w:p>
    <w:p w14:paraId="2D71C1CE" w14:textId="77777777" w:rsidR="00F50F4B" w:rsidRDefault="00000000">
      <w:pPr>
        <w:spacing w:after="200" w:line="360" w:lineRule="auto"/>
        <w:jc w:val="both"/>
      </w:pPr>
      <w:r>
        <w:rPr>
          <w:color w:val="475569"/>
        </w:rPr>
        <w:t>Die Bewertung von kleinen und mittleren Unternehmen erfordert ein fundiertes Verständnis sowohl der allgemeinen Bewertungsgrundsätze als auch der KMU-spezifischen Besonderheiten. Die wesentlichen Erkenntnisse dieses White Papers lassen sich wie folgt zusammenfassen:</w:t>
      </w:r>
    </w:p>
    <w:p w14:paraId="0024D5C1" w14:textId="77777777" w:rsidR="00F50F4B" w:rsidRDefault="00F50F4B">
      <w:pPr>
        <w:spacing w:after="100"/>
      </w:pPr>
    </w:p>
    <w:p w14:paraId="2028FF64" w14:textId="77777777" w:rsidR="00F50F4B" w:rsidRDefault="00000000">
      <w:pPr>
        <w:pStyle w:val="ListParagraph"/>
        <w:numPr>
          <w:ilvl w:val="0"/>
          <w:numId w:val="4"/>
        </w:numPr>
        <w:spacing w:after="120" w:line="340" w:lineRule="auto"/>
      </w:pPr>
      <w:r>
        <w:rPr>
          <w:color w:val="475569"/>
        </w:rPr>
        <w:t>Es gibt nicht den einen, dem Unternehmen innewohnenden Wert. Ein ermittelter Unternehmenswert wird neben den Charakteristika des Bewertungsgegenstands auch maßgeblich durch den Bewertungsanlass und die dadurch bedingten Annahmen mitbestimmt.</w:t>
      </w:r>
    </w:p>
    <w:p w14:paraId="5FDA7499" w14:textId="77777777" w:rsidR="00F50F4B" w:rsidRDefault="00000000">
      <w:pPr>
        <w:pStyle w:val="ListParagraph"/>
        <w:numPr>
          <w:ilvl w:val="0"/>
          <w:numId w:val="4"/>
        </w:numPr>
        <w:spacing w:after="120" w:line="340" w:lineRule="auto"/>
      </w:pPr>
      <w:r>
        <w:rPr>
          <w:color w:val="475569"/>
        </w:rPr>
        <w:t>Allgemein anerkannt ist, Unternehmen anhand der realistischerweise zu erzielenden finanziellen Überschüsse zu bewerten (DCF- oder Ertragswertverfahren). Das Multiplikator-Verfahren eignet sich als Plausibilisierung und zur Annäherung an Marktpreise.</w:t>
      </w:r>
    </w:p>
    <w:p w14:paraId="5AB7EE91" w14:textId="77777777" w:rsidR="00F50F4B" w:rsidRDefault="00000000">
      <w:pPr>
        <w:pStyle w:val="ListParagraph"/>
        <w:numPr>
          <w:ilvl w:val="0"/>
          <w:numId w:val="4"/>
        </w:numPr>
        <w:spacing w:after="120" w:line="340" w:lineRule="auto"/>
      </w:pPr>
      <w:r>
        <w:rPr>
          <w:color w:val="475569"/>
        </w:rPr>
        <w:t>Preis ist nicht gleich Wert. Marktpreise können von berechneten Unternehmenswerten abweichen, etwa durch Machtgefälle im Verhandlungsprozess oder persönliche Umstände.</w:t>
      </w:r>
    </w:p>
    <w:p w14:paraId="5D481A79" w14:textId="77777777" w:rsidR="00F50F4B" w:rsidRDefault="00000000">
      <w:pPr>
        <w:pStyle w:val="ListParagraph"/>
        <w:numPr>
          <w:ilvl w:val="0"/>
          <w:numId w:val="4"/>
        </w:numPr>
        <w:spacing w:after="120" w:line="340" w:lineRule="auto"/>
      </w:pPr>
      <w:r>
        <w:rPr>
          <w:color w:val="475569"/>
        </w:rPr>
        <w:t>Unternehmenswerte werden durch Faktoren beeinflusst, die sich auf die Höhe der Zahlungsmittelüberschüsse, deren Länge und Wachstum sowie das Gesamtrisiko auswirken.</w:t>
      </w:r>
    </w:p>
    <w:p w14:paraId="322C8014" w14:textId="77777777" w:rsidR="00F50F4B" w:rsidRDefault="00000000">
      <w:pPr>
        <w:pStyle w:val="ListParagraph"/>
        <w:numPr>
          <w:ilvl w:val="0"/>
          <w:numId w:val="4"/>
        </w:numPr>
        <w:spacing w:after="120" w:line="340" w:lineRule="auto"/>
      </w:pPr>
      <w:r>
        <w:rPr>
          <w:color w:val="475569"/>
        </w:rPr>
        <w:t>KMU werden aufgrund ihrer spezifischen Charakteristika – insbesondere der oft nicht voll übertragbaren Erfolgsfaktoren – zu niedrigeren Preisen gehandelt als größere Unternehmen.</w:t>
      </w:r>
    </w:p>
    <w:p w14:paraId="703A5D39" w14:textId="77777777" w:rsidR="00F50F4B" w:rsidRDefault="00000000">
      <w:pPr>
        <w:pStyle w:val="ListParagraph"/>
        <w:numPr>
          <w:ilvl w:val="0"/>
          <w:numId w:val="4"/>
        </w:numPr>
        <w:spacing w:after="120" w:line="340" w:lineRule="auto"/>
      </w:pPr>
      <w:r>
        <w:rPr>
          <w:color w:val="475569"/>
        </w:rPr>
        <w:t>Für eine sachgerechte Bewertung müssen KMU-spezifische Faktoren wie eingeschränkte Übertragbarkeit, Inhaberprägung und Konzentrationsrisiken quantifiziert werden.</w:t>
      </w:r>
    </w:p>
    <w:p w14:paraId="0A174B5F" w14:textId="77777777" w:rsidR="00F50F4B" w:rsidRDefault="00000000">
      <w:pPr>
        <w:pStyle w:val="ListParagraph"/>
        <w:numPr>
          <w:ilvl w:val="0"/>
          <w:numId w:val="4"/>
        </w:numPr>
        <w:spacing w:after="120" w:line="340" w:lineRule="auto"/>
      </w:pPr>
      <w:r>
        <w:rPr>
          <w:color w:val="475569"/>
        </w:rPr>
        <w:t>Vereinfachende Bewertungsverfahren, die auf eine Schätzung der zukünftigen Zahlungsmittelüberschüsse verzichten, sind meist nicht zielführend und führen oft zu unzutreffenden Werten.</w:t>
      </w:r>
    </w:p>
    <w:p w14:paraId="3AB33223" w14:textId="77777777" w:rsidR="00F50F4B" w:rsidRDefault="00000000">
      <w:pPr>
        <w:pStyle w:val="ListParagraph"/>
        <w:numPr>
          <w:ilvl w:val="0"/>
          <w:numId w:val="4"/>
        </w:numPr>
        <w:spacing w:after="120" w:line="340" w:lineRule="auto"/>
      </w:pPr>
      <w:r>
        <w:rPr>
          <w:color w:val="475569"/>
        </w:rPr>
        <w:t>Maßnahmen zur Wertsteigerung setzen an den drei zentralen Werttreibern sowie an den KMU-spezifischen Stellschrauben an und sollten frühzeitig begonnen werden.</w:t>
      </w:r>
    </w:p>
    <w:p w14:paraId="07972C27" w14:textId="77777777" w:rsidR="00F50F4B" w:rsidRDefault="00F50F4B">
      <w:pPr>
        <w:spacing w:after="100"/>
      </w:pPr>
    </w:p>
    <w:p w14:paraId="4D8599ED" w14:textId="77777777" w:rsidR="00F50F4B" w:rsidRDefault="00000000">
      <w:pPr>
        <w:pStyle w:val="Heading1"/>
      </w:pPr>
      <w:bookmarkStart w:id="58" w:name="_Toc222150175"/>
      <w:r>
        <w:t>8  Quellenverzeichnis</w:t>
      </w:r>
      <w:bookmarkEnd w:id="58"/>
    </w:p>
    <w:p w14:paraId="196EF70F" w14:textId="77777777" w:rsidR="00F50F4B" w:rsidRDefault="00000000">
      <w:pPr>
        <w:spacing w:after="200" w:line="360" w:lineRule="auto"/>
      </w:pPr>
      <w:r>
        <w:rPr>
          <w:color w:val="475569"/>
        </w:rPr>
        <w:lastRenderedPageBreak/>
        <w:t>Drukarczyk, Jochen; Schüler, Andreas: Unternehmensbewertung, 8. Auflage, Verlag Franz Vahlen, München 2021.</w:t>
      </w:r>
    </w:p>
    <w:p w14:paraId="5108CBBF" w14:textId="77777777" w:rsidR="00F50F4B" w:rsidRDefault="00000000">
      <w:pPr>
        <w:spacing w:after="200" w:line="360" w:lineRule="auto"/>
      </w:pPr>
      <w:r>
        <w:rPr>
          <w:color w:val="475569"/>
        </w:rPr>
        <w:t>Gesetz über die Bewertung (BewG), insb. §§ 199–203 (Vereinfachtes Ertragswertverfahren).</w:t>
      </w:r>
    </w:p>
    <w:p w14:paraId="597D3B4C" w14:textId="77777777" w:rsidR="00F50F4B" w:rsidRDefault="00000000">
      <w:pPr>
        <w:spacing w:after="200" w:line="360" w:lineRule="auto"/>
      </w:pPr>
      <w:r>
        <w:rPr>
          <w:color w:val="475569"/>
        </w:rPr>
        <w:t>Institut der Wirtschaftsprüfer in Deutschland (IDW): IDW Standard S1 i.d.F. 2008 – Grundsätze zur Durchführung von Unternehmensbewertungen (zuletzt geändert 2024).</w:t>
      </w:r>
    </w:p>
    <w:p w14:paraId="3458B571" w14:textId="77777777" w:rsidR="00F50F4B" w:rsidRDefault="00000000">
      <w:pPr>
        <w:spacing w:after="200" w:line="360" w:lineRule="auto"/>
      </w:pPr>
      <w:r>
        <w:rPr>
          <w:color w:val="475569"/>
        </w:rPr>
        <w:t>Institut der Wirtschaftsprüfer in Deutschland (IDW): IDW Praxishinweis 1/2014 – Besonderheiten bei der Ermittlung eines objektivierten Unternehmenswerts kleiner und mittelgroßer Unternehmen, 2014.</w:t>
      </w:r>
    </w:p>
    <w:p w14:paraId="4A3579EE" w14:textId="77777777" w:rsidR="00F50F4B" w:rsidRDefault="00000000">
      <w:pPr>
        <w:spacing w:after="200" w:line="360" w:lineRule="auto"/>
      </w:pPr>
      <w:r>
        <w:rPr>
          <w:color w:val="475569"/>
        </w:rPr>
        <w:t>Mandl, Gerwald; Rabel, Klaus: Unternehmensbewertung: Eine praxisorientierte Einführung, Springer Verlag, Wien/New York 1997.</w:t>
      </w:r>
    </w:p>
    <w:p w14:paraId="00937D0D" w14:textId="77777777" w:rsidR="00F50F4B" w:rsidRDefault="00000000">
      <w:pPr>
        <w:spacing w:after="200" w:line="360" w:lineRule="auto"/>
      </w:pPr>
      <w:r>
        <w:rPr>
          <w:color w:val="475569"/>
        </w:rPr>
        <w:t>Matschke, Manfred Jürgen; Brösel, Gerrit; Toll, Christian: Unternehmensbewertung: Funktionen – Methoden – Grundsätze, 5. Auflage, Springer Gabler, Wiesbaden 2024.</w:t>
      </w:r>
    </w:p>
    <w:p w14:paraId="35310A2E" w14:textId="77777777" w:rsidR="00F50F4B" w:rsidRDefault="00000000">
      <w:pPr>
        <w:spacing w:after="200" w:line="360" w:lineRule="auto"/>
      </w:pPr>
      <w:r>
        <w:rPr>
          <w:color w:val="475569"/>
        </w:rPr>
        <w:t>Peemöller, Volker H. (Hrsg.): Praxishandbuch der Unternehmensbewertung, 8. Auflage, NWB Verlag, Herne 2023.</w:t>
      </w:r>
    </w:p>
    <w:p w14:paraId="356051DE" w14:textId="77777777" w:rsidR="00F50F4B" w:rsidRDefault="00000000">
      <w:pPr>
        <w:spacing w:after="200" w:line="360" w:lineRule="auto"/>
      </w:pPr>
      <w:r>
        <w:rPr>
          <w:color w:val="475569"/>
        </w:rPr>
        <w:t>WP Handbuch, Band II: Wirtschaftliches Prüfungswesen, 18. Auflage, IDW Verlag, Düsseldorf 2024.</w:t>
      </w:r>
    </w:p>
    <w:p w14:paraId="4B3177BE" w14:textId="77777777" w:rsidR="00F50F4B" w:rsidRDefault="00F50F4B">
      <w:pPr>
        <w:spacing w:after="100"/>
      </w:pPr>
    </w:p>
    <w:p w14:paraId="43CB9E29" w14:textId="77777777" w:rsidR="00F50F4B" w:rsidRDefault="00000000">
      <w:pPr>
        <w:pStyle w:val="Heading1"/>
      </w:pPr>
      <w:bookmarkStart w:id="59" w:name="_Toc222150176"/>
      <w:r>
        <w:t>9  Über Morgenwert</w:t>
      </w:r>
      <w:bookmarkEnd w:id="59"/>
    </w:p>
    <w:p w14:paraId="757F5CDD" w14:textId="77777777" w:rsidR="00F50F4B" w:rsidRDefault="00000000">
      <w:pPr>
        <w:spacing w:after="200" w:line="360" w:lineRule="auto"/>
        <w:jc w:val="both"/>
      </w:pPr>
      <w:r>
        <w:rPr>
          <w:color w:val="475569"/>
        </w:rPr>
        <w:t>Die Morgenwert Valuation &amp; Advisory GmbH ist Partner in allen Fragen rund um die Bewertung von Unternehmen, die Erstellung von Geschäftsplanungen und Finanzmodellen sowie damit verwandten betriebswirtschaftlichen Fragestellungen wie z. B. Wirtschaftlichkeitsanalysen.</w:t>
      </w:r>
    </w:p>
    <w:p w14:paraId="321A7F8D" w14:textId="77777777" w:rsidR="00F50F4B" w:rsidRDefault="00000000">
      <w:pPr>
        <w:spacing w:after="200" w:line="360" w:lineRule="auto"/>
        <w:jc w:val="both"/>
      </w:pPr>
      <w:r>
        <w:rPr>
          <w:color w:val="475569"/>
        </w:rPr>
        <w:t>Das Angebot richtet sich an Unternehmer und Unternehmen, professionelle Dienstleister wie Steuerberater, Wirtschaftsprüfer, Rechtsanwälte, Sanierungsberater, Banken, Asset Manager und Family Offices sowie Privatpersonen.</w:t>
      </w:r>
    </w:p>
    <w:p w14:paraId="3D9C020A" w14:textId="77777777" w:rsidR="00F50F4B" w:rsidRDefault="00F50F4B">
      <w:pPr>
        <w:spacing w:after="100"/>
      </w:pPr>
    </w:p>
    <w:p w14:paraId="25070DDB" w14:textId="77777777" w:rsidR="00F50F4B" w:rsidRDefault="00000000">
      <w:pPr>
        <w:pStyle w:val="Heading3"/>
      </w:pPr>
      <w:bookmarkStart w:id="60" w:name="_Toc222150177"/>
      <w:r>
        <w:t>Geschäftsführung</w:t>
      </w:r>
      <w:bookmarkEnd w:id="60"/>
    </w:p>
    <w:p w14:paraId="1AAB4455" w14:textId="77777777" w:rsidR="00F50F4B" w:rsidRDefault="00000000">
      <w:pPr>
        <w:spacing w:after="200" w:line="360" w:lineRule="auto"/>
        <w:jc w:val="both"/>
      </w:pPr>
      <w:r>
        <w:rPr>
          <w:color w:val="475569"/>
        </w:rPr>
        <w:lastRenderedPageBreak/>
        <w:t>Stefan Euring, geschäftsführender Gesellschafter, öffentlich bestellter und vereidigter Sachverständiger auf dem Gebiet der Unternehmensbewertung, Certified Valuation Analyst (CVA).</w:t>
      </w:r>
    </w:p>
    <w:p w14:paraId="37692614" w14:textId="77777777" w:rsidR="00F50F4B" w:rsidRDefault="00F50F4B">
      <w:pPr>
        <w:spacing w:after="100"/>
      </w:pPr>
    </w:p>
    <w:p w14:paraId="57E6A5C1" w14:textId="77777777" w:rsidR="00F50F4B" w:rsidRDefault="00000000">
      <w:pPr>
        <w:pStyle w:val="Heading3"/>
      </w:pPr>
      <w:bookmarkStart w:id="61" w:name="_Toc222150178"/>
      <w:r>
        <w:t>Kontakt</w:t>
      </w:r>
      <w:bookmarkEnd w:id="61"/>
    </w:p>
    <w:p w14:paraId="4671CACF" w14:textId="77777777" w:rsidR="00F50F4B" w:rsidRDefault="00000000">
      <w:pPr>
        <w:spacing w:after="200" w:line="360" w:lineRule="auto"/>
        <w:jc w:val="both"/>
      </w:pPr>
      <w:r>
        <w:rPr>
          <w:b/>
          <w:bCs/>
          <w:color w:val="475569"/>
        </w:rPr>
        <w:t>Morgenwert Valuation &amp; Advisory GmbH</w:t>
      </w:r>
    </w:p>
    <w:p w14:paraId="167E3E0B" w14:textId="77777777" w:rsidR="00F50F4B" w:rsidRDefault="00000000">
      <w:pPr>
        <w:spacing w:after="200" w:line="360" w:lineRule="auto"/>
        <w:jc w:val="both"/>
      </w:pPr>
      <w:r>
        <w:rPr>
          <w:color w:val="475569"/>
        </w:rPr>
        <w:t>Beim Strohhause 27, 6. OG</w:t>
      </w:r>
    </w:p>
    <w:p w14:paraId="041EF37B" w14:textId="77777777" w:rsidR="00F50F4B" w:rsidRDefault="00000000">
      <w:pPr>
        <w:spacing w:after="200" w:line="360" w:lineRule="auto"/>
        <w:jc w:val="both"/>
      </w:pPr>
      <w:r>
        <w:rPr>
          <w:color w:val="475569"/>
        </w:rPr>
        <w:t>20097 Hamburg</w:t>
      </w:r>
    </w:p>
    <w:p w14:paraId="326F741A" w14:textId="77777777" w:rsidR="00F50F4B" w:rsidRDefault="00F50F4B">
      <w:pPr>
        <w:spacing w:after="100"/>
      </w:pPr>
    </w:p>
    <w:p w14:paraId="78C5C8AF" w14:textId="77777777" w:rsidR="00F50F4B" w:rsidRDefault="00000000">
      <w:pPr>
        <w:spacing w:after="200" w:line="360" w:lineRule="auto"/>
        <w:jc w:val="both"/>
      </w:pPr>
      <w:r>
        <w:rPr>
          <w:b/>
          <w:bCs/>
          <w:color w:val="475569"/>
        </w:rPr>
        <w:t xml:space="preserve">Tel.: </w:t>
      </w:r>
      <w:r>
        <w:rPr>
          <w:color w:val="475569"/>
        </w:rPr>
        <w:t>+49 40 6081 4195</w:t>
      </w:r>
    </w:p>
    <w:p w14:paraId="56B0C71A" w14:textId="77777777" w:rsidR="00F50F4B" w:rsidRDefault="00000000">
      <w:pPr>
        <w:spacing w:after="200" w:line="360" w:lineRule="auto"/>
        <w:jc w:val="both"/>
      </w:pPr>
      <w:r>
        <w:rPr>
          <w:b/>
          <w:bCs/>
          <w:color w:val="475569"/>
        </w:rPr>
        <w:t xml:space="preserve">Mobil: </w:t>
      </w:r>
      <w:r>
        <w:rPr>
          <w:color w:val="475569"/>
        </w:rPr>
        <w:t>+49 176 1515 9395</w:t>
      </w:r>
    </w:p>
    <w:p w14:paraId="56D30F14" w14:textId="77777777" w:rsidR="00F50F4B" w:rsidRDefault="00000000">
      <w:pPr>
        <w:spacing w:after="200" w:line="360" w:lineRule="auto"/>
        <w:jc w:val="both"/>
      </w:pPr>
      <w:r>
        <w:rPr>
          <w:b/>
          <w:bCs/>
          <w:color w:val="475569"/>
        </w:rPr>
        <w:t xml:space="preserve">E-Mail: </w:t>
      </w:r>
      <w:r>
        <w:rPr>
          <w:color w:val="475569"/>
        </w:rPr>
        <w:t>stefan.euring@morgenwert.de</w:t>
      </w:r>
    </w:p>
    <w:p w14:paraId="79F65BE9" w14:textId="77777777" w:rsidR="00F50F4B" w:rsidRDefault="00000000">
      <w:pPr>
        <w:spacing w:after="200" w:line="360" w:lineRule="auto"/>
        <w:jc w:val="both"/>
      </w:pPr>
      <w:r>
        <w:rPr>
          <w:b/>
          <w:bCs/>
          <w:color w:val="475569"/>
        </w:rPr>
        <w:t xml:space="preserve">Web: </w:t>
      </w:r>
      <w:r>
        <w:rPr>
          <w:color w:val="475569"/>
        </w:rPr>
        <w:t>www.morgenwert.de</w:t>
      </w:r>
    </w:p>
    <w:sectPr w:rsidR="00F50F4B">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A729E" w14:textId="77777777" w:rsidR="00643626" w:rsidRDefault="00643626">
      <w:r>
        <w:separator/>
      </w:r>
    </w:p>
  </w:endnote>
  <w:endnote w:type="continuationSeparator" w:id="0">
    <w:p w14:paraId="3BAECF90" w14:textId="77777777" w:rsidR="00643626" w:rsidRDefault="00643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11ED" w14:textId="77777777" w:rsidR="00F50F4B" w:rsidRDefault="00F50F4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C1BC" w14:textId="77777777" w:rsidR="00F50F4B" w:rsidRDefault="00000000">
    <w:pPr>
      <w:pStyle w:val="FooterStyle"/>
      <w:pBdr>
        <w:top w:val="single" w:sz="4" w:space="8" w:color="1E40AF"/>
      </w:pBdr>
      <w:jc w:val="center"/>
    </w:pPr>
    <w:r>
      <w:t xml:space="preserve">Seite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61E1" w14:textId="77777777" w:rsidR="00F50F4B" w:rsidRDefault="00000000">
    <w:pPr>
      <w:pStyle w:val="FooterStyle"/>
      <w:pBdr>
        <w:top w:val="single" w:sz="4" w:space="8" w:color="1E40AF"/>
      </w:pBdr>
      <w:jc w:val="center"/>
    </w:pPr>
    <w:r>
      <w:t xml:space="preserve">Seite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464F1" w14:textId="77777777" w:rsidR="00643626" w:rsidRDefault="00643626">
      <w:r>
        <w:separator/>
      </w:r>
    </w:p>
  </w:footnote>
  <w:footnote w:type="continuationSeparator" w:id="0">
    <w:p w14:paraId="5708BB35" w14:textId="77777777" w:rsidR="00643626" w:rsidRDefault="00643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8C98" w14:textId="77777777" w:rsidR="00F50F4B" w:rsidRDefault="00000000">
    <w:pPr>
      <w:jc w:val="right"/>
    </w:pPr>
    <w:r>
      <w:rPr>
        <w:i/>
        <w:iCs/>
        <w:color w:val="94A3B8"/>
        <w:sz w:val="20"/>
        <w:szCs w:val="20"/>
      </w:rPr>
      <w:t>Morgenwert – Bewertung von KMU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BD0B" w14:textId="77777777" w:rsidR="00F50F4B" w:rsidRDefault="00000000">
    <w:pPr>
      <w:jc w:val="right"/>
    </w:pPr>
    <w:r>
      <w:rPr>
        <w:i/>
        <w:iCs/>
        <w:color w:val="94A3B8"/>
        <w:sz w:val="20"/>
        <w:szCs w:val="20"/>
      </w:rPr>
      <w:t>Morgenwert – Bewertung von KMU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4282D"/>
    <w:multiLevelType w:val="hybridMultilevel"/>
    <w:tmpl w:val="E5AA6CC4"/>
    <w:lvl w:ilvl="0" w:tplc="1BFCF388">
      <w:start w:val="1"/>
      <w:numFmt w:val="decimal"/>
      <w:lvlText w:val="%1."/>
      <w:lvlJc w:val="left"/>
      <w:pPr>
        <w:ind w:left="720" w:hanging="360"/>
      </w:pPr>
    </w:lvl>
    <w:lvl w:ilvl="1" w:tplc="339417D0">
      <w:numFmt w:val="decimal"/>
      <w:lvlText w:val=""/>
      <w:lvlJc w:val="left"/>
    </w:lvl>
    <w:lvl w:ilvl="2" w:tplc="CF00B998">
      <w:numFmt w:val="decimal"/>
      <w:lvlText w:val=""/>
      <w:lvlJc w:val="left"/>
    </w:lvl>
    <w:lvl w:ilvl="3" w:tplc="8044414C">
      <w:numFmt w:val="decimal"/>
      <w:lvlText w:val=""/>
      <w:lvlJc w:val="left"/>
    </w:lvl>
    <w:lvl w:ilvl="4" w:tplc="9286BBDC">
      <w:numFmt w:val="decimal"/>
      <w:lvlText w:val=""/>
      <w:lvlJc w:val="left"/>
    </w:lvl>
    <w:lvl w:ilvl="5" w:tplc="6B6ECFB8">
      <w:numFmt w:val="decimal"/>
      <w:lvlText w:val=""/>
      <w:lvlJc w:val="left"/>
    </w:lvl>
    <w:lvl w:ilvl="6" w:tplc="6E32FB98">
      <w:numFmt w:val="decimal"/>
      <w:lvlText w:val=""/>
      <w:lvlJc w:val="left"/>
    </w:lvl>
    <w:lvl w:ilvl="7" w:tplc="C220BF5C">
      <w:numFmt w:val="decimal"/>
      <w:lvlText w:val=""/>
      <w:lvlJc w:val="left"/>
    </w:lvl>
    <w:lvl w:ilvl="8" w:tplc="AFB656F2">
      <w:numFmt w:val="decimal"/>
      <w:lvlText w:val=""/>
      <w:lvlJc w:val="left"/>
    </w:lvl>
  </w:abstractNum>
  <w:abstractNum w:abstractNumId="1" w15:restartNumberingAfterBreak="0">
    <w:nsid w:val="35EF3E91"/>
    <w:multiLevelType w:val="hybridMultilevel"/>
    <w:tmpl w:val="1794FBAC"/>
    <w:lvl w:ilvl="0" w:tplc="7FDCBDFE">
      <w:start w:val="1"/>
      <w:numFmt w:val="bullet"/>
      <w:lvlText w:val="•"/>
      <w:lvlJc w:val="left"/>
      <w:pPr>
        <w:ind w:left="720" w:hanging="360"/>
      </w:pPr>
    </w:lvl>
    <w:lvl w:ilvl="1" w:tplc="43CAE80E">
      <w:numFmt w:val="decimal"/>
      <w:lvlText w:val=""/>
      <w:lvlJc w:val="left"/>
    </w:lvl>
    <w:lvl w:ilvl="2" w:tplc="ED58019C">
      <w:numFmt w:val="decimal"/>
      <w:lvlText w:val=""/>
      <w:lvlJc w:val="left"/>
    </w:lvl>
    <w:lvl w:ilvl="3" w:tplc="1C16FEAE">
      <w:numFmt w:val="decimal"/>
      <w:lvlText w:val=""/>
      <w:lvlJc w:val="left"/>
    </w:lvl>
    <w:lvl w:ilvl="4" w:tplc="E89E8258">
      <w:numFmt w:val="decimal"/>
      <w:lvlText w:val=""/>
      <w:lvlJc w:val="left"/>
    </w:lvl>
    <w:lvl w:ilvl="5" w:tplc="092646A2">
      <w:numFmt w:val="decimal"/>
      <w:lvlText w:val=""/>
      <w:lvlJc w:val="left"/>
    </w:lvl>
    <w:lvl w:ilvl="6" w:tplc="42F4D830">
      <w:numFmt w:val="decimal"/>
      <w:lvlText w:val=""/>
      <w:lvlJc w:val="left"/>
    </w:lvl>
    <w:lvl w:ilvl="7" w:tplc="2A460FFA">
      <w:numFmt w:val="decimal"/>
      <w:lvlText w:val=""/>
      <w:lvlJc w:val="left"/>
    </w:lvl>
    <w:lvl w:ilvl="8" w:tplc="3E6079C6">
      <w:numFmt w:val="decimal"/>
      <w:lvlText w:val=""/>
      <w:lvlJc w:val="left"/>
    </w:lvl>
  </w:abstractNum>
  <w:abstractNum w:abstractNumId="2" w15:restartNumberingAfterBreak="0">
    <w:nsid w:val="4D5049A9"/>
    <w:multiLevelType w:val="hybridMultilevel"/>
    <w:tmpl w:val="1904F56C"/>
    <w:lvl w:ilvl="0" w:tplc="DC7056BC">
      <w:start w:val="1"/>
      <w:numFmt w:val="bullet"/>
      <w:lvlText w:val="●"/>
      <w:lvlJc w:val="left"/>
      <w:pPr>
        <w:ind w:left="720" w:hanging="360"/>
      </w:pPr>
    </w:lvl>
    <w:lvl w:ilvl="1" w:tplc="052CDA10">
      <w:start w:val="1"/>
      <w:numFmt w:val="bullet"/>
      <w:lvlText w:val="○"/>
      <w:lvlJc w:val="left"/>
      <w:pPr>
        <w:ind w:left="1440" w:hanging="360"/>
      </w:pPr>
    </w:lvl>
    <w:lvl w:ilvl="2" w:tplc="4E382ECE">
      <w:start w:val="1"/>
      <w:numFmt w:val="bullet"/>
      <w:lvlText w:val="■"/>
      <w:lvlJc w:val="left"/>
      <w:pPr>
        <w:ind w:left="2160" w:hanging="360"/>
      </w:pPr>
    </w:lvl>
    <w:lvl w:ilvl="3" w:tplc="19DC8B5A">
      <w:start w:val="1"/>
      <w:numFmt w:val="bullet"/>
      <w:lvlText w:val="●"/>
      <w:lvlJc w:val="left"/>
      <w:pPr>
        <w:ind w:left="2880" w:hanging="360"/>
      </w:pPr>
    </w:lvl>
    <w:lvl w:ilvl="4" w:tplc="604A7DB6">
      <w:start w:val="1"/>
      <w:numFmt w:val="bullet"/>
      <w:lvlText w:val="○"/>
      <w:lvlJc w:val="left"/>
      <w:pPr>
        <w:ind w:left="3600" w:hanging="360"/>
      </w:pPr>
    </w:lvl>
    <w:lvl w:ilvl="5" w:tplc="20920914">
      <w:start w:val="1"/>
      <w:numFmt w:val="bullet"/>
      <w:lvlText w:val="■"/>
      <w:lvlJc w:val="left"/>
      <w:pPr>
        <w:ind w:left="4320" w:hanging="360"/>
      </w:pPr>
    </w:lvl>
    <w:lvl w:ilvl="6" w:tplc="A15A691A">
      <w:start w:val="1"/>
      <w:numFmt w:val="bullet"/>
      <w:lvlText w:val="●"/>
      <w:lvlJc w:val="left"/>
      <w:pPr>
        <w:ind w:left="5040" w:hanging="360"/>
      </w:pPr>
    </w:lvl>
    <w:lvl w:ilvl="7" w:tplc="658876EE">
      <w:start w:val="1"/>
      <w:numFmt w:val="bullet"/>
      <w:lvlText w:val="●"/>
      <w:lvlJc w:val="left"/>
      <w:pPr>
        <w:ind w:left="5760" w:hanging="360"/>
      </w:pPr>
    </w:lvl>
    <w:lvl w:ilvl="8" w:tplc="24BA390C">
      <w:start w:val="1"/>
      <w:numFmt w:val="bullet"/>
      <w:lvlText w:val="●"/>
      <w:lvlJc w:val="left"/>
      <w:pPr>
        <w:ind w:left="6480" w:hanging="360"/>
      </w:pPr>
    </w:lvl>
  </w:abstractNum>
  <w:abstractNum w:abstractNumId="3" w15:restartNumberingAfterBreak="0">
    <w:nsid w:val="6B57317C"/>
    <w:multiLevelType w:val="hybridMultilevel"/>
    <w:tmpl w:val="3612AE1A"/>
    <w:lvl w:ilvl="0" w:tplc="AD5EA55A">
      <w:start w:val="1"/>
      <w:numFmt w:val="decimal"/>
      <w:lvlText w:val="%1."/>
      <w:lvlJc w:val="left"/>
      <w:pPr>
        <w:ind w:left="720" w:hanging="360"/>
      </w:pPr>
    </w:lvl>
    <w:lvl w:ilvl="1" w:tplc="0BFC4546">
      <w:numFmt w:val="decimal"/>
      <w:lvlText w:val=""/>
      <w:lvlJc w:val="left"/>
    </w:lvl>
    <w:lvl w:ilvl="2" w:tplc="1270CF9C">
      <w:numFmt w:val="decimal"/>
      <w:lvlText w:val=""/>
      <w:lvlJc w:val="left"/>
    </w:lvl>
    <w:lvl w:ilvl="3" w:tplc="219009CE">
      <w:numFmt w:val="decimal"/>
      <w:lvlText w:val=""/>
      <w:lvlJc w:val="left"/>
    </w:lvl>
    <w:lvl w:ilvl="4" w:tplc="88BAD7F8">
      <w:numFmt w:val="decimal"/>
      <w:lvlText w:val=""/>
      <w:lvlJc w:val="left"/>
    </w:lvl>
    <w:lvl w:ilvl="5" w:tplc="BC1032B0">
      <w:numFmt w:val="decimal"/>
      <w:lvlText w:val=""/>
      <w:lvlJc w:val="left"/>
    </w:lvl>
    <w:lvl w:ilvl="6" w:tplc="0C22EF7C">
      <w:numFmt w:val="decimal"/>
      <w:lvlText w:val=""/>
      <w:lvlJc w:val="left"/>
    </w:lvl>
    <w:lvl w:ilvl="7" w:tplc="EA22B106">
      <w:numFmt w:val="decimal"/>
      <w:lvlText w:val=""/>
      <w:lvlJc w:val="left"/>
    </w:lvl>
    <w:lvl w:ilvl="8" w:tplc="CBDA0936">
      <w:numFmt w:val="decimal"/>
      <w:lvlText w:val=""/>
      <w:lvlJc w:val="left"/>
    </w:lvl>
  </w:abstractNum>
  <w:num w:numId="1" w16cid:durableId="1068722726">
    <w:abstractNumId w:val="2"/>
    <w:lvlOverride w:ilvl="0">
      <w:startOverride w:val="1"/>
    </w:lvlOverride>
  </w:num>
  <w:num w:numId="2" w16cid:durableId="1287469642">
    <w:abstractNumId w:val="1"/>
    <w:lvlOverride w:ilvl="0">
      <w:startOverride w:val="1"/>
    </w:lvlOverride>
  </w:num>
  <w:num w:numId="3" w16cid:durableId="1605773030">
    <w:abstractNumId w:val="0"/>
    <w:lvlOverride w:ilvl="0">
      <w:startOverride w:val="1"/>
    </w:lvlOverride>
  </w:num>
  <w:num w:numId="4" w16cid:durableId="13921885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F4B"/>
    <w:rsid w:val="00343AF5"/>
    <w:rsid w:val="00643626"/>
    <w:rsid w:val="00E862A3"/>
    <w:rsid w:val="00F50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4AB5"/>
  <w15:docId w15:val="{CFEE9101-70C6-4F5F-A269-3B44F6CA8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E40AF"/>
      <w:sz w:val="36"/>
      <w:szCs w:val="36"/>
    </w:rPr>
  </w:style>
  <w:style w:type="paragraph" w:styleId="Heading2">
    <w:name w:val="heading 2"/>
    <w:uiPriority w:val="9"/>
    <w:unhideWhenUsed/>
    <w:qFormat/>
    <w:pPr>
      <w:spacing w:before="360" w:after="180"/>
      <w:outlineLvl w:val="1"/>
    </w:pPr>
    <w:rPr>
      <w:b/>
      <w:bCs/>
      <w:color w:val="1E40AF"/>
      <w:sz w:val="28"/>
      <w:szCs w:val="28"/>
    </w:rPr>
  </w:style>
  <w:style w:type="paragraph" w:styleId="Heading3">
    <w:name w:val="heading 3"/>
    <w:uiPriority w:val="9"/>
    <w:unhideWhenUsed/>
    <w:qFormat/>
    <w:pPr>
      <w:spacing w:before="240" w:after="120"/>
      <w:outlineLvl w:val="2"/>
    </w:pPr>
    <w:rPr>
      <w:b/>
      <w:bCs/>
      <w:color w:val="1E293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oterStyle">
    <w:name w:val="Footer Style"/>
    <w:rPr>
      <w:color w:val="1E40AF"/>
    </w:rPr>
  </w:style>
  <w:style w:type="paragraph" w:styleId="TOC1">
    <w:name w:val="toc 1"/>
    <w:basedOn w:val="Normal"/>
    <w:next w:val="Normal"/>
    <w:autoRedefine/>
    <w:uiPriority w:val="39"/>
    <w:unhideWhenUsed/>
    <w:rsid w:val="00E862A3"/>
    <w:pPr>
      <w:spacing w:after="100"/>
    </w:pPr>
  </w:style>
  <w:style w:type="paragraph" w:styleId="TOC2">
    <w:name w:val="toc 2"/>
    <w:basedOn w:val="Normal"/>
    <w:next w:val="Normal"/>
    <w:autoRedefine/>
    <w:uiPriority w:val="39"/>
    <w:unhideWhenUsed/>
    <w:rsid w:val="00E862A3"/>
    <w:pPr>
      <w:spacing w:after="100"/>
      <w:ind w:left="220"/>
    </w:pPr>
  </w:style>
  <w:style w:type="paragraph" w:styleId="TOC3">
    <w:name w:val="toc 3"/>
    <w:basedOn w:val="Normal"/>
    <w:next w:val="Normal"/>
    <w:autoRedefine/>
    <w:uiPriority w:val="39"/>
    <w:unhideWhenUsed/>
    <w:rsid w:val="00E862A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7647</Words>
  <Characters>43594</Characters>
  <Application>Microsoft Office Word</Application>
  <DocSecurity>0</DocSecurity>
  <Lines>363</Lines>
  <Paragraphs>102</Paragraphs>
  <ScaleCrop>false</ScaleCrop>
  <Company/>
  <LinksUpToDate>false</LinksUpToDate>
  <CharactersWithSpaces>51139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 Euring</cp:lastModifiedBy>
  <cp:revision>2</cp:revision>
  <dcterms:created xsi:type="dcterms:W3CDTF">2026-02-16T15:01:00Z</dcterms:created>
  <dcterms:modified xsi:type="dcterms:W3CDTF">2026-02-16T15:01:00Z</dcterms:modified>
</cp:coreProperties>
</file>