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666666"/>
          <w:sz w:val="22"/>
          <w:szCs w:val="22"/>
        </w:rPr>
        <w:t xml:space="preserve">SNEF Cameroun SA — SGBF</w:t>
      </w:r>
    </w:p>
    <w:p>
      <w:pPr>
        <w:spacing w:after="80"/>
      </w:pPr>
      <w:r>
        <w:rPr>
          <w:b/>
          <w:bCs/>
          <w:color w:val="008294"/>
          <w:sz w:val="34"/>
          <w:szCs w:val="34"/>
        </w:rPr>
        <w:t xml:space="preserve">Rapport d'évolution — Session sans expiration, Bons de sortie individuels et FIPH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Maintien de session, validation explicite du Charge d'Affaires sur les BS individuels, revue du modele FIPH/Mission post-validation</w:t>
      </w:r>
    </w:p>
    <w:p>
      <w:pPr>
        <w:spacing w:after="160"/>
      </w:pPr>
      <w:r>
        <w:t xml:space="preserve">Date : 26 août 2026</w:t>
      </w:r>
    </w:p>
    <w:p>
      <w:pPr>
        <w:spacing w:after="160"/>
      </w:pPr>
      <w:r>
        <w:t xml:space="preserve">Périmètre : sections 1 à 25 du brief « Évolution et finalisation de l'application métier »</w:t>
      </w:r>
    </w:p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1. Contexte et méthode</w:t>
      </w:r>
    </w:p>
    <w:p>
      <w:pPr>
        <w:spacing w:after="160"/>
      </w:pPr>
      <w:r>
        <w:t xml:space="preserve">Le brief couvrait quatre familles de sujets : la gestion de session (§1-2), la modification d'une FIPH par le Chargé d'Affaires après validation (§3-11), la création automatique de Bons de Sortie individuels pour les personnes à bord (§12-15), et la documentation (§16-19). Conformément à la méthode déjà appliquée à chaque mission précédente, l'existant a été intégralement analysé — via quatre explorations dédiées du code (session/JWT, modèle FIPH post-validation, pipeline BS individuel, modèle Mission/Affectation) — avant l'écriture de la moindre ligne de code.</w:t>
      </w:r>
    </w:p>
    <w:p>
      <w:pPr>
        <w:spacing w:after="160"/>
      </w:pPr>
      <w:r>
        <w:t xml:space="preserve">Cette analyse a révélé une situation contrastée : le mécanisme de correction d'une FIPH après validation définitive (§3-8, §11) était déjà entièrement implémenté et testé (versionnement, nouvelle validation complète, périmètre par service) ; en revanche, le pipeline des Bons de Sortie individuels (§12-15) créait ceux-ci directement au statut VALIDE, sans étape de validation par le Chargé d'Affaires — un écart réel par rapport au flux attendu. Deux points du brief (§9 : ajout de codes mission ; §10 : prolongation/réduction de mission) ont été soumis à l'utilisateur avant toute décision, faute d'une réponse univoque dans le code existant ; les réponses obtenues ont confirmé qu'aucun développement nouveau n'y était nécessaire (voir section 4).</w:t>
      </w:r>
    </w:p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2. Gestion de session (§1-2)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2.1 Mécanisme existant</w:t>
      </w:r>
    </w:p>
    <w:p>
      <w:pPr>
        <w:spacing w:after="160"/>
      </w:pPr>
      <w:r>
        <w:t xml:space="preserve">L'authentification repose sur un jeton d'accès JWT (15 minutes, sans rôle embarqué — rôles et habilitations sont rechargés depuis la base à chaque requête) et un jeton de rafraîchissement stateful, stocké en cookie HttpOnly/Secure/SameSite=Strict et en base (hash BCrypt, rotation à usage unique à chaque renouvellement). Avant cette évolution, ce jeton expirait 7 jours après son émission (fenêtre glissante à chaque renouvellement réussi) : en pratique, aucune coupure perceptible n'intervenait tant que l'utilisateur revenait au moins une fois tous les 7 jours, l'intercepteur HTTP du frontend renouvelant silencieusement le jeton d'accès sur un 401.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2.2 Modification apportée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Migration V14 : la colonne refresh_token.date_expiration devient nullable ; NULL signifie désormais « n'expire jamais par écoulement du temps 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RefreshTokenService.emettre(...) : émet systématiquement un jeton avec dateExpiration = null, pour tous les comptes (décision confirmée avec l'utilisateur).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Cookie de rafraîchissement : durée portée à 400 jours (le maximum que les navigateurs récents — Chrome/Chromium en tête — acceptent réellement ; toute valeur supérieure est silencieusement tronquée). Comme ce cookie est réémis avec un délai complet à chaque connexion et à chaque renouvellement, un utilisateur actif au moins une fois tous les 400 jours ne voit jamais son cookie expirer.</w:t>
      </w:r>
    </w:p>
    <w:p>
      <w:pPr>
        <w:spacing w:after="160"/>
      </w:pPr>
      <w:r>
        <w:t xml:space="preserve">Sécurité conservée : la déconnexion explicite continue de révoquer tous les jetons de rafraîchissement de l'utilisateur (RefreshTokenService.revoquerTousPourUtilisateur). Un contrôle déjà présent avant cette évolution — UtilisateurService.changerStatut révoque automatiquement tous les jetons dès qu'un compte passe à VERROUILLE ou DESACTIVE — garantit qu'une session sans expiration temporelle ne devient jamais une session incontrôlable : suspendre un compte y met fin immédiatement, qu'il soit ou non explicitement déconnecté. Les rôles/habilitations, eux, n'ont jamais été portés par le jeton et restent revérifiés à chaque requête, comme auparavant.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2.3 Tests</w:t>
      </w:r>
    </w:p>
    <w:p>
      <w:pPr>
        <w:spacing w:after="160"/>
      </w:pPr>
      <w:r>
        <w:t xml:space="preserve">Nouvelle classe SessionSansExpirationIT (4 tests, tous au vert) : jeton émis sans date d'expiration ; rafraîchissement répété sans jamais expirer (avec vérification que la rotation à usage unique continue de bloquer un jeton déjà consommé) ; déconnexion explicite bloquant tout rafraîchissement ultérieur ; suspension d'un compte révoquant la session même sans déconnexion explicite préalable.</w:t>
      </w:r>
    </w:p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3. Bons de sortie individuels — validation explicite du Chargé d'Affaires (§12-15)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3.1 Écart constaté</w:t>
      </w:r>
    </w:p>
    <w:p>
      <w:pPr>
        <w:spacing w:after="160"/>
      </w:pPr>
      <w:r>
        <w:t xml:space="preserve">PersonneABordGenerationService.genererPourAssociation créait le bon de sortie individuel directement au statut VALIDE (RG-PAB-005, « statut hérité, sans visa ni validation séparés ») et initialisait la FIPH de la personne dans la même opération — sans jamais passer par une validation du Chargé d'Affaires du service de cette personne, contrairement au flux attendu (BS individuel = en attente de validation → validation CA → initialisation FIPH).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3.2 Correction apportée</w:t>
      </w:r>
    </w:p>
    <w:p>
      <w:pPr>
        <w:spacing w:after="160"/>
      </w:pPr>
      <w:r>
        <w:t xml:space="preserve">Plutôt que d'inventer un nouveau statut ou un nouvel endpoint, la correction réutilise intégralement le circuit de validation à deux niveaux déjà existant pour tout bon de sortie (BROUILLON → VISÉ → VALIDÉ) — exactement le même mécanisme que le « visa automatique » déjà appliqué lorsqu'un titulaire n'a pas de compte applicatif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bon individuel est désormais créé au statut VISÉ (jamais VALIDE), avec visePar/dateVisa renseignés.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L'appel à FiphService.genererOuEnrichirDepuisBonSortie est retiré de la génération : la FIPH de la personne n'est plus initialisée à cet instant.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 notification « à valider » est envoyée au Chargé d'Affaires/personne habilitée du service de la personne (notifierBonSortieAValider), identique à celle de tout autre bon visé.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Chargé d'Affaires retrouve ce bon dans sa liste de travail habituelle (GET /api/bons-sortie?statut=VISE) et le valide via le endpoint générique déjà existant (POST /{id}/valider), qui revérifie le périmètre par service (verifierPerimetreGestionnaire) et déclenche alors, et alors seulement, l'initialisation de la FIPH — sans aucun code nouveau sur ce chemin.</w:t>
      </w:r>
    </w:p>
    <w:p>
      <w:pPr>
        <w:pStyle w:val="Heading2"/>
        <w:pBdr>
          <w:bottom w:val="single" w:color="DEE3E7" w:sz="6" w:space="4"/>
        </w:pBdr>
        <w:spacing w:after="140" w:before="280"/>
      </w:pPr>
      <w:r>
        <w:rPr>
          <w:b/>
          <w:bCs/>
          <w:color w:val="008294"/>
          <w:sz w:val="26"/>
          <w:szCs w:val="26"/>
        </w:rPr>
        <w:t xml:space="preserve">3.3 Tests</w:t>
      </w:r>
    </w:p>
    <w:p>
      <w:pPr>
        <w:spacing w:after="160"/>
      </w:pPr>
      <w:r>
        <w:t xml:space="preserve">Nouvelle classe PersonneABordValidationIT — délibérément non annotée @Transactional (contrairement aux autres tests de ce module), car la génération du bon individuel s'exécute dans sa propre transaction REQUIRES_NEW (atomicité par personne) et doit réellement être committée pour être observable. Le test vérifie, avec de vrais appels HTTP : le bon individuel créé au statut VISÉ (jamais VALIDE) ; sa présence dans la liste de travail filtrée par statut ; la notification envoyée au Chargé d'Affaires ; l'absence de toute FIPH pour la personne avant validation ; puis, après validation explicite du bon individuel, l'apparition de sa FIPH. PersonneABordIT (comportement historique : coexistence de plusieurs personnes, retrait, périmètre par service RG-PAB-010) reste au vert sans modification de fond.</w:t>
      </w:r>
    </w:p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4. Points soumis à l'utilisateur — aucun développement nouveau requis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200"/>
      </w:tblGrid>
      <w:tr>
        <w:tc>
          <w:tcPr>
            <w:tcW w:type="dxa" w:w="3200"/>
            <w:shd w:fill="F2F5F6" w:val="clear"/>
          </w:tcPr>
          <w:p>
            <w:r>
              <w:rPr>
                <w:b/>
                <w:bCs/>
              </w:rPr>
              <w:t xml:space="preserve">Point du brief</w:t>
            </w:r>
          </w:p>
        </w:tc>
        <w:tc>
          <w:tcPr>
            <w:tcW w:type="dxa" w:w="3600"/>
            <w:shd w:fill="F2F5F6" w:val="clear"/>
          </w:tcPr>
          <w:p>
            <w:r>
              <w:rPr>
                <w:b/>
                <w:bCs/>
              </w:rPr>
              <w:t xml:space="preserve">Constat</w:t>
            </w:r>
          </w:p>
        </w:tc>
        <w:tc>
          <w:tcPr>
            <w:tcW w:type="dxa" w:w="3200"/>
            <w:shd w:fill="F2F5F6" w:val="clear"/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c>
          <w:tcPr>
            <w:tcW w:type="dxa" w:w="3200"/>
          </w:tcPr>
          <w:p>
            <w:r>
              <w:t xml:space="preserve">§9 — Ajout de codes mission à une FIPH</w:t>
            </w:r>
          </w:p>
        </w:tc>
        <w:tc>
          <w:tcPr>
            <w:tcW w:type="dxa" w:w="3600"/>
          </w:tcPr>
          <w:p>
            <w:r>
              <w:t xml:space="preserve">La FIPH ne porte aucun code mission directement ; chaque jour de pointage est rattaché soit à une Mission (via l'affectation active ce jour-là), soit à un Code Service, jamais les deux.</w:t>
            </w:r>
          </w:p>
        </w:tc>
        <w:tc>
          <w:tcPr>
            <w:tcW w:type="dxa" w:w="3200"/>
          </w:tcPr>
          <w:p>
            <w:r>
              <w:t xml:space="preserve">Le scénario visé est celui de la réaffectation en cours de mission (§11), déjà implémenté et testé — aucun code nouveau.</w:t>
            </w:r>
          </w:p>
        </w:tc>
      </w:tr>
      <w:tr>
        <w:tc>
          <w:tcPr>
            <w:tcW w:type="dxa" w:w="3200"/>
          </w:tcPr>
          <w:p>
            <w:r>
              <w:t xml:space="preserve">§10 — Prolongation/réduction d'une mission</w:t>
            </w:r>
          </w:p>
        </w:tc>
        <w:tc>
          <w:tcPr>
            <w:tcW w:type="dxa" w:w="3600"/>
          </w:tcPr>
          <w:p>
            <w:r>
              <w:t xml:space="preserve">Aucun endpoint ni setter n'existe pour modifier la date de fin prévue d'une mission après sa création.</w:t>
            </w:r>
          </w:p>
        </w:tc>
        <w:tc>
          <w:tcPr>
            <w:tcW w:type="dxa" w:w="3200"/>
          </w:tcPr>
          <w:p>
            <w:r>
              <w:t xml:space="preserve">La réaffectation suffit pour ce besoin — aucun code nouveau.</w:t>
            </w:r>
          </w:p>
        </w:tc>
      </w:tr>
    </w:tbl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5. FIPH après validation — état déjà conforme (§3-8, §11)</w:t>
      </w:r>
    </w:p>
    <w:p>
      <w:pPr>
        <w:spacing w:after="160"/>
      </w:pPr>
      <w:r>
        <w:t xml:space="preserve">Vérifié par lecture du code et par la suite de tests existante (aucune modification requise) 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c>
          <w:tcPr>
            <w:tcW w:type="dxa" w:w="3600"/>
            <w:shd w:fill="F2F5F6" w:val="clear"/>
          </w:tcPr>
          <w:p>
            <w:r>
              <w:rPr>
                <w:b/>
                <w:bCs/>
              </w:rPr>
              <w:t xml:space="preserve">Exigence du brief</w:t>
            </w:r>
          </w:p>
        </w:tc>
        <w:tc>
          <w:tcPr>
            <w:tcW w:type="dxa" w:w="6400"/>
            <w:shd w:fill="F2F5F6" w:val="clear"/>
          </w:tcPr>
          <w:p>
            <w:r>
              <w:rPr>
                <w:b/>
                <w:bCs/>
              </w:rPr>
              <w:t xml:space="preserve">Constat</w:t>
            </w:r>
          </w:p>
        </w:tc>
      </w:tr>
      <w:tr>
        <w:tc>
          <w:tcPr>
            <w:tcW w:type="dxa" w:w="3600"/>
          </w:tcPr>
          <w:p>
            <w:r>
              <w:t xml:space="preserve">Modification d'une FIPH validée (dates, jours, pointage)</w:t>
            </w:r>
          </w:p>
        </w:tc>
        <w:tc>
          <w:tcPr>
            <w:tcW w:type="dxa" w:w="6400"/>
          </w:tcPr>
          <w:p>
            <w:r>
              <w:t xml:space="preserve">FiphVersionService : toute modification d'une version VALIDEE_DEFINITIVEMENT crée automatiquement une nouvelle version (BROUILLON), qui rejoue entièrement le circuit de validation niveaux 2/3/4 (creerNouvelleVersion, definirDateFin) ; l'ancienne version reste figée et consultable, immuable en base (trigger trg_fiph_version_immuable).</w:t>
            </w:r>
          </w:p>
        </w:tc>
      </w:tr>
      <w:tr>
        <w:tc>
          <w:tcPr>
            <w:tcW w:type="dxa" w:w="3600"/>
          </w:tcPr>
          <w:p>
            <w:r>
              <w:t xml:space="preserve">Extension / réduction de période, période incohérente</w:t>
            </w:r>
          </w:p>
        </w:tc>
        <w:tc>
          <w:tcPr>
            <w:tcW w:type="dxa" w:w="6400"/>
          </w:tcPr>
          <w:p>
            <w:r>
              <w:t xml:space="preserve">FiphPeriodeIT couvre extension, réduction (avec garde anti-perte de données saisies), et rejet d'une date de fin antérieure à la date de début (RG-FIPH-030).</w:t>
            </w:r>
          </w:p>
        </w:tc>
      </w:tr>
      <w:tr>
        <w:tc>
          <w:tcPr>
            <w:tcW w:type="dxa" w:w="3600"/>
          </w:tcPr>
          <w:p>
            <w:r>
              <w:t xml:space="preserve">Contrôle strict par service</w:t>
            </w:r>
          </w:p>
        </w:tc>
        <w:tc>
          <w:tcPr>
            <w:tcW w:type="dxa" w:w="6400"/>
          </w:tcPr>
          <w:p>
            <w:r>
              <w:t xml:space="preserve">FiphPeriodeIT Test 10 et EvolutionPerimetreServiceFiphIT (10 scénarios) : toute tentative hors périmètre, y compris par appel API direct avec un identifiant connu, est refusée (403).</w:t>
            </w:r>
          </w:p>
        </w:tc>
      </w:tr>
      <w:tr>
        <w:tc>
          <w:tcPr>
            <w:tcW w:type="dxa" w:w="3600"/>
          </w:tcPr>
          <w:p>
            <w:r>
              <w:t xml:space="preserve">Réaffectation en cours de mission (exemple MIS-001/MIS-002)</w:t>
            </w:r>
          </w:p>
        </w:tc>
        <w:tc>
          <w:tcPr>
            <w:tcW w:type="dxa" w:w="6400"/>
          </w:tcPr>
          <w:p>
            <w:r>
              <w:t xml:space="preserve">AffectationMissionService.reaffecterPendantMissionEnCours, testé par ReaffectationMiMissionIT (7 scénarios) : scission automatique de la période, aucun double comptage des jours (RG-MIS-011), historique intégralement conservé.</w:t>
            </w:r>
          </w:p>
        </w:tc>
      </w:tr>
    </w:tbl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6. Suite de tests</w:t>
      </w:r>
    </w:p>
    <w:p>
      <w:pPr>
        <w:spacing w:after="160"/>
      </w:pPr>
      <w:r>
        <w:t xml:space="preserve">77 tests backend exécutés sur une base de test fraîchement recréée après application de la migration V14 : 77 réussis, 0 échec, 0 erreur. Aucune régression sur les suites préexistantes (FIPH, Bon de Sortie, Mission/Affectation, sécurité).</w:t>
      </w:r>
    </w:p>
    <w:p>
      <w:pPr>
        <w:pStyle w:val="Heading1"/>
        <w:pBdr>
          <w:bottom w:val="single" w:color="DEE3E7" w:sz="6" w:space="4"/>
        </w:pBdr>
        <w:spacing w:after="160" w:before="320"/>
      </w:pPr>
      <w:r>
        <w:rPr>
          <w:b/>
          <w:bCs/>
          <w:color w:val="008294"/>
          <w:sz w:val="30"/>
          <w:szCs w:val="30"/>
        </w:rPr>
        <w:t xml:space="preserve">7. Documentation mise à jour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Manuel utilisateur (SGBF-Manuel-Utilisateur.docx) : nouvelle sous-section « Maintien de la session » (chapitre 2) ; paragraphe « Gérer les personnes à bord » corrigé pour décrire le statut Visé en attente de validation et l'initialisation de la FIPH à la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 rapport (documentation-technique/rapport-session-bs-individuel-2026-08-26.docx).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2026-08-26T07:22:13.158Z</dcterms:created>
  <dcterms:modified xsi:type="dcterms:W3CDTF">2026-08-26T07:22:13.159Z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