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666666"/>
          <w:sz w:val="22"/>
          <w:szCs w:val="22"/>
        </w:rPr>
        <w:t xml:space="preserve">SNEF Cameroun SA — SGBF</w:t>
      </w:r>
    </w:p>
    <w:p>
      <w:pPr>
        <w:spacing w:after="80"/>
      </w:pPr>
      <w:r>
        <w:rPr>
          <w:b/>
          <w:bCs/>
          <w:color w:val="008294"/>
          <w:sz w:val="34"/>
          <w:szCs w:val="34"/>
        </w:rPr>
        <w:t xml:space="preserve">Rapport d'évolution — Droits métier et workflow FIPH</w:t>
      </w:r>
    </w:p>
    <w:p>
      <w:pPr>
        <w:spacing w:after="200"/>
      </w:pPr>
      <w:r>
        <w:rPr>
          <w:i/>
          <w:iCs/>
          <w:sz w:val="22"/>
          <w:szCs w:val="22"/>
        </w:rPr>
        <w:t xml:space="preserve">Périmètre par service, droits RH, validation du Super Administrateur niveau par niveau, date de fin obligatoire, corrections de bugs réels</w:t>
      </w:r>
    </w:p>
    <w:p>
      <w:pPr>
        <w:spacing w:after="160"/>
      </w:pPr>
      <w:r>
        <w:t xml:space="preserve">Date : 26 août 2026 (suite de la même journée que le rapport session/BS individuel)</w:t>
      </w:r>
    </w:p>
    <w:p>
      <w:pPr>
        <w:spacing w:after="160"/>
      </w:pPr>
      <w:r>
        <w:t xml:space="preserve">Périmètre : brief « Évolution complète des droits métier et du workflow FIPH » (25 sections)</w:t>
      </w:r>
    </w:p>
    <w:p>
      <w:pPr>
        <w:pStyle w:val="Heading1"/>
        <w:pBdr>
          <w:bottom w:val="single" w:color="DEE3E7" w:sz="6" w:space="4"/>
        </w:pBdr>
        <w:spacing w:after="160" w:before="320"/>
      </w:pPr>
      <w:r>
        <w:rPr>
          <w:b/>
          <w:bCs/>
          <w:color w:val="008294"/>
          <w:sz w:val="30"/>
          <w:szCs w:val="30"/>
        </w:rPr>
        <w:t xml:space="preserve">1. Contexte et méthode</w:t>
      </w:r>
    </w:p>
    <w:p>
      <w:pPr>
        <w:spacing w:after="160"/>
      </w:pPr>
      <w:r>
        <w:t xml:space="preserve">Cette brief recoupait très largement des évolutions déjà livrées plus tôt dans la même journée (périmètre par service, workflow de validation à 3 niveaux, self-validation du Chargé d'Affaires niveau 2, réaffectation avec décrémentation automatique des jours). L'analyse a permis d'isoler les écarts réels : accès en écriture du RH aux FIPH après validation définitive (inexistant), date de fin obligatoire avant soumission (non contrôlée), traçabilité distincte des interventions du Super Administrateur (absente), et notification dédiée lors d'une modification post-validation (absente). Deux points ambigus (mécanisme d'écriture du RH ; définition exacte de « modification mineure ») ont été tranchés avec l'utilisateur avant tout code.</w:t>
      </w:r>
    </w:p>
    <w:p>
      <w:pPr>
        <w:pStyle w:val="Heading1"/>
        <w:pBdr>
          <w:bottom w:val="single" w:color="DEE3E7" w:sz="6" w:space="4"/>
        </w:pBdr>
        <w:spacing w:after="160" w:before="320"/>
      </w:pPr>
      <w:r>
        <w:rPr>
          <w:b/>
          <w:bCs/>
          <w:color w:val="008294"/>
          <w:sz w:val="30"/>
          <w:szCs w:val="30"/>
        </w:rPr>
        <w:t xml:space="preserve">2. Deux bugs réels découverts en cours de vérification live</w:t>
      </w:r>
    </w:p>
    <w:p>
      <w:pPr>
        <w:pStyle w:val="Heading2"/>
        <w:pBdr>
          <w:bottom w:val="single" w:color="DEE3E7" w:sz="6" w:space="4"/>
        </w:pBdr>
        <w:spacing w:after="140" w:before="280"/>
      </w:pPr>
      <w:r>
        <w:rPr>
          <w:b/>
          <w:bCs/>
          <w:color w:val="008294"/>
          <w:sz w:val="26"/>
          <w:szCs w:val="26"/>
        </w:rPr>
        <w:t xml:space="preserve">2.1 Ajout tardif d'une personne à bord — échec silencieux réel, pas seulement en test</w:t>
      </w:r>
    </w:p>
    <w:p>
      <w:pPr>
        <w:spacing w:after="160"/>
      </w:pPr>
      <w:r>
        <w:t xml:space="preserve">BonSortiePersonneService déclenchait la génération du bon individuel dans la MÊME transaction que l'insertion de l'association, avant qu'elle ne soit committée — la transaction REQUIRES_NEW de génération ne pouvait donc jamais la voir. Un commentaire de test préexistant attribuait à tort ce comportement à un artefact de test ; il se produisait en réalité aussi en production (reproduit en direct via curl sur le backend de développement). Corrigé en reportant le déclenchement à après le commit réel (même mécanisme que NotificationService pour le SSE).</w:t>
      </w:r>
    </w:p>
    <w:p>
      <w:pPr>
        <w:pStyle w:val="Heading2"/>
        <w:pBdr>
          <w:bottom w:val="single" w:color="DEE3E7" w:sz="6" w:space="4"/>
        </w:pBdr>
        <w:spacing w:after="140" w:before="280"/>
      </w:pPr>
      <w:r>
        <w:rPr>
          <w:b/>
          <w:bCs/>
          <w:color w:val="008294"/>
          <w:sz w:val="26"/>
          <w:szCs w:val="26"/>
        </w:rPr>
        <w:t xml:space="preserve">2.2 Une notification en échec pouvait faire planter une opération métier sans rapport</w:t>
      </w:r>
    </w:p>
    <w:p>
      <w:pPr>
        <w:spacing w:after="160"/>
      </w:pPr>
      <w:r>
        <w:t xml:space="preserve">SseEmitterRegistry ne rattrapait que IOException, jamais IllegalStateException (levée par SseEmitter#send en cas de course normale client/serveur). Comme la diffusion s'exécute de manière synchrone dans la transaction métier appelante, cette exception non rattrapée faisait échouer en 500 une opération n'ayant rien à voir avec la diffusion temps réel. Élargi à catch (Exception) : un échec de diffusion best-effort ne doit jamais casser son appelant.</w:t>
      </w:r>
    </w:p>
    <w:p>
      <w:pPr>
        <w:pStyle w:val="Heading1"/>
        <w:pBdr>
          <w:bottom w:val="single" w:color="DEE3E7" w:sz="6" w:space="4"/>
        </w:pBdr>
        <w:spacing w:after="160" w:before="320"/>
      </w:pPr>
      <w:r>
        <w:rPr>
          <w:b/>
          <w:bCs/>
          <w:color w:val="008294"/>
          <w:sz w:val="30"/>
          <w:szCs w:val="30"/>
        </w:rPr>
        <w:t xml:space="preserve">3. Le Super Administrateur valide niveau par niveau, sur n'importe quel service</w:t>
      </w:r>
    </w:p>
    <w:p>
      <w:pPr>
        <w:spacing w:after="160"/>
      </w:pPr>
      <w:r>
        <w:t xml:space="preserve">Deux couches devaient être étendues ensemble :</w:t>
      </w:r>
    </w:p>
    <w:p>
      <w:pPr>
        <w:pStyle w:val="ListParagraph"/>
        <w:numPr>
          <w:ilvl w:val="0"/>
          <w:numId w:val="1"/>
        </w:numPr>
        <w:spacing w:after="80"/>
      </w:pPr>
      <w:r>
        <w:t xml:space="preserve">Hiérarchie de rôles Spring Security (SecurityConfig) : SUPER_ADMINISTRATEUR n'héritait que d'ADMINISTRATEUR — étendu pour hériter aussi de CHARGE_AFFAIRES, PERSONNE_HABILITEE, RESPONSABLE_ACTIVITE et DIRECTION (sans quoi le filtrage grossier @PreAuthorize des contrôleurs bloquait tout, avant même d'atteindre le contrôle de service).</w:t>
      </w:r>
    </w:p>
    <w:p>
      <w:pPr>
        <w:pStyle w:val="ListParagraph"/>
        <w:numPr>
          <w:ilvl w:val="0"/>
          <w:numId w:val="1"/>
        </w:numPr>
        <w:spacing w:after="80"/>
      </w:pPr>
      <w:r>
        <w:t xml:space="preserve">Contrôle fin de périmètre par service (BonSortieService, FiphService, FiphVersionService, AffectationMissionService) : reconnaissent désormais explicitement une habilitation SUPER_ADMINISTRATEUR active comme suffisante, quel que soit le service — son habilitation porte toujours service=null par construction, ce qui ne pouvait jamais satisfaire la comparaison stricte existante.</w:t>
      </w:r>
    </w:p>
    <w:p>
      <w:pPr>
        <w:spacing w:after="160"/>
      </w:pPr>
      <w:r>
        <w:t xml:space="preserve">RG-HAB-004 (séparation des responsabilités) continue de s'appliquer normalement au Super Administrateur : un test a d'ailleurs confirmé le bon fonctionnement de cette garde en bloquant, à raison, une validation de niveau 3 par un Super Administrateur ayant lui-même préparé la FIPH juste avant.</w:t>
      </w:r>
    </w:p>
    <w:p>
      <w:pPr>
        <w:spacing w:after="160"/>
      </w:pPr>
      <w:r>
        <w:t xml:space="preserve">Traçabilité distincte (section 13-14) : nouveau type d'audit VALIDATION_PAR_SUPER_ADMIN, journalisé EN PLUS de la VALIDATION normale (jamais à sa place), pour que l'historique distingue clairement une validation normale d'une intervention exceptionnelle du Super Administrateur — jamais une déduction implicite a posteriori.</w:t>
      </w:r>
    </w:p>
    <w:p>
      <w:pPr>
        <w:pStyle w:val="Heading1"/>
        <w:pBdr>
          <w:bottom w:val="single" w:color="DEE3E7" w:sz="6" w:space="4"/>
        </w:pBdr>
        <w:spacing w:after="160" w:before="320"/>
      </w:pPr>
      <w:r>
        <w:rPr>
          <w:b/>
          <w:bCs/>
          <w:color w:val="008294"/>
          <w:sz w:val="30"/>
          <w:szCs w:val="30"/>
        </w:rPr>
        <w:t xml:space="preserve">4. Le RH peut modifier une FIPH même après validation définitive</w:t>
      </w:r>
    </w:p>
    <w:p>
      <w:pPr>
        <w:spacing w:after="160"/>
      </w:pPr>
      <w:r>
        <w:t xml:space="preserve">Même mécanisme que le Chargé d'Affaires/la Personne habilitée (nouvelle version tracable, jamais de modification en place) : ajouté aux endpoints /pointage, /date-fin et /fiph/{id}/nouvelle-version, avec un périmètre global (tous services) plutôt que par service — cohérent avec son habilitation, toujours à portée globale par construction.</w:t>
      </w:r>
    </w:p>
    <w:p>
      <w:pPr>
        <w:spacing w:after="160"/>
      </w:pPr>
      <w:r>
        <w:t xml:space="preserve">Un test existant (AuditPdfDroitsRhIT) affirmait explicitement l'inverse (« La RH ne peut jamais écrire »), sous une référence de règle erronée (RG-HAB-005 concerne en réalité l'exclusivité du rôle RH, pas son caractère lecture seule). Mis à jour pour refléter la décision explicite de l'utilisateur, avec un contrôle négatif conservé : un utilisateur hors périmètre sans rôle RH/Super Administrateur reste bien refusé.</w:t>
      </w:r>
    </w:p>
    <w:p>
      <w:pPr>
        <w:pStyle w:val="Heading1"/>
        <w:pBdr>
          <w:bottom w:val="single" w:color="DEE3E7" w:sz="6" w:space="4"/>
        </w:pBdr>
        <w:spacing w:after="160" w:before="320"/>
      </w:pPr>
      <w:r>
        <w:rPr>
          <w:b/>
          <w:bCs/>
          <w:color w:val="008294"/>
          <w:sz w:val="30"/>
          <w:szCs w:val="30"/>
        </w:rPr>
        <w:t xml:space="preserve">5. Date de fin obligatoire avant soumission (RG-FIPH-033)</w:t>
      </w:r>
    </w:p>
    <w:p>
      <w:pPr>
        <w:spacing w:after="160"/>
      </w:pPr>
      <w:r>
        <w:t xml:space="preserve">La date de début est toujours présente (issue automatiquement du Bon de Sortie, ou d'une semaine entière pour une FIPH manuelle) — aucun contrôle nécessaire. La date de fin, elle, peut rester « ouverte » (non définie) tant que le Chargé d'Affaires/la Personne habilitée/le RH ne l'a pas renseignée. Nouveau contrôle : la soumission au circuit de validation est désormais refusée (422) tant que cette date n'est pas définie.</w:t>
      </w:r>
    </w:p>
    <w:p>
      <w:pPr>
        <w:pStyle w:val="Heading1"/>
        <w:pBdr>
          <w:bottom w:val="single" w:color="DEE3E7" w:sz="6" w:space="4"/>
        </w:pBdr>
        <w:spacing w:after="160" w:before="320"/>
      </w:pPr>
      <w:r>
        <w:rPr>
          <w:b/>
          <w:bCs/>
          <w:color w:val="008294"/>
          <w:sz w:val="30"/>
          <w:szCs w:val="30"/>
        </w:rPr>
        <w:t xml:space="preserve">6. Notification dès la modification d'une FIPH déjà validée (section 17)</w:t>
      </w:r>
    </w:p>
    <w:p>
      <w:pPr>
        <w:spacing w:after="160"/>
      </w:pPr>
      <w:r>
        <w:t xml:space="preserve">Ajoutée de façon centrale dans FiphService.creerVersionSuivante (point unique appelé par les trois chemins : modification explicite de la date de fin, endpoint dédié de nouvelle version, et enrichissement automatique par un nouveau Bon de Sortie sur une FIPH déjà figée) : les Chargés d'Affaires/Personnes habilitées du service sont notifiés dès la création de la nouvelle version, pas seulement à sa soumission ultérieure.</w:t>
      </w:r>
    </w:p>
    <w:p>
      <w:pPr>
        <w:pStyle w:val="Heading1"/>
        <w:pBdr>
          <w:bottom w:val="single" w:color="DEE3E7" w:sz="6" w:space="4"/>
        </w:pBdr>
        <w:spacing w:after="160" w:before="320"/>
      </w:pPr>
      <w:r>
        <w:rPr>
          <w:b/>
          <w:bCs/>
          <w:color w:val="008294"/>
          <w:sz w:val="30"/>
          <w:szCs w:val="30"/>
        </w:rPr>
        <w:t xml:space="preserve">7. Sections déjà conformes — vérifiées, aucun nouveau code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200"/>
        <w:gridCol w:w="5800"/>
      </w:tblGrid>
      <w:tr>
        <w:tc>
          <w:tcPr>
            <w:tcW w:type="dxa" w:w="4200"/>
            <w:shd w:fill="F2F5F6" w:val="clear"/>
          </w:tcPr>
          <w:p>
            <w:r>
              <w:rPr>
                <w:b/>
                <w:bCs/>
              </w:rPr>
              <w:t xml:space="preserve">Exigence de la brief</w:t>
            </w:r>
          </w:p>
        </w:tc>
        <w:tc>
          <w:tcPr>
            <w:tcW w:type="dxa" w:w="5800"/>
            <w:shd w:fill="F2F5F6" w:val="clear"/>
          </w:tcPr>
          <w:p>
            <w:r>
              <w:rPr>
                <w:b/>
                <w:bCs/>
              </w:rPr>
              <w:t xml:space="preserve">Constat</w:t>
            </w:r>
          </w:p>
        </w:tc>
      </w:tr>
      <w:tr>
        <w:tc>
          <w:tcPr>
            <w:tcW w:type="dxa" w:w="4200"/>
          </w:tcPr>
          <w:p>
            <w:r>
              <w:t xml:space="preserve">Périmètre strict par service (§1)</w:t>
            </w:r>
          </w:p>
        </w:tc>
        <w:tc>
          <w:tcPr>
            <w:tcW w:type="dxa" w:w="5800"/>
          </w:tcPr>
          <w:p>
            <w:r>
              <w:t xml:space="preserve">RG-HAB-003/RG-SEC-002 déjà appliqués partout, backend source de vérité — vérifié à nouveau via les tests de non-régression.</w:t>
            </w:r>
          </w:p>
        </w:tc>
      </w:tr>
      <w:tr>
        <w:tc>
          <w:tcPr>
            <w:tcW w:type="dxa" w:w="4200"/>
          </w:tcPr>
          <w:p>
            <w:r>
              <w:t xml:space="preserve">Self-validation du CA sur sa propre FIPH (§2, §20)</w:t>
            </w:r>
          </w:p>
        </w:tc>
        <w:tc>
          <w:tcPr>
            <w:tcW w:type="dxa" w:w="5800"/>
          </w:tcPr>
          <w:p>
            <w:r>
              <w:t xml:space="preserve">RG-HAB-004 exempte déjà le niveau 2 entièrement — aucun blocage artificiel, confirmé par test dédié.</w:t>
            </w:r>
          </w:p>
        </w:tc>
      </w:tr>
      <w:tr>
        <w:tc>
          <w:tcPr>
            <w:tcW w:type="dxa" w:w="4200"/>
          </w:tcPr>
          <w:p>
            <w:r>
              <w:t xml:space="preserve">Workflow niveau 2 → 3 → 4 (§4-6)</w:t>
            </w:r>
          </w:p>
        </w:tc>
        <w:tc>
          <w:tcPr>
            <w:tcW w:type="dxa" w:w="5800"/>
          </w:tcPr>
          <w:p>
            <w:r>
              <w:t xml:space="preserve">Déjà implémenté et testé (FiphVersionService.valider, verifierSequencementNiveau).</w:t>
            </w:r>
          </w:p>
        </w:tc>
      </w:tr>
      <w:tr>
        <w:tc>
          <w:tcPr>
            <w:tcW w:type="dxa" w:w="4200"/>
          </w:tcPr>
          <w:p>
            <w:r>
              <w:t xml:space="preserve">Modification après validation définitive (§7-8)</w:t>
            </w:r>
          </w:p>
        </w:tc>
        <w:tc>
          <w:tcPr>
            <w:tcW w:type="dxa" w:w="5800"/>
          </w:tcPr>
          <w:p>
            <w:r>
              <w:t xml:space="preserve">Déjà : toute modification crée une nouvelle version tracable, revalidation complète — comportement confirmé volontairement uniforme par l'utilisateur (pas de notion de « modification mineure » à traiter différemment).</w:t>
            </w:r>
          </w:p>
        </w:tc>
      </w:tr>
      <w:tr>
        <w:tc>
          <w:tcPr>
            <w:tcW w:type="dxa" w:w="4200"/>
          </w:tcPr>
          <w:p>
            <w:r>
              <w:t xml:space="preserve">Réaffectation en cours de mission + décrémentation des jours (§10-12)</w:t>
            </w:r>
          </w:p>
        </w:tc>
        <w:tc>
          <w:tcPr>
            <w:tcW w:type="dxa" w:w="5800"/>
          </w:tcPr>
          <w:p>
            <w:r>
              <w:t xml:space="preserve">Déjà implémenté et testé (AffectationMissionService.reaffecterPendantMissionEnCours, RG-MIS-009/010/011).</w:t>
            </w:r>
          </w:p>
        </w:tc>
      </w:tr>
      <w:tr>
        <w:tc>
          <w:tcPr>
            <w:tcW w:type="dxa" w:w="4200"/>
          </w:tcPr>
          <w:p>
            <w:r>
              <w:t xml:space="preserve">Notifications cliquables (§16)</w:t>
            </w:r>
          </w:p>
        </w:tc>
        <w:tc>
          <w:tcPr>
            <w:tcW w:type="dxa" w:w="5800"/>
          </w:tcPr>
          <w:p>
            <w:r>
              <w:t xml:space="preserve">Déjà implémenté (NotificationCenter.tsx, lien généré côté serveur, périmètre revérifié à l'ouverture).</w:t>
            </w:r>
          </w:p>
        </w:tc>
      </w:tr>
    </w:tbl>
    <w:p>
      <w:pPr>
        <w:pStyle w:val="Heading1"/>
        <w:pBdr>
          <w:bottom w:val="single" w:color="DEE3E7" w:sz="6" w:space="4"/>
        </w:pBdr>
        <w:spacing w:after="160" w:before="320"/>
      </w:pPr>
      <w:r>
        <w:rPr>
          <w:b/>
          <w:bCs/>
          <w:color w:val="008294"/>
          <w:sz w:val="30"/>
          <w:szCs w:val="30"/>
        </w:rPr>
        <w:t xml:space="preserve">8. Tests</w:t>
      </w:r>
    </w:p>
    <w:p>
      <w:pPr>
        <w:spacing w:after="160"/>
      </w:pPr>
      <w:r>
        <w:t xml:space="preserve">91 tests backend au total (88 précédents + 3 nouveaux dédiés à cette évolution) — 91/91, aucune régression. Nouveaux tests : rejet de soumission sans date de fin (RG-FIPH-033) ; notification envoyée dès la modification d'une FIPH déjà validée définitivement ; validation par le Super Administrateur journalisée distinctement (VALIDATION_PAR_SUPER_ADMIN en plus de VALIDATION), avec confirmation que RG-HAB-004 continue de s'appliquer normalement à ce compte.</w:t>
      </w:r>
    </w:p>
    <w:p>
      <w:pPr>
        <w:spacing w:after="160"/>
      </w:pPr>
      <w:r>
        <w:t xml:space="preserve">Vérifié également en direct sur le backend de développement (connexion R.dorn réussie après redémarrage, application saine).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2026-08-26T15:44:04.522Z</dcterms:created>
  <dcterms:modified xsi:type="dcterms:W3CDTF">2026-08-26T15:44:04.525Z</dcterms:modified>
</cp:coreProperties>
</file>

<file path=docProps/custom.xml><?xml version="1.0" encoding="utf-8"?>
<Properties xmlns="http://schemas.openxmlformats.org/officeDocument/2006/custom-properties" xmlns:vt="http://schemas.openxmlformats.org/officeDocument/2006/docPropsVTypes"/>
</file>