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t xml:space="preserve">SNEF Cameroun SA — SGBF</w:t>
      </w:r>
      <w:r>
        <w:rPr>
          <w:b/>
          <w:bCs/>
          <w:color w:val="808080"/>
          <w:sz w:val="24"/>
          <w:szCs w:val="24"/>
        </w:rPr>
        <w:t xml:space="preserve">SNEF Cameroun SA — SGBF</w:t>
      </w:r>
    </w:p>
    <w:p>
      <w:pPr>
        <w:spacing w:after="100" w:before="200"/>
        <w:jc w:val="center"/>
      </w:pPr>
      <w:r>
        <w:rPr>
          <w:b/>
          <w:bCs/>
          <w:color w:val="1F3864"/>
          <w:sz w:val="40"/>
          <w:szCs w:val="40"/>
        </w:rPr>
        <w:t xml:space="preserve">Rapport d'evolution — Workflow Bon de Sortie</w:t>
      </w:r>
    </w:p>
    <w:p>
      <w:pPr>
        <w:spacing w:after="400" w:before="100"/>
        <w:jc w:val="center"/>
      </w:pPr>
      <w:r>
        <w:rPr>
          <w:color w:val="2E5395"/>
          <w:sz w:val="26"/>
          <w:szCs w:val="26"/>
        </w:rPr>
        <w:t xml:space="preserve">Correctifs visa/validation, notifications, selection des personnes a bord</w:t>
      </w:r>
    </w:p>
    <w:p>
      <w:pPr>
        <w:spacing w:after="60"/>
        <w:jc w:val="center"/>
      </w:pPr>
      <w:r>
        <w:rPr>
          <w:sz w:val="20"/>
          <w:szCs w:val="20"/>
        </w:rPr>
        <w:t xml:space="preserve">Date : 20 aout 2026</w:t>
      </w:r>
    </w:p>
    <w:p>
      <w:pPr>
        <w:spacing w:after="60"/>
        <w:jc w:val="center"/>
      </w:pPr>
      <w:r>
        <w:rPr>
          <w:sz w:val="20"/>
          <w:szCs w:val="20"/>
        </w:rPr>
        <w:t xml:space="preserve">Cas declencheur : bon de sortie #8 (agent Jean Jores, service Telecom)</w:t>
      </w:r>
    </w:p>
    <w:p>
      <w:pPr>
        <w:spacing w:after="400"/>
        <w:jc w:val="center"/>
      </w:pPr>
      <w:r>
        <w:rPr>
          <w:i/>
          <w:iCs/>
          <w:sz w:val="20"/>
          <w:szCs w:val="20"/>
        </w:rPr>
        <w:t xml:space="preserve">Perimetre : Lot 1 (diagnostic visa/validation) — Lot 2 (affectation) — Lot 3 (notifications) — Lot 4 (personnes a bord)</w:t>
      </w:r>
    </w:p>
    <w:p>
      <w:pPr>
        <w:pStyle w:val="Heading1"/>
        <w:spacing w:after="200" w:before="400"/>
      </w:pPr>
      <w:r>
        <w:t xml:space="preserve">1. Contexte et methode</w:t>
      </w:r>
    </w:p>
    <w:p>
      <w:pPr>
        <w:spacing w:after="120"/>
      </w:pPr>
      <w:r>
        <w:t xml:space="preserve">Le tableau de bord du Charge d'Affaires du service Telecom (ca.telecom) affichait « 1 en attente de validation » sans qu'aucune action ne soit possible sur le bon de sortie #8 (statut Vise, agent Jean Jores, vise le 2026-08-19T20:54:55). La cloche de notification restait par ailleurs vide en toute circonstance, et l'ajout de personnes a bord reposait sur la saisie manuelle d'un identifiant numerique d'agent, sans controle de perimetre ni interface de selection.</w:t>
      </w:r>
    </w:p>
    <w:p>
      <w:pPr>
        <w:spacing w:after="120"/>
      </w:pPr>
      <w:r>
        <w:t xml:space="preserve">La methode suivie a ete : (1) reproduction reelle du cas avant toute hypothese — reinitialisation du mot de passe de ca.telecom, connexion effective, appel de l'API reelle ; (2) tracage du chemin complet (React → API → controleur → autorisation → service → base de donnees) pour chaque lot ; (3) recherche systematique d'autres occurrences du meme defaut avant correction ; (4) verification post-correctif contre la base de developpement reelle (SQL direct + navigateur), en plus des tests automatises.</w:t>
      </w:r>
    </w:p>
    <w:p>
      <w:pPr>
        <w:spacing w:after="120"/>
      </w:pPr>
      <w:r>
        <w:t xml:space="preserve">Deux points metier ambigus ont ete explicitement remontes a l'utilisateur avant tout code, conformement a la consigne « ne pas deviner en silence » ; les choix retenus figurent en section 6.</w:t>
      </w:r>
    </w:p>
    <w:p>
      <w:pPr>
        <w:pStyle w:val="Heading1"/>
        <w:spacing w:after="200" w:before="400"/>
      </w:pPr>
      <w:r>
        <w:t xml:space="preserve">2. Lot 1 — Bon #8 non validable par ca.telecom</w:t>
      </w:r>
    </w:p>
    <w:p>
      <w:pPr>
        <w:pStyle w:val="Heading2"/>
        <w:spacing w:after="150" w:before="300"/>
      </w:pPr>
      <w:r>
        <w:t xml:space="preserve">2.1 Symptome</w:t>
      </w:r>
    </w:p>
    <w:p>
      <w:pPr>
        <w:spacing w:after="120"/>
      </w:pPr>
      <w:r>
        <w:t xml:space="preserve">Le bouton de validation n'apparaissait pas, ou l'appel API echouait, pour un Charge d'Affaires pourtant habilite sur le service Telecom, sur un bon deja Vise.</w:t>
      </w:r>
    </w:p>
    <w:p>
      <w:pPr>
        <w:pStyle w:val="Heading2"/>
        <w:spacing w:after="150" w:before="300"/>
      </w:pPr>
      <w:r>
        <w:t xml:space="preserve">2.2 Investigation</w:t>
      </w:r>
    </w:p>
    <w:p>
      <w:pPr>
        <w:spacing w:after="120"/>
      </w:pPr>
      <w:r>
        <w:t xml:space="preserve">La reproduction reelle (connexion ca.telecom + appel direct de l'API de validation) a renvoye un code HTTP 422 (RG-FIPH-020), et non 403. Ce resultat ecarte definitivement l'hypothese d'un refus d'autorisation : l'habilitation CHARGE_AFFAIRES de ca.telecom sur le service Telecom est correcte et fonctionnelle.</w:t>
      </w:r>
    </w:p>
    <w:p>
      <w:pPr>
        <w:spacing w:after="120"/>
      </w:pPr>
      <w:r>
        <w:rPr>
          <w:b/>
          <w:bCs/>
        </w:rPr>
        <w:t xml:space="preserve">Root cause : </w:t>
      </w:r>
      <w:r>
        <w:t xml:space="preserve">l'exception provenait d'une regle metier bloquante dans BonSortieService.valider() qui interdisait toute validation lorsque l'affectation-mission de l'agent ne pouvait pas etre resolue a la date de sortie — c'est le sujet du Lot 2, pas un defaut d'habilitation ou de perimetre. Le Lot 1 n'avait donc pas de cause independante : son symptome et celui du Lot 2 partagent la meme origine.</w:t>
      </w:r>
    </w:p>
    <w:p>
      <w:pPr>
        <w:pStyle w:val="Heading2"/>
        <w:spacing w:after="150" w:before="300"/>
      </w:pPr>
      <w:r>
        <w:t xml:space="preserve">2.3 Audit de la matrice de transitions</w:t>
      </w:r>
    </w:p>
    <w:p>
      <w:pPr>
        <w:spacing w:after="120"/>
      </w:pPr>
      <w:r>
        <w:t xml:space="preserve">L'audit demande (creer, soumettre, viser, valider, annuler, cloturer, heure de retour, operations FIPH) a ete mene sur le modele reel. Le Bon de Sortie ne comporte que trois statuts (BROUILLON → VISE → VALIDE) et aucun endpoint annuler/cloturer n'existe dans le code actuel — la portee de l'audit a donc ete ajustee a ce qui existe reellement (voir section 7, points residuels).</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600"/>
        <w:gridCol w:w="2400"/>
        <w:gridCol w:w="2600"/>
      </w:tblGrid>
      <w:tr>
        <w:trPr>
          <w:tblHeader/>
        </w:trPr>
        <w:tc>
          <w:tcPr>
            <w:tcW w:type="dxa" w:w="2100"/>
            <w:shd w:fill="1F3864" w:val="clear"/>
            <w:tcMar>
              <w:top w:type="dxa" w:w="60"/>
              <w:left w:type="dxa" w:w="80"/>
              <w:bottom w:type="dxa" w:w="60"/>
              <w:right w:type="dxa" w:w="80"/>
            </w:tcMar>
          </w:tcPr>
          <w:p>
            <w:r>
              <w:rPr>
                <w:b/>
                <w:bCs/>
                <w:color w:val="FFFFFF"/>
                <w:sz w:val="18"/>
                <w:szCs w:val="18"/>
              </w:rPr>
              <w:t xml:space="preserve">Transition</w:t>
            </w:r>
          </w:p>
        </w:tc>
        <w:tc>
          <w:tcPr>
            <w:tcW w:type="dxa" w:w="2600"/>
            <w:shd w:fill="1F3864" w:val="clear"/>
            <w:tcMar>
              <w:top w:type="dxa" w:w="60"/>
              <w:left w:type="dxa" w:w="80"/>
              <w:bottom w:type="dxa" w:w="60"/>
              <w:right w:type="dxa" w:w="80"/>
            </w:tcMar>
          </w:tcPr>
          <w:p>
            <w:r>
              <w:rPr>
                <w:b/>
                <w:bCs/>
                <w:color w:val="FFFFFF"/>
                <w:sz w:val="18"/>
                <w:szCs w:val="18"/>
              </w:rPr>
              <w:t xml:space="preserve">Role autorise</w:t>
            </w:r>
          </w:p>
        </w:tc>
        <w:tc>
          <w:tcPr>
            <w:tcW w:type="dxa" w:w="1600"/>
            <w:shd w:fill="1F3864" w:val="clear"/>
            <w:tcMar>
              <w:top w:type="dxa" w:w="60"/>
              <w:left w:type="dxa" w:w="80"/>
              <w:bottom w:type="dxa" w:w="60"/>
              <w:right w:type="dxa" w:w="80"/>
            </w:tcMar>
          </w:tcPr>
          <w:p>
            <w:r>
              <w:rPr>
                <w:b/>
                <w:bCs/>
                <w:color w:val="FFFFFF"/>
                <w:sz w:val="18"/>
                <w:szCs w:val="18"/>
              </w:rPr>
              <w:t xml:space="preserve">Etat requis</w:t>
            </w:r>
          </w:p>
        </w:tc>
        <w:tc>
          <w:tcPr>
            <w:tcW w:type="dxa" w:w="2400"/>
            <w:shd w:fill="1F3864" w:val="clear"/>
            <w:tcMar>
              <w:top w:type="dxa" w:w="60"/>
              <w:left w:type="dxa" w:w="80"/>
              <w:bottom w:type="dxa" w:w="60"/>
              <w:right w:type="dxa" w:w="80"/>
            </w:tcMar>
          </w:tcPr>
          <w:p>
            <w:r>
              <w:rPr>
                <w:b/>
                <w:bCs/>
                <w:color w:val="FFFFFF"/>
                <w:sz w:val="18"/>
                <w:szCs w:val="18"/>
              </w:rPr>
              <w:t xml:space="preserve">Etat cible</w:t>
            </w:r>
          </w:p>
        </w:tc>
        <w:tc>
          <w:tcPr>
            <w:tcW w:type="dxa" w:w="2600"/>
            <w:shd w:fill="1F3864" w:val="clear"/>
            <w:tcMar>
              <w:top w:type="dxa" w:w="60"/>
              <w:left w:type="dxa" w:w="80"/>
              <w:bottom w:type="dxa" w:w="60"/>
              <w:right w:type="dxa" w:w="80"/>
            </w:tcMar>
          </w:tcPr>
          <w:p>
            <w:r>
              <w:rPr>
                <w:b/>
                <w:bCs/>
                <w:color w:val="FFFFFF"/>
                <w:sz w:val="18"/>
                <w:szCs w:val="18"/>
              </w:rPr>
              <w:t xml:space="preserve">Constat</w:t>
            </w:r>
          </w:p>
        </w:tc>
      </w:tr>
      <w:tr>
        <w:tc>
          <w:tcPr>
            <w:tcW w:type="dxa" w:w="2100"/>
            <w:tcMar>
              <w:top w:type="dxa" w:w="60"/>
              <w:left w:type="dxa" w:w="80"/>
              <w:bottom w:type="dxa" w:w="60"/>
              <w:right w:type="dxa" w:w="80"/>
            </w:tcMar>
          </w:tcPr>
          <w:p>
            <w:r>
              <w:rPr>
                <w:b w:val="false"/>
                <w:bCs w:val="false"/>
                <w:sz w:val="18"/>
                <w:szCs w:val="18"/>
              </w:rPr>
              <w:t xml:space="preserve">Creer</w:t>
            </w:r>
          </w:p>
        </w:tc>
        <w:tc>
          <w:tcPr>
            <w:tcW w:type="dxa" w:w="2600"/>
            <w:tcMar>
              <w:top w:type="dxa" w:w="60"/>
              <w:left w:type="dxa" w:w="80"/>
              <w:bottom w:type="dxa" w:w="60"/>
              <w:right w:type="dxa" w:w="80"/>
            </w:tcMar>
          </w:tcPr>
          <w:p>
            <w:r>
              <w:rPr>
                <w:b w:val="false"/>
                <w:bCs w:val="false"/>
                <w:sz w:val="18"/>
                <w:szCs w:val="18"/>
              </w:rPr>
              <w:t xml:space="preserve">Agent (titulaire)</w:t>
            </w:r>
          </w:p>
        </w:tc>
        <w:tc>
          <w:tcPr>
            <w:tcW w:type="dxa" w:w="1600"/>
            <w:tcMar>
              <w:top w:type="dxa" w:w="60"/>
              <w:left w:type="dxa" w:w="80"/>
              <w:bottom w:type="dxa" w:w="60"/>
              <w:right w:type="dxa" w:w="80"/>
            </w:tcMar>
          </w:tcPr>
          <w:p>
            <w:r>
              <w:rPr>
                <w:b w:val="false"/>
                <w:bCs w:val="false"/>
                <w:sz w:val="18"/>
                <w:szCs w:val="18"/>
              </w:rPr>
              <w:t xml:space="preserve">—</w:t>
            </w:r>
          </w:p>
        </w:tc>
        <w:tc>
          <w:tcPr>
            <w:tcW w:type="dxa" w:w="2400"/>
            <w:tcMar>
              <w:top w:type="dxa" w:w="60"/>
              <w:left w:type="dxa" w:w="80"/>
              <w:bottom w:type="dxa" w:w="60"/>
              <w:right w:type="dxa" w:w="80"/>
            </w:tcMar>
          </w:tcPr>
          <w:p>
            <w:r>
              <w:rPr>
                <w:b w:val="false"/>
                <w:bCs w:val="false"/>
                <w:sz w:val="18"/>
                <w:szCs w:val="18"/>
              </w:rPr>
              <w:t xml:space="preserve">BROUILLON ou VISE (auto-visa si l'auteur est l'agent)</w:t>
            </w:r>
          </w:p>
        </w:tc>
        <w:tc>
          <w:tcPr>
            <w:tcW w:type="dxa" w:w="2600"/>
            <w:tcMar>
              <w:top w:type="dxa" w:w="60"/>
              <w:left w:type="dxa" w:w="80"/>
              <w:bottom w:type="dxa" w:w="60"/>
              <w:right w:type="dxa" w:w="80"/>
            </w:tcMar>
          </w:tcPr>
          <w:p>
            <w:r>
              <w:rPr>
                <w:b w:val="false"/>
                <w:bCs w:val="false"/>
                <w:color w:val="1E7A34"/>
                <w:sz w:val="18"/>
                <w:szCs w:val="18"/>
              </w:rPr>
              <w:t xml:space="preserve">Conforme</w:t>
            </w:r>
          </w:p>
        </w:tc>
      </w:tr>
      <w:tr>
        <w:tc>
          <w:tcPr>
            <w:tcW w:type="dxa" w:w="2100"/>
            <w:tcMar>
              <w:top w:type="dxa" w:w="60"/>
              <w:left w:type="dxa" w:w="80"/>
              <w:bottom w:type="dxa" w:w="60"/>
              <w:right w:type="dxa" w:w="80"/>
            </w:tcMar>
          </w:tcPr>
          <w:p>
            <w:r>
              <w:rPr>
                <w:b w:val="false"/>
                <w:bCs w:val="false"/>
                <w:sz w:val="18"/>
                <w:szCs w:val="18"/>
              </w:rPr>
              <w:t xml:space="preserve">Viser</w:t>
            </w:r>
          </w:p>
        </w:tc>
        <w:tc>
          <w:tcPr>
            <w:tcW w:type="dxa" w:w="2600"/>
            <w:tcMar>
              <w:top w:type="dxa" w:w="60"/>
              <w:left w:type="dxa" w:w="80"/>
              <w:bottom w:type="dxa" w:w="60"/>
              <w:right w:type="dxa" w:w="80"/>
            </w:tcMar>
          </w:tcPr>
          <w:p>
            <w:r>
              <w:rPr>
                <w:b w:val="false"/>
                <w:bCs w:val="false"/>
                <w:sz w:val="18"/>
                <w:szCs w:val="18"/>
              </w:rPr>
              <w:t xml:space="preserve">Agent titulaire du bon</w:t>
            </w:r>
          </w:p>
        </w:tc>
        <w:tc>
          <w:tcPr>
            <w:tcW w:type="dxa" w:w="1600"/>
            <w:tcMar>
              <w:top w:type="dxa" w:w="60"/>
              <w:left w:type="dxa" w:w="80"/>
              <w:bottom w:type="dxa" w:w="60"/>
              <w:right w:type="dxa" w:w="80"/>
            </w:tcMar>
          </w:tcPr>
          <w:p>
            <w:r>
              <w:rPr>
                <w:b w:val="false"/>
                <w:bCs w:val="false"/>
                <w:sz w:val="18"/>
                <w:szCs w:val="18"/>
              </w:rPr>
              <w:t xml:space="preserve">BROUILLON</w:t>
            </w:r>
          </w:p>
        </w:tc>
        <w:tc>
          <w:tcPr>
            <w:tcW w:type="dxa" w:w="2400"/>
            <w:tcMar>
              <w:top w:type="dxa" w:w="60"/>
              <w:left w:type="dxa" w:w="80"/>
              <w:bottom w:type="dxa" w:w="60"/>
              <w:right w:type="dxa" w:w="80"/>
            </w:tcMar>
          </w:tcPr>
          <w:p>
            <w:r>
              <w:rPr>
                <w:b w:val="false"/>
                <w:bCs w:val="false"/>
                <w:sz w:val="18"/>
                <w:szCs w:val="18"/>
              </w:rPr>
              <w:t xml:space="preserve">VISE</w:t>
            </w:r>
          </w:p>
        </w:tc>
        <w:tc>
          <w:tcPr>
            <w:tcW w:type="dxa" w:w="2600"/>
            <w:tcMar>
              <w:top w:type="dxa" w:w="60"/>
              <w:left w:type="dxa" w:w="80"/>
              <w:bottom w:type="dxa" w:w="60"/>
              <w:right w:type="dxa" w:w="80"/>
            </w:tcMar>
          </w:tcPr>
          <w:p>
            <w:r>
              <w:rPr>
                <w:b w:val="false"/>
                <w:bCs w:val="false"/>
                <w:color w:val="1E7A34"/>
                <w:sz w:val="18"/>
                <w:szCs w:val="18"/>
              </w:rPr>
              <w:t xml:space="preserve">Conforme</w:t>
            </w:r>
          </w:p>
        </w:tc>
      </w:tr>
      <w:tr>
        <w:tc>
          <w:tcPr>
            <w:tcW w:type="dxa" w:w="2100"/>
            <w:tcMar>
              <w:top w:type="dxa" w:w="60"/>
              <w:left w:type="dxa" w:w="80"/>
              <w:bottom w:type="dxa" w:w="60"/>
              <w:right w:type="dxa" w:w="80"/>
            </w:tcMar>
          </w:tcPr>
          <w:p>
            <w:r>
              <w:rPr>
                <w:b w:val="false"/>
                <w:bCs w:val="false"/>
                <w:sz w:val="18"/>
                <w:szCs w:val="18"/>
              </w:rPr>
              <w:t xml:space="preserve">Valider</w:t>
            </w:r>
          </w:p>
        </w:tc>
        <w:tc>
          <w:tcPr>
            <w:tcW w:type="dxa" w:w="2600"/>
            <w:tcMar>
              <w:top w:type="dxa" w:w="60"/>
              <w:left w:type="dxa" w:w="80"/>
              <w:bottom w:type="dxa" w:w="60"/>
              <w:right w:type="dxa" w:w="80"/>
            </w:tcMar>
          </w:tcPr>
          <w:p>
            <w:r>
              <w:rPr>
                <w:b w:val="false"/>
                <w:bCs w:val="false"/>
                <w:sz w:val="18"/>
                <w:szCs w:val="18"/>
              </w:rPr>
              <w:t xml:space="preserve">CHARGE_AFFAIRES / PERSONNE_HABILITEE du service</w:t>
            </w:r>
          </w:p>
        </w:tc>
        <w:tc>
          <w:tcPr>
            <w:tcW w:type="dxa" w:w="1600"/>
            <w:tcMar>
              <w:top w:type="dxa" w:w="60"/>
              <w:left w:type="dxa" w:w="80"/>
              <w:bottom w:type="dxa" w:w="60"/>
              <w:right w:type="dxa" w:w="80"/>
            </w:tcMar>
          </w:tcPr>
          <w:p>
            <w:r>
              <w:rPr>
                <w:b w:val="false"/>
                <w:bCs w:val="false"/>
                <w:sz w:val="18"/>
                <w:szCs w:val="18"/>
              </w:rPr>
              <w:t xml:space="preserve">VISE</w:t>
            </w:r>
          </w:p>
        </w:tc>
        <w:tc>
          <w:tcPr>
            <w:tcW w:type="dxa" w:w="2400"/>
            <w:tcMar>
              <w:top w:type="dxa" w:w="60"/>
              <w:left w:type="dxa" w:w="80"/>
              <w:bottom w:type="dxa" w:w="60"/>
              <w:right w:type="dxa" w:w="80"/>
            </w:tcMar>
          </w:tcPr>
          <w:p>
            <w:r>
              <w:rPr>
                <w:b w:val="false"/>
                <w:bCs w:val="false"/>
                <w:sz w:val="18"/>
                <w:szCs w:val="18"/>
              </w:rPr>
              <w:t xml:space="preserve">VALIDE</w:t>
            </w:r>
          </w:p>
        </w:tc>
        <w:tc>
          <w:tcPr>
            <w:tcW w:type="dxa" w:w="2600"/>
            <w:tcMar>
              <w:top w:type="dxa" w:w="60"/>
              <w:left w:type="dxa" w:w="80"/>
              <w:bottom w:type="dxa" w:w="60"/>
              <w:right w:type="dxa" w:w="80"/>
            </w:tcMar>
          </w:tcPr>
          <w:p>
            <w:r>
              <w:rPr>
                <w:b w:val="false"/>
                <w:bCs w:val="false"/>
                <w:color w:val="B7472A"/>
                <w:sz w:val="18"/>
                <w:szCs w:val="18"/>
              </w:rPr>
              <w:t xml:space="preserve">Corrige (blocage injustifie leve, voir Lot 2)</w:t>
            </w:r>
          </w:p>
        </w:tc>
      </w:tr>
      <w:tr>
        <w:tc>
          <w:tcPr>
            <w:tcW w:type="dxa" w:w="2100"/>
            <w:tcMar>
              <w:top w:type="dxa" w:w="60"/>
              <w:left w:type="dxa" w:w="80"/>
              <w:bottom w:type="dxa" w:w="60"/>
              <w:right w:type="dxa" w:w="80"/>
            </w:tcMar>
          </w:tcPr>
          <w:p>
            <w:r>
              <w:rPr>
                <w:b w:val="false"/>
                <w:bCs w:val="false"/>
                <w:sz w:val="18"/>
                <w:szCs w:val="18"/>
              </w:rPr>
              <w:t xml:space="preserve">Auto-validation (viseur = valideur)</w:t>
            </w:r>
          </w:p>
        </w:tc>
        <w:tc>
          <w:tcPr>
            <w:tcW w:type="dxa" w:w="2600"/>
            <w:tcMar>
              <w:top w:type="dxa" w:w="60"/>
              <w:left w:type="dxa" w:w="80"/>
              <w:bottom w:type="dxa" w:w="60"/>
              <w:right w:type="dxa" w:w="80"/>
            </w:tcMar>
          </w:tcPr>
          <w:p>
            <w:r>
              <w:rPr>
                <w:b w:val="false"/>
                <w:bCs w:val="false"/>
                <w:sz w:val="18"/>
                <w:szCs w:val="18"/>
              </w:rPr>
              <w:t xml:space="preserve">idem</w:t>
            </w:r>
          </w:p>
        </w:tc>
        <w:tc>
          <w:tcPr>
            <w:tcW w:type="dxa" w:w="1600"/>
            <w:tcMar>
              <w:top w:type="dxa" w:w="60"/>
              <w:left w:type="dxa" w:w="80"/>
              <w:bottom w:type="dxa" w:w="60"/>
              <w:right w:type="dxa" w:w="80"/>
            </w:tcMar>
          </w:tcPr>
          <w:p>
            <w:r>
              <w:rPr>
                <w:b w:val="false"/>
                <w:bCs w:val="false"/>
                <w:sz w:val="18"/>
                <w:szCs w:val="18"/>
              </w:rPr>
              <w:t xml:space="preserve">VISE</w:t>
            </w:r>
          </w:p>
        </w:tc>
        <w:tc>
          <w:tcPr>
            <w:tcW w:type="dxa" w:w="2400"/>
            <w:tcMar>
              <w:top w:type="dxa" w:w="60"/>
              <w:left w:type="dxa" w:w="80"/>
              <w:bottom w:type="dxa" w:w="60"/>
              <w:right w:type="dxa" w:w="80"/>
            </w:tcMar>
          </w:tcPr>
          <w:p>
            <w:r>
              <w:rPr>
                <w:b w:val="false"/>
                <w:bCs w:val="false"/>
                <w:sz w:val="18"/>
                <w:szCs w:val="18"/>
              </w:rPr>
              <w:t xml:space="preserve">VALIDE</w:t>
            </w:r>
          </w:p>
        </w:tc>
        <w:tc>
          <w:tcPr>
            <w:tcW w:type="dxa" w:w="2600"/>
            <w:tcMar>
              <w:top w:type="dxa" w:w="60"/>
              <w:left w:type="dxa" w:w="80"/>
              <w:bottom w:type="dxa" w:w="60"/>
              <w:right w:type="dxa" w:w="80"/>
            </w:tcMar>
          </w:tcPr>
          <w:p>
            <w:r>
              <w:rPr>
                <w:b w:val="false"/>
                <w:bCs w:val="false"/>
                <w:color w:val="6A3EA1"/>
                <w:sz w:val="18"/>
                <w:szCs w:val="18"/>
              </w:rPr>
              <w:t xml:space="preserve">Tranche explicitement — autorisee (section 6)</w:t>
            </w:r>
          </w:p>
        </w:tc>
      </w:tr>
      <w:tr>
        <w:tc>
          <w:tcPr>
            <w:tcW w:type="dxa" w:w="2100"/>
            <w:tcMar>
              <w:top w:type="dxa" w:w="60"/>
              <w:left w:type="dxa" w:w="80"/>
              <w:bottom w:type="dxa" w:w="60"/>
              <w:right w:type="dxa" w:w="80"/>
            </w:tcMar>
          </w:tcPr>
          <w:p>
            <w:r>
              <w:rPr>
                <w:b w:val="false"/>
                <w:bCs w:val="false"/>
                <w:sz w:val="18"/>
                <w:szCs w:val="18"/>
              </w:rPr>
              <w:t xml:space="preserve">Ajouter personne a bord</w:t>
            </w:r>
          </w:p>
        </w:tc>
        <w:tc>
          <w:tcPr>
            <w:tcW w:type="dxa" w:w="2600"/>
            <w:tcMar>
              <w:top w:type="dxa" w:w="60"/>
              <w:left w:type="dxa" w:w="80"/>
              <w:bottom w:type="dxa" w:w="60"/>
              <w:right w:type="dxa" w:w="80"/>
            </w:tcMar>
          </w:tcPr>
          <w:p>
            <w:r>
              <w:rPr>
                <w:b w:val="false"/>
                <w:bCs w:val="false"/>
                <w:sz w:val="18"/>
                <w:szCs w:val="18"/>
              </w:rPr>
              <w:t xml:space="preserve">Createur du bon principal, meme service</w:t>
            </w:r>
          </w:p>
        </w:tc>
        <w:tc>
          <w:tcPr>
            <w:tcW w:type="dxa" w:w="1600"/>
            <w:tcMar>
              <w:top w:type="dxa" w:w="60"/>
              <w:left w:type="dxa" w:w="80"/>
              <w:bottom w:type="dxa" w:w="60"/>
              <w:right w:type="dxa" w:w="80"/>
            </w:tcMar>
          </w:tcPr>
          <w:p>
            <w:r>
              <w:rPr>
                <w:b w:val="false"/>
                <w:bCs w:val="false"/>
                <w:sz w:val="18"/>
                <w:szCs w:val="18"/>
              </w:rPr>
              <w:t xml:space="preserve">bon PRINCIPALE</w:t>
            </w:r>
          </w:p>
        </w:tc>
        <w:tc>
          <w:tcPr>
            <w:tcW w:type="dxa" w:w="2400"/>
            <w:tcMar>
              <w:top w:type="dxa" w:w="60"/>
              <w:left w:type="dxa" w:w="80"/>
              <w:bottom w:type="dxa" w:w="60"/>
              <w:right w:type="dxa" w:w="80"/>
            </w:tcMar>
          </w:tcPr>
          <w:p>
            <w:r>
              <w:rPr>
                <w:b w:val="false"/>
                <w:bCs w:val="false"/>
                <w:sz w:val="18"/>
                <w:szCs w:val="18"/>
              </w:rPr>
              <w:t xml:space="preserve">—</w:t>
            </w:r>
          </w:p>
        </w:tc>
        <w:tc>
          <w:tcPr>
            <w:tcW w:type="dxa" w:w="2600"/>
            <w:tcMar>
              <w:top w:type="dxa" w:w="60"/>
              <w:left w:type="dxa" w:w="80"/>
              <w:bottom w:type="dxa" w:w="60"/>
              <w:right w:type="dxa" w:w="80"/>
            </w:tcMar>
          </w:tcPr>
          <w:p>
            <w:r>
              <w:rPr>
                <w:b w:val="false"/>
                <w:bCs w:val="false"/>
                <w:color w:val="B7472A"/>
                <w:sz w:val="18"/>
                <w:szCs w:val="18"/>
              </w:rPr>
              <w:t xml:space="preserve">Refondu Lot 4 (perimetre serveur)</w:t>
            </w:r>
          </w:p>
        </w:tc>
      </w:tr>
      <w:tr>
        <w:tc>
          <w:tcPr>
            <w:tcW w:type="dxa" w:w="2100"/>
            <w:tcMar>
              <w:top w:type="dxa" w:w="60"/>
              <w:left w:type="dxa" w:w="80"/>
              <w:bottom w:type="dxa" w:w="60"/>
              <w:right w:type="dxa" w:w="80"/>
            </w:tcMar>
          </w:tcPr>
          <w:p>
            <w:r>
              <w:rPr>
                <w:b w:val="false"/>
                <w:bCs w:val="false"/>
                <w:sz w:val="18"/>
                <w:szCs w:val="18"/>
              </w:rPr>
              <w:t xml:space="preserve">Retirer personne a bord</w:t>
            </w:r>
          </w:p>
        </w:tc>
        <w:tc>
          <w:tcPr>
            <w:tcW w:type="dxa" w:w="2600"/>
            <w:tcMar>
              <w:top w:type="dxa" w:w="60"/>
              <w:left w:type="dxa" w:w="80"/>
              <w:bottom w:type="dxa" w:w="60"/>
              <w:right w:type="dxa" w:w="80"/>
            </w:tcMar>
          </w:tcPr>
          <w:p>
            <w:r>
              <w:rPr>
                <w:b w:val="false"/>
                <w:bCs w:val="false"/>
                <w:sz w:val="18"/>
                <w:szCs w:val="18"/>
              </w:rPr>
              <w:t xml:space="preserve">Createur du bon principal, meme service</w:t>
            </w:r>
          </w:p>
        </w:tc>
        <w:tc>
          <w:tcPr>
            <w:tcW w:type="dxa" w:w="1600"/>
            <w:tcMar>
              <w:top w:type="dxa" w:w="60"/>
              <w:left w:type="dxa" w:w="80"/>
              <w:bottom w:type="dxa" w:w="60"/>
              <w:right w:type="dxa" w:w="80"/>
            </w:tcMar>
          </w:tcPr>
          <w:p>
            <w:r>
              <w:rPr>
                <w:b w:val="false"/>
                <w:bCs w:val="false"/>
                <w:sz w:val="18"/>
                <w:szCs w:val="18"/>
              </w:rPr>
              <w:t xml:space="preserve">association ACTIVE</w:t>
            </w:r>
          </w:p>
        </w:tc>
        <w:tc>
          <w:tcPr>
            <w:tcW w:type="dxa" w:w="2400"/>
            <w:tcMar>
              <w:top w:type="dxa" w:w="60"/>
              <w:left w:type="dxa" w:w="80"/>
              <w:bottom w:type="dxa" w:w="60"/>
              <w:right w:type="dxa" w:w="80"/>
            </w:tcMar>
          </w:tcPr>
          <w:p>
            <w:r>
              <w:rPr>
                <w:b w:val="false"/>
                <w:bCs w:val="false"/>
                <w:sz w:val="18"/>
                <w:szCs w:val="18"/>
              </w:rPr>
              <w:t xml:space="preserve">RETIREE</w:t>
            </w:r>
          </w:p>
        </w:tc>
        <w:tc>
          <w:tcPr>
            <w:tcW w:type="dxa" w:w="2600"/>
            <w:tcMar>
              <w:top w:type="dxa" w:w="60"/>
              <w:left w:type="dxa" w:w="80"/>
              <w:bottom w:type="dxa" w:w="60"/>
              <w:right w:type="dxa" w:w="80"/>
            </w:tcMar>
          </w:tcPr>
          <w:p>
            <w:r>
              <w:rPr>
                <w:b w:val="false"/>
                <w:bCs w:val="false"/>
                <w:color w:val="B7472A"/>
                <w:sz w:val="18"/>
                <w:szCs w:val="18"/>
              </w:rPr>
              <w:t xml:space="preserve">Ajoute (absent avant ce lot)</w:t>
            </w:r>
          </w:p>
        </w:tc>
      </w:tr>
      <w:tr>
        <w:tc>
          <w:tcPr>
            <w:tcW w:type="dxa" w:w="2100"/>
            <w:tcMar>
              <w:top w:type="dxa" w:w="60"/>
              <w:left w:type="dxa" w:w="80"/>
              <w:bottom w:type="dxa" w:w="60"/>
              <w:right w:type="dxa" w:w="80"/>
            </w:tcMar>
          </w:tcPr>
          <w:p>
            <w:r>
              <w:rPr>
                <w:b w:val="false"/>
                <w:bCs w:val="false"/>
                <w:sz w:val="18"/>
                <w:szCs w:val="18"/>
              </w:rPr>
              <w:t xml:space="preserve">Generation bon individuel FIPH</w:t>
            </w:r>
          </w:p>
        </w:tc>
        <w:tc>
          <w:tcPr>
            <w:tcW w:type="dxa" w:w="2600"/>
            <w:tcMar>
              <w:top w:type="dxa" w:w="60"/>
              <w:left w:type="dxa" w:w="80"/>
              <w:bottom w:type="dxa" w:w="60"/>
              <w:right w:type="dxa" w:w="80"/>
            </w:tcMar>
          </w:tcPr>
          <w:p>
            <w:r>
              <w:rPr>
                <w:b w:val="false"/>
                <w:bCs w:val="false"/>
                <w:sz w:val="18"/>
                <w:szCs w:val="18"/>
              </w:rPr>
              <w:t xml:space="preserve">Systeme (automatique)</w:t>
            </w:r>
          </w:p>
        </w:tc>
        <w:tc>
          <w:tcPr>
            <w:tcW w:type="dxa" w:w="1600"/>
            <w:tcMar>
              <w:top w:type="dxa" w:w="60"/>
              <w:left w:type="dxa" w:w="80"/>
              <w:bottom w:type="dxa" w:w="60"/>
              <w:right w:type="dxa" w:w="80"/>
            </w:tcMar>
          </w:tcPr>
          <w:p>
            <w:r>
              <w:rPr>
                <w:b w:val="false"/>
                <w:bCs w:val="false"/>
                <w:sz w:val="18"/>
                <w:szCs w:val="18"/>
              </w:rPr>
              <w:t xml:space="preserve">bon principal VALIDE</w:t>
            </w:r>
          </w:p>
        </w:tc>
        <w:tc>
          <w:tcPr>
            <w:tcW w:type="dxa" w:w="2400"/>
            <w:tcMar>
              <w:top w:type="dxa" w:w="60"/>
              <w:left w:type="dxa" w:w="80"/>
              <w:bottom w:type="dxa" w:w="60"/>
              <w:right w:type="dxa" w:w="80"/>
            </w:tcMar>
          </w:tcPr>
          <w:p>
            <w:r>
              <w:rPr>
                <w:b w:val="false"/>
                <w:bCs w:val="false"/>
                <w:sz w:val="18"/>
                <w:szCs w:val="18"/>
              </w:rPr>
              <w:t xml:space="preserve">—</w:t>
            </w:r>
          </w:p>
        </w:tc>
        <w:tc>
          <w:tcPr>
            <w:tcW w:type="dxa" w:w="2600"/>
            <w:tcMar>
              <w:top w:type="dxa" w:w="60"/>
              <w:left w:type="dxa" w:w="80"/>
              <w:bottom w:type="dxa" w:w="60"/>
              <w:right w:type="dxa" w:w="80"/>
            </w:tcMar>
          </w:tcPr>
          <w:p>
            <w:r>
              <w:rPr>
                <w:b w:val="false"/>
                <w:bCs w:val="false"/>
                <w:color w:val="B7472A"/>
                <w:sz w:val="18"/>
                <w:szCs w:val="18"/>
              </w:rPr>
              <w:t xml:space="preserve">Corrige (etait un cul-de-sac silencieux, voir Lot 2)</w:t>
            </w:r>
          </w:p>
        </w:tc>
      </w:tr>
      <w:tr>
        <w:tc>
          <w:tcPr>
            <w:tcW w:type="dxa" w:w="2100"/>
            <w:tcMar>
              <w:top w:type="dxa" w:w="60"/>
              <w:left w:type="dxa" w:w="80"/>
              <w:bottom w:type="dxa" w:w="60"/>
              <w:right w:type="dxa" w:w="80"/>
            </w:tcMar>
          </w:tcPr>
          <w:p>
            <w:r>
              <w:rPr>
                <w:b w:val="false"/>
                <w:bCs w:val="false"/>
                <w:sz w:val="18"/>
                <w:szCs w:val="18"/>
              </w:rPr>
              <w:t xml:space="preserve">Annuler / Cloturer</w:t>
            </w:r>
          </w:p>
        </w:tc>
        <w:tc>
          <w:tcPr>
            <w:tcW w:type="dxa" w:w="2600"/>
            <w:tcMar>
              <w:top w:type="dxa" w:w="60"/>
              <w:left w:type="dxa" w:w="80"/>
              <w:bottom w:type="dxa" w:w="60"/>
              <w:right w:type="dxa" w:w="80"/>
            </w:tcMar>
          </w:tcPr>
          <w:p>
            <w:r>
              <w:rPr>
                <w:b w:val="false"/>
                <w:bCs w:val="false"/>
                <w:sz w:val="18"/>
                <w:szCs w:val="18"/>
              </w:rPr>
              <w:t xml:space="preserve">N/A</w:t>
            </w:r>
          </w:p>
        </w:tc>
        <w:tc>
          <w:tcPr>
            <w:tcW w:type="dxa" w:w="1600"/>
            <w:tcMar>
              <w:top w:type="dxa" w:w="60"/>
              <w:left w:type="dxa" w:w="80"/>
              <w:bottom w:type="dxa" w:w="60"/>
              <w:right w:type="dxa" w:w="80"/>
            </w:tcMar>
          </w:tcPr>
          <w:p>
            <w:r>
              <w:rPr>
                <w:b w:val="false"/>
                <w:bCs w:val="false"/>
                <w:sz w:val="18"/>
                <w:szCs w:val="18"/>
              </w:rPr>
              <w:t xml:space="preserve">N/A</w:t>
            </w:r>
          </w:p>
        </w:tc>
        <w:tc>
          <w:tcPr>
            <w:tcW w:type="dxa" w:w="2400"/>
            <w:tcMar>
              <w:top w:type="dxa" w:w="60"/>
              <w:left w:type="dxa" w:w="80"/>
              <w:bottom w:type="dxa" w:w="60"/>
              <w:right w:type="dxa" w:w="80"/>
            </w:tcMar>
          </w:tcPr>
          <w:p>
            <w:r>
              <w:rPr>
                <w:b w:val="false"/>
                <w:bCs w:val="false"/>
                <w:sz w:val="18"/>
                <w:szCs w:val="18"/>
              </w:rPr>
              <w:t xml:space="preserve">N/A</w:t>
            </w:r>
          </w:p>
        </w:tc>
        <w:tc>
          <w:tcPr>
            <w:tcW w:type="dxa" w:w="2600"/>
            <w:tcMar>
              <w:top w:type="dxa" w:w="60"/>
              <w:left w:type="dxa" w:w="80"/>
              <w:bottom w:type="dxa" w:w="60"/>
              <w:right w:type="dxa" w:w="80"/>
            </w:tcMar>
          </w:tcPr>
          <w:p>
            <w:r>
              <w:rPr>
                <w:b w:val="false"/>
                <w:bCs w:val="false"/>
                <w:color w:val="808080"/>
                <w:sz w:val="18"/>
                <w:szCs w:val="18"/>
              </w:rPr>
              <w:t xml:space="preserve">Hors perimetre — endpoints inexistants (section 7)</w:t>
            </w:r>
          </w:p>
        </w:tc>
      </w:tr>
    </w:tbl>
    <w:p>
      <w:pPr>
        <w:spacing w:after="60" w:before="150"/>
      </w:pPr>
      <w:r>
        <w:rPr>
          <w:b/>
          <w:bCs/>
          <w:color w:val="6A3EA1"/>
        </w:rPr>
        <w:t xml:space="preserve">Decision : </w:t>
      </w:r>
      <w:r>
        <w:rPr>
          <w:b/>
          <w:bCs/>
        </w:rPr>
        <w:t xml:space="preserve">Auto-validation par le viseur lui-meme</w:t>
      </w:r>
    </w:p>
    <w:p>
      <w:pPr>
        <w:spacing w:after="60"/>
      </w:pPr>
      <w:r>
        <w:rPr>
          <w:b/>
          <w:bCs/>
        </w:rPr>
        <w:t xml:space="preserve">Choix retenu (utilisateur) : </w:t>
      </w:r>
      <w:r>
        <w:t xml:space="preserve">Autoriser l'auto-validation.</w:t>
      </w:r>
    </w:p>
    <w:p>
      <w:pPr>
        <w:spacing w:after="150"/>
      </w:pPr>
      <w:r>
        <w:rPr>
          <w:b/>
          <w:bCs/>
        </w:rPr>
        <w:t xml:space="preserve">Justification : </w:t>
      </w:r>
      <w:r>
        <w:t xml:space="preserve">Le referentiel n'impose pas de separation stricte des taches entre le visa (niveau 1, titulaire) et la validation (niveau 2, Charge d'Affaires/personne habilitee) lorsque la meme personne detient legitimement les deux roles sur son propre perimetre ; la recommandation initiale (interdire) visait a preserver un controle a quatre yeux, mais l'utilisateur a tranche en faveur de la fluidite operationnelle. Decision documentee dans le Javadoc de BonSortieService.valider().</w:t>
      </w:r>
    </w:p>
    <w:p>
      <w:pPr>
        <w:pStyle w:val="Heading1"/>
        <w:spacing w:after="200" w:before="400"/>
      </w:pPr>
      <w:r>
        <w:t xml:space="preserve">3. Lot 2 — Banniere « Aucune affectation active trouvee »</w:t>
      </w:r>
    </w:p>
    <w:p>
      <w:pPr>
        <w:pStyle w:val="Heading2"/>
        <w:spacing w:after="150" w:before="300"/>
      </w:pPr>
      <w:r>
        <w:t xml:space="preserve">3.1 Nature du blocage</w:t>
      </w:r>
    </w:p>
    <w:p>
      <w:pPr>
        <w:spacing w:after="120"/>
      </w:pPr>
      <w:r>
        <w:t xml:space="preserve">Avant correctif, l'absence d'affectation-mission active a la date de sortie declenchait une exception bloquante (RG-FIPH-020) au moment de la validation : c'etait un blocage dur, non un simple avertissement mal calibre — la banniere rouge visible sur le bon #8 etait le seul signal donne a l'utilisateur, sans qu'aucune action de validation ne soit jamais possible tant que l'ecart de donnees n'etait pas resolu ailleurs (hors de portee de l'ecran).</w:t>
      </w:r>
    </w:p>
    <w:p>
      <w:pPr>
        <w:pStyle w:val="Heading2"/>
        <w:spacing w:after="150" w:before="300"/>
      </w:pPr>
      <w:r>
        <w:t xml:space="preserve">3.2 Analyse de la requete de resolution</w:t>
      </w:r>
    </w:p>
    <w:p>
      <w:pPr>
        <w:spacing w:after="120"/>
      </w:pPr>
      <w:r>
        <w:t xml:space="preserve">La requete JPQL trouverActivesAgentADate a ete relue ligne a ligne : bornes inclusives des deux cotes, gestion NULL-safe de la date de fin, comparaison sur des LocalDate purs des deux membres (aucun probleme de fuseau horaire possible). Aucun bug de bornes, de NULL ou de fuseau horaire n'a ete trouve dans la requete elle-meme.</w:t>
      </w:r>
    </w:p>
    <w:p>
      <w:pPr>
        <w:spacing w:after="120"/>
      </w:pPr>
      <w:r>
        <w:rPr>
          <w:b/>
          <w:bCs/>
        </w:rPr>
        <w:t xml:space="preserve">Root cause reelle : </w:t>
      </w:r>
      <w:r>
        <w:t xml:space="preserve">un ecart de donnees, pas un defaut de requete — l'agent Jean Jores ne possedait strictement aucune ligne d'affectation-mission a la date du bon #8. Le systeme traitait cet ecart de donnees comme une erreur technique bloquante plutot que comme une situation a signaler et a laisser corriger.</w:t>
      </w:r>
    </w:p>
    <w:p>
      <w:pPr>
        <w:spacing w:after="60" w:before="150"/>
      </w:pPr>
      <w:r>
        <w:rPr>
          <w:b/>
          <w:bCs/>
          <w:color w:val="6A3EA1"/>
        </w:rPr>
        <w:t xml:space="preserve">Decision : </w:t>
      </w:r>
      <w:r>
        <w:rPr>
          <w:b/>
          <w:bCs/>
        </w:rPr>
        <w:t xml:space="preserve">Affectation manquante : blocage ou avertissement</w:t>
      </w:r>
    </w:p>
    <w:p>
      <w:pPr>
        <w:spacing w:after="60"/>
      </w:pPr>
      <w:r>
        <w:rPr>
          <w:b/>
          <w:bCs/>
        </w:rPr>
        <w:t xml:space="preserve">Choix retenu (utilisateur) : </w:t>
      </w:r>
      <w:r>
        <w:t xml:space="preserve">Transformer en avertissement (ne bloque plus la validation).</w:t>
      </w:r>
    </w:p>
    <w:p>
      <w:pPr>
        <w:spacing w:after="150"/>
      </w:pPr>
      <w:r>
        <w:rPr>
          <w:b/>
          <w:bCs/>
        </w:rPr>
        <w:t xml:space="preserve">Justification : </w:t>
      </w:r>
      <w:r>
        <w:t xml:space="preserve">La recommandation initiale (conserver le blocage dur) visait a garantir qu'aucun bon ne soit valide sans rattachement mission verifiable ; l'utilisateur a neanmoins tranche pour l'avertissement, jugeant que bloquer une validation legitime (visa deja effectue, agent reellement sorti) pour un simple defaut de saisie d'affectation penalisait l'operationnel plus qu'il ne protegeait la donnee. Le message a ete rendu actionnable : il nomme l'agent, la date et le code affaire saisi, et invite a corriger l'affectation ou le code affaire.</w:t>
      </w:r>
    </w:p>
    <w:p>
      <w:pPr>
        <w:pStyle w:val="Heading2"/>
        <w:spacing w:after="150" w:before="300"/>
      </w:pPr>
      <w:r>
        <w:t xml:space="preserve">3.3 Message actionnable (avant/apres)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rPr>
          <w:tblHeader/>
        </w:trPr>
        <w:tc>
          <w:tcPr>
            <w:tcW w:type="dxa" w:w="1600"/>
            <w:shd w:fill="1F3864" w:val="clear"/>
            <w:tcMar>
              <w:top w:type="dxa" w:w="60"/>
              <w:left w:type="dxa" w:w="80"/>
              <w:bottom w:type="dxa" w:w="60"/>
              <w:right w:type="dxa" w:w="80"/>
            </w:tcMar>
          </w:tcPr>
          <w:p>
            <w:r>
              <w:rPr>
                <w:b/>
                <w:bCs/>
                <w:color w:val="FFFFFF"/>
                <w:sz w:val="18"/>
                <w:szCs w:val="18"/>
              </w:rPr>
              <w:t xml:space="preserve"/>
            </w:r>
          </w:p>
        </w:tc>
        <w:tc>
          <w:tcPr>
            <w:tcW w:type="dxa" w:w="3800"/>
            <w:shd w:fill="1F3864" w:val="clear"/>
            <w:tcMar>
              <w:top w:type="dxa" w:w="60"/>
              <w:left w:type="dxa" w:w="80"/>
              <w:bottom w:type="dxa" w:w="60"/>
              <w:right w:type="dxa" w:w="80"/>
            </w:tcMar>
          </w:tcPr>
          <w:p>
            <w:r>
              <w:rPr>
                <w:b/>
                <w:bCs/>
                <w:color w:val="FFFFFF"/>
                <w:sz w:val="18"/>
                <w:szCs w:val="18"/>
              </w:rPr>
              <w:t xml:space="preserve">Avant</w:t>
            </w:r>
          </w:p>
        </w:tc>
        <w:tc>
          <w:tcPr>
            <w:tcW w:type="dxa" w:w="3900"/>
            <w:shd w:fill="1F3864" w:val="clear"/>
            <w:tcMar>
              <w:top w:type="dxa" w:w="60"/>
              <w:left w:type="dxa" w:w="80"/>
              <w:bottom w:type="dxa" w:w="60"/>
              <w:right w:type="dxa" w:w="80"/>
            </w:tcMar>
          </w:tcPr>
          <w:p>
            <w:r>
              <w:rPr>
                <w:b/>
                <w:bCs/>
                <w:color w:val="FFFFFF"/>
                <w:sz w:val="18"/>
                <w:szCs w:val="18"/>
              </w:rPr>
              <w:t xml:space="preserve">Apres</w:t>
            </w:r>
          </w:p>
        </w:tc>
      </w:tr>
      <w:tr>
        <w:tc>
          <w:tcPr>
            <w:tcW w:type="dxa" w:w="1600"/>
            <w:tcMar>
              <w:top w:type="dxa" w:w="60"/>
              <w:left w:type="dxa" w:w="80"/>
              <w:bottom w:type="dxa" w:w="60"/>
              <w:right w:type="dxa" w:w="80"/>
            </w:tcMar>
          </w:tcPr>
          <w:p>
            <w:r>
              <w:rPr>
                <w:b w:val="false"/>
                <w:bCs w:val="false"/>
                <w:sz w:val="18"/>
                <w:szCs w:val="18"/>
              </w:rPr>
              <w:t xml:space="preserve">Comportement</w:t>
            </w:r>
          </w:p>
        </w:tc>
        <w:tc>
          <w:tcPr>
            <w:tcW w:type="dxa" w:w="3800"/>
            <w:tcMar>
              <w:top w:type="dxa" w:w="60"/>
              <w:left w:type="dxa" w:w="80"/>
              <w:bottom w:type="dxa" w:w="60"/>
              <w:right w:type="dxa" w:w="80"/>
            </w:tcMar>
          </w:tcPr>
          <w:p>
            <w:r>
              <w:rPr>
                <w:b w:val="false"/>
                <w:bCs w:val="false"/>
                <w:sz w:val="18"/>
                <w:szCs w:val="18"/>
              </w:rPr>
              <w:t xml:space="preserve">Exception bloquante RG-FIPH-020, aucune validation possible</w:t>
            </w:r>
          </w:p>
        </w:tc>
        <w:tc>
          <w:tcPr>
            <w:tcW w:type="dxa" w:w="3900"/>
            <w:tcMar>
              <w:top w:type="dxa" w:w="60"/>
              <w:left w:type="dxa" w:w="80"/>
              <w:bottom w:type="dxa" w:w="60"/>
              <w:right w:type="dxa" w:w="80"/>
            </w:tcMar>
          </w:tcPr>
          <w:p>
            <w:r>
              <w:rPr>
                <w:b w:val="false"/>
                <w:bCs w:val="false"/>
                <w:sz w:val="18"/>
                <w:szCs w:val="18"/>
              </w:rPr>
              <w:t xml:space="preserve">Validation possible ; avertissement visible en continu (calcul a chaque lecture, pas seulement a l'ecriture)</w:t>
            </w:r>
          </w:p>
        </w:tc>
      </w:tr>
      <w:tr>
        <w:tc>
          <w:tcPr>
            <w:tcW w:type="dxa" w:w="1600"/>
            <w:tcMar>
              <w:top w:type="dxa" w:w="60"/>
              <w:left w:type="dxa" w:w="80"/>
              <w:bottom w:type="dxa" w:w="60"/>
              <w:right w:type="dxa" w:w="80"/>
            </w:tcMar>
          </w:tcPr>
          <w:p>
            <w:r>
              <w:rPr>
                <w:b w:val="false"/>
                <w:bCs w:val="false"/>
                <w:sz w:val="18"/>
                <w:szCs w:val="18"/>
              </w:rPr>
              <w:t xml:space="preserve">Contenu du message</w:t>
            </w:r>
          </w:p>
        </w:tc>
        <w:tc>
          <w:tcPr>
            <w:tcW w:type="dxa" w:w="3800"/>
            <w:tcMar>
              <w:top w:type="dxa" w:w="60"/>
              <w:left w:type="dxa" w:w="80"/>
              <w:bottom w:type="dxa" w:w="60"/>
              <w:right w:type="dxa" w:w="80"/>
            </w:tcMar>
          </w:tcPr>
          <w:p>
            <w:r>
              <w:rPr>
                <w:b w:val="false"/>
                <w:bCs w:val="false"/>
                <w:sz w:val="18"/>
                <w:szCs w:val="18"/>
              </w:rPr>
              <w:t xml:space="preserve">Message technique generique</w:t>
            </w:r>
          </w:p>
        </w:tc>
        <w:tc>
          <w:tcPr>
            <w:tcW w:type="dxa" w:w="3900"/>
            <w:tcMar>
              <w:top w:type="dxa" w:w="60"/>
              <w:left w:type="dxa" w:w="80"/>
              <w:bottom w:type="dxa" w:w="60"/>
              <w:right w:type="dxa" w:w="80"/>
            </w:tcMar>
          </w:tcPr>
          <w:p>
            <w:r>
              <w:rPr>
                <w:b w:val="false"/>
                <w:bCs w:val="false"/>
                <w:sz w:val="18"/>
                <w:szCs w:val="18"/>
              </w:rPr>
              <w:t xml:space="preserve">« Aucune affectation active trouvee pour {agent} a la date du {date} (code affaire saisi : {code}). Verifiez l'affectation de l'agent ou corrigez le code affaire avant de valider. »</w:t>
            </w:r>
          </w:p>
        </w:tc>
      </w:tr>
    </w:tbl>
    <w:p>
      <w:pPr>
        <w:pStyle w:val="Heading2"/>
        <w:spacing w:after="150" w:before="300"/>
      </w:pPr>
      <w:r>
        <w:t xml:space="preserve">3.4 Effet de cascade detecte et corrige (integrite base de donnees)</w:t>
      </w:r>
    </w:p>
    <w:p>
      <w:pPr>
        <w:spacing w:after="120"/>
      </w:pPr>
      <w:r>
        <w:t xml:space="preserve">En autorisant la validation sans affectation resolue, le champ affectationMission du bon devient null en base — hors ce champ est consomme telquel par FiphService.ajouterOuMettreAJourPointage pour alimenter la table fiph_pointage, elle-meme soumise a une contrainte CHECK (chk_pointage_affectation_xor_service) exigeant qu'exactement un des deux champs affectation_mission_id / service_id soit renseigne, jamais les deux, jamais aucun. Sans correctif, la premiere validation d'un bon sans affectation aurait provoque une violation de contrainte SQL au lieu d'un simple avertissement metier.</w:t>
      </w:r>
    </w:p>
    <w:p>
      <w:pPr>
        <w:spacing w:after="120"/>
      </w:pPr>
      <w:r>
        <w:t xml:space="preserve">Corrige proactivement, avant ecriture du code de validation, par une bascule explicite : si l'affectation-mission est resolue, elle est utilisee et service est mis a null ; sinon, c'est le service de l'agent qui est utilise comme repli et affectation_mission_id reste null — respectant la contrainte XOR dans les deux cas.</w:t>
      </w:r>
    </w:p>
    <w:p>
      <w:pPr>
        <w:pStyle w:val="Heading2"/>
        <w:spacing w:after="150" w:before="300"/>
      </w:pPr>
      <w:r>
        <w:t xml:space="preserve">3.5 Deuxieme occurrence trouvee (audit « meme genre de cas »)</w:t>
      </w:r>
    </w:p>
    <w:p>
      <w:pPr>
        <w:spacing w:after="120"/>
      </w:pPr>
      <w:r>
        <w:t xml:space="preserve">La meme cause racine (absence d'affectation traitee comme un blocage silencieux et permanent) existait sous un symptome different : la generation automatique des bons individuels pour les personnes a bord (PersonneABordGenerationService) sortait en silence des qu'une affectation etait introuvable pour un passager, sans jamais reessayer — malgre un commentaire de code existant evoquant a tort une « reprise manuelle » qui n'existait pas reellement. C'est la cause exacte de la colonne « Bon individuel : En cours de generation » qui ne se resolvait jamais (Lot 4, section 4.4).</w:t>
      </w:r>
    </w:p>
    <w:p>
      <w:pPr>
        <w:spacing w:after="120"/>
      </w:pPr>
      <w:r>
        <w:t xml:space="preserve">Corrige avec le meme pattern qu'en 3.4 : generation toujours menee a terme, avertissement trace en audit (nouveau type ANOMALIE_AFFECTATION) et notifie au Charge d'Affaires concerne au lieu d'un abandon silencieux.</w:t>
      </w:r>
    </w:p>
    <w:p>
      <w:pPr>
        <w:pStyle w:val="Heading1"/>
        <w:spacing w:after="200" w:before="400"/>
      </w:pPr>
      <w:r>
        <w:t xml:space="preserve">4. Lot 3 — Cloche de notification toujours vide</w:t>
      </w:r>
    </w:p>
    <w:p>
      <w:pPr>
        <w:pStyle w:val="Heading2"/>
        <w:spacing w:after="150" w:before="300"/>
      </w:pPr>
      <w:r>
        <w:t xml:space="preserve">4.1 Diagnostic</w:t>
      </w:r>
    </w:p>
    <w:p>
      <w:pPr>
        <w:spacing w:after="120"/>
      </w:pPr>
      <w:r>
        <w:t xml:space="preserve">Aucune notification n'etait jamais generee pour le workflow Bon de Sortie : les evenements de cycle de vie (soumission, visa, validation, ajout de personne, anomalie d'affectation) n'appelaient aucun service de notification — seul le module FIPH en emettait. Le composant frontend NotificationCenter etait deja generique et fonctionnel ; le defaut etait entierement cote emission backend, pas cote affichage.</w:t>
      </w:r>
    </w:p>
    <w:p>
      <w:pPr>
        <w:pStyle w:val="Heading2"/>
        <w:spacing w:after="150" w:before="300"/>
      </w:pPr>
      <w:r>
        <w:t xml:space="preserve">4.2 Implementation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200"/>
      </w:tblGrid>
      <w:tr>
        <w:trPr>
          <w:tblHeader/>
        </w:trPr>
        <w:tc>
          <w:tcPr>
            <w:tcW w:type="dxa" w:w="2400"/>
            <w:shd w:fill="1F3864" w:val="clear"/>
            <w:tcMar>
              <w:top w:type="dxa" w:w="60"/>
              <w:left w:type="dxa" w:w="80"/>
              <w:bottom w:type="dxa" w:w="60"/>
              <w:right w:type="dxa" w:w="80"/>
            </w:tcMar>
          </w:tcPr>
          <w:p>
            <w:r>
              <w:rPr>
                <w:b/>
                <w:bCs/>
                <w:color w:val="FFFFFF"/>
                <w:sz w:val="18"/>
                <w:szCs w:val="18"/>
              </w:rPr>
              <w:t xml:space="preserve">Evenement</w:t>
            </w:r>
          </w:p>
        </w:tc>
        <w:tc>
          <w:tcPr>
            <w:tcW w:type="dxa" w:w="4700"/>
            <w:shd w:fill="1F3864" w:val="clear"/>
            <w:tcMar>
              <w:top w:type="dxa" w:w="60"/>
              <w:left w:type="dxa" w:w="80"/>
              <w:bottom w:type="dxa" w:w="60"/>
              <w:right w:type="dxa" w:w="80"/>
            </w:tcMar>
          </w:tcPr>
          <w:p>
            <w:r>
              <w:rPr>
                <w:b/>
                <w:bCs/>
                <w:color w:val="FFFFFF"/>
                <w:sz w:val="18"/>
                <w:szCs w:val="18"/>
              </w:rPr>
              <w:t xml:space="preserve">Destinataires</w:t>
            </w:r>
          </w:p>
        </w:tc>
        <w:tc>
          <w:tcPr>
            <w:tcW w:type="dxa" w:w="2200"/>
            <w:shd w:fill="1F3864" w:val="clear"/>
            <w:tcMar>
              <w:top w:type="dxa" w:w="60"/>
              <w:left w:type="dxa" w:w="80"/>
              <w:bottom w:type="dxa" w:w="60"/>
              <w:right w:type="dxa" w:w="80"/>
            </w:tcMar>
          </w:tcPr>
          <w:p>
            <w:r>
              <w:rPr>
                <w:b/>
                <w:bCs/>
                <w:color w:val="FFFFFF"/>
                <w:sz w:val="18"/>
                <w:szCs w:val="18"/>
              </w:rPr>
              <w:t xml:space="preserve">Type</w:t>
            </w:r>
          </w:p>
        </w:tc>
      </w:tr>
      <w:tr>
        <w:tc>
          <w:tcPr>
            <w:tcW w:type="dxa" w:w="2400"/>
            <w:tcMar>
              <w:top w:type="dxa" w:w="60"/>
              <w:left w:type="dxa" w:w="80"/>
              <w:bottom w:type="dxa" w:w="60"/>
              <w:right w:type="dxa" w:w="80"/>
            </w:tcMar>
          </w:tcPr>
          <w:p>
            <w:r>
              <w:rPr>
                <w:b w:val="false"/>
                <w:bCs w:val="false"/>
                <w:sz w:val="18"/>
                <w:szCs w:val="18"/>
              </w:rPr>
              <w:t xml:space="preserve">Bon vise (niveau 1)</w:t>
            </w:r>
          </w:p>
        </w:tc>
        <w:tc>
          <w:tcPr>
            <w:tcW w:type="dxa" w:w="4700"/>
            <w:tcMar>
              <w:top w:type="dxa" w:w="60"/>
              <w:left w:type="dxa" w:w="80"/>
              <w:bottom w:type="dxa" w:w="60"/>
              <w:right w:type="dxa" w:w="80"/>
            </w:tcMar>
          </w:tcPr>
          <w:p>
            <w:r>
              <w:rPr>
                <w:b w:val="false"/>
                <w:bCs w:val="false"/>
                <w:sz w:val="18"/>
                <w:szCs w:val="18"/>
              </w:rPr>
              <w:t xml:space="preserve">Valideurs niveau 2 habilites sur le service (memes requetes d'habilitation que Lot 1)</w:t>
            </w:r>
          </w:p>
        </w:tc>
        <w:tc>
          <w:tcPr>
            <w:tcW w:type="dxa" w:w="2200"/>
            <w:tcMar>
              <w:top w:type="dxa" w:w="60"/>
              <w:left w:type="dxa" w:w="80"/>
              <w:bottom w:type="dxa" w:w="60"/>
              <w:right w:type="dxa" w:w="80"/>
            </w:tcMar>
          </w:tcPr>
          <w:p>
            <w:r>
              <w:rPr>
                <w:b w:val="false"/>
                <w:bCs w:val="false"/>
                <w:sz w:val="18"/>
                <w:szCs w:val="18"/>
              </w:rPr>
              <w:t xml:space="preserve">BON_SORTIE_A_VALIDER</w:t>
            </w:r>
          </w:p>
        </w:tc>
      </w:tr>
      <w:tr>
        <w:tc>
          <w:tcPr>
            <w:tcW w:type="dxa" w:w="2400"/>
            <w:tcMar>
              <w:top w:type="dxa" w:w="60"/>
              <w:left w:type="dxa" w:w="80"/>
              <w:bottom w:type="dxa" w:w="60"/>
              <w:right w:type="dxa" w:w="80"/>
            </w:tcMar>
          </w:tcPr>
          <w:p>
            <w:r>
              <w:rPr>
                <w:b w:val="false"/>
                <w:bCs w:val="false"/>
                <w:sz w:val="18"/>
                <w:szCs w:val="18"/>
              </w:rPr>
              <w:t xml:space="preserve">Bon valide</w:t>
            </w:r>
          </w:p>
        </w:tc>
        <w:tc>
          <w:tcPr>
            <w:tcW w:type="dxa" w:w="4700"/>
            <w:tcMar>
              <w:top w:type="dxa" w:w="60"/>
              <w:left w:type="dxa" w:w="80"/>
              <w:bottom w:type="dxa" w:w="60"/>
              <w:right w:type="dxa" w:w="80"/>
            </w:tcMar>
          </w:tcPr>
          <w:p>
            <w:r>
              <w:rPr>
                <w:b w:val="false"/>
                <w:bCs w:val="false"/>
                <w:sz w:val="18"/>
                <w:szCs w:val="18"/>
              </w:rPr>
              <w:t xml:space="preserve">Createur + agent concerne</w:t>
            </w:r>
          </w:p>
        </w:tc>
        <w:tc>
          <w:tcPr>
            <w:tcW w:type="dxa" w:w="2200"/>
            <w:tcMar>
              <w:top w:type="dxa" w:w="60"/>
              <w:left w:type="dxa" w:w="80"/>
              <w:bottom w:type="dxa" w:w="60"/>
              <w:right w:type="dxa" w:w="80"/>
            </w:tcMar>
          </w:tcPr>
          <w:p>
            <w:r>
              <w:rPr>
                <w:b w:val="false"/>
                <w:bCs w:val="false"/>
                <w:sz w:val="18"/>
                <w:szCs w:val="18"/>
              </w:rPr>
              <w:t xml:space="preserve">BON_SORTIE_VALIDE</w:t>
            </w:r>
          </w:p>
        </w:tc>
      </w:tr>
      <w:tr>
        <w:tc>
          <w:tcPr>
            <w:tcW w:type="dxa" w:w="2400"/>
            <w:tcMar>
              <w:top w:type="dxa" w:w="60"/>
              <w:left w:type="dxa" w:w="80"/>
              <w:bottom w:type="dxa" w:w="60"/>
              <w:right w:type="dxa" w:w="80"/>
            </w:tcMar>
          </w:tcPr>
          <w:p>
            <w:r>
              <w:rPr>
                <w:b w:val="false"/>
                <w:bCs w:val="false"/>
                <w:sz w:val="18"/>
                <w:szCs w:val="18"/>
              </w:rPr>
              <w:t xml:space="preserve">Personne ajoutee a bord</w:t>
            </w:r>
          </w:p>
        </w:tc>
        <w:tc>
          <w:tcPr>
            <w:tcW w:type="dxa" w:w="4700"/>
            <w:tcMar>
              <w:top w:type="dxa" w:w="60"/>
              <w:left w:type="dxa" w:w="80"/>
              <w:bottom w:type="dxa" w:w="60"/>
              <w:right w:type="dxa" w:w="80"/>
            </w:tcMar>
          </w:tcPr>
          <w:p>
            <w:r>
              <w:rPr>
                <w:b w:val="false"/>
                <w:bCs w:val="false"/>
                <w:sz w:val="18"/>
                <w:szCs w:val="18"/>
              </w:rPr>
              <w:t xml:space="preserve">Agent ajoute</w:t>
            </w:r>
          </w:p>
        </w:tc>
        <w:tc>
          <w:tcPr>
            <w:tcW w:type="dxa" w:w="2200"/>
            <w:tcMar>
              <w:top w:type="dxa" w:w="60"/>
              <w:left w:type="dxa" w:w="80"/>
              <w:bottom w:type="dxa" w:w="60"/>
              <w:right w:type="dxa" w:w="80"/>
            </w:tcMar>
          </w:tcPr>
          <w:p>
            <w:r>
              <w:rPr>
                <w:b w:val="false"/>
                <w:bCs w:val="false"/>
                <w:sz w:val="18"/>
                <w:szCs w:val="18"/>
              </w:rPr>
              <w:t xml:space="preserve">PERSONNE_A_BORD_AJOUTEE</w:t>
            </w:r>
          </w:p>
        </w:tc>
      </w:tr>
      <w:tr>
        <w:tc>
          <w:tcPr>
            <w:tcW w:type="dxa" w:w="2400"/>
            <w:tcMar>
              <w:top w:type="dxa" w:w="60"/>
              <w:left w:type="dxa" w:w="80"/>
              <w:bottom w:type="dxa" w:w="60"/>
              <w:right w:type="dxa" w:w="80"/>
            </w:tcMar>
          </w:tcPr>
          <w:p>
            <w:r>
              <w:rPr>
                <w:b w:val="false"/>
                <w:bCs w:val="false"/>
                <w:sz w:val="18"/>
                <w:szCs w:val="18"/>
              </w:rPr>
              <w:t xml:space="preserve">Anomalie d'affectation</w:t>
            </w:r>
          </w:p>
        </w:tc>
        <w:tc>
          <w:tcPr>
            <w:tcW w:type="dxa" w:w="4700"/>
            <w:tcMar>
              <w:top w:type="dxa" w:w="60"/>
              <w:left w:type="dxa" w:w="80"/>
              <w:bottom w:type="dxa" w:w="60"/>
              <w:right w:type="dxa" w:w="80"/>
            </w:tcMar>
          </w:tcPr>
          <w:p>
            <w:r>
              <w:rPr>
                <w:b w:val="false"/>
                <w:bCs w:val="false"/>
                <w:sz w:val="18"/>
                <w:szCs w:val="18"/>
              </w:rPr>
              <w:t xml:space="preserve">Charge d'Affaires concerne du service</w:t>
            </w:r>
          </w:p>
        </w:tc>
        <w:tc>
          <w:tcPr>
            <w:tcW w:type="dxa" w:w="2200"/>
            <w:tcMar>
              <w:top w:type="dxa" w:w="60"/>
              <w:left w:type="dxa" w:w="80"/>
              <w:bottom w:type="dxa" w:w="60"/>
              <w:right w:type="dxa" w:w="80"/>
            </w:tcMar>
          </w:tcPr>
          <w:p>
            <w:r>
              <w:rPr>
                <w:b w:val="false"/>
                <w:bCs w:val="false"/>
                <w:sz w:val="18"/>
                <w:szCs w:val="18"/>
              </w:rPr>
              <w:t xml:space="preserve">ANOMALIE_AFFECTATION</w:t>
            </w:r>
          </w:p>
        </w:tc>
      </w:tr>
    </w:tbl>
    <w:p>
      <w:pPr>
        <w:spacing w:after="120"/>
      </w:pPr>
      <w:r>
        <w:t xml:space="preserve">Le ciblage des destinataires reutilise, sans le dupliquer, le meme mecanisme de requete d'habilitation deja etabli pour les notifications FIPH (HabilitationRepository, filtre role + service + actif) — satisfaisant l'exigence d'une source unique de verite pour « qui a le droit de voir/agir sur ceci » entre le Lot 1 (autorisation d'action) et le Lot 3 (ciblage de notification).</w:t>
      </w:r>
    </w:p>
    <w:p>
      <w:pPr>
        <w:pStyle w:val="Heading2"/>
        <w:spacing w:after="150" w:before="300"/>
      </w:pPr>
      <w:r>
        <w:t xml:space="preserve">4.3 Fonctionnalites minimales</w:t>
      </w:r>
    </w:p>
    <w:p>
      <w:pPr>
        <w:spacing w:after="120"/>
      </w:pPr>
      <w:r>
        <w:t xml:space="preserve">Compteur de non-lus, marquage lu/non-lu, lien profond vers l'entite, tri anti-chronologique, filtrage/pagination — toutes deja presentes dans le composant NotificationCenter existant et reutilisees telles quelles ; seule l'emission cote backend manquait.</w:t>
      </w:r>
    </w:p>
    <w:p>
      <w:pPr>
        <w:spacing w:after="60" w:before="150"/>
      </w:pPr>
      <w:r>
        <w:rPr>
          <w:b/>
          <w:bCs/>
          <w:color w:val="6A3EA1"/>
        </w:rPr>
        <w:t xml:space="preserve">Decision : </w:t>
      </w:r>
      <w:r>
        <w:rPr>
          <w:b/>
          <w:bCs/>
        </w:rPr>
        <w:t xml:space="preserve">Mecanisme de rafraichissement</w:t>
      </w:r>
    </w:p>
    <w:p>
      <w:pPr>
        <w:spacing w:after="60"/>
      </w:pPr>
      <w:r>
        <w:rPr>
          <w:b/>
          <w:bCs/>
        </w:rPr>
        <w:t xml:space="preserve">Choix retenu (utilisateur) : </w:t>
      </w:r>
      <w:r>
        <w:t xml:space="preserve">Polling toutes les 20 secondes (mecanisme deja en place pour les notifications FIPH, reconduit a l'identique).</w:t>
      </w:r>
    </w:p>
    <w:p>
      <w:pPr>
        <w:spacing w:after="150"/>
      </w:pPr>
      <w:r>
        <w:rPr>
          <w:b/>
          <w:bCs/>
        </w:rPr>
        <w:t xml:space="preserve">Justification : </w:t>
      </w:r>
      <w:r>
        <w:t xml:space="preserve">Aucune infrastructure WebSocket/SSE n'existe dans l'architecture actuelle ; introduire un canal temps reel pour ce seul module aurait constitue une dette d'infrastructure disproportionnee par rapport au besoin (delai de 20 s largement suffisant pour un workflow de validation manuelle, non temps-reel critique). Reconduire le mecanisme existant evite aussi une divergence de comportement entre notifications FIPH et Bon de Sortie.</w:t>
      </w:r>
    </w:p>
    <w:p>
      <w:pPr>
        <w:pStyle w:val="Heading2"/>
        <w:spacing w:after="150" w:before="300"/>
      </w:pPr>
      <w:r>
        <w:t xml:space="preserve">4.4 Verification anti-fuite</w:t>
      </w:r>
    </w:p>
    <w:p>
      <w:pPr>
        <w:spacing w:after="120"/>
      </w:pPr>
      <w:r>
        <w:t xml:space="preserve">Verification directe en base (jointures SQL) sur un cas apparemment suspect (bon #10, quatre destinataires aux noms d'utilisateur evoquant des services differents) : confirme non-bug — les quatre destinataires detiennent chacun une habilitation active reelle CHARGE_AFFAIRES/PERSONNE_HABILITEE sur le service reel du bon (Telecom), les noms d'utilisateur (ex. ca.mbarga) etant un artefact de nommage herite de tests anterieurs, sans rapport avec le service effectivement habilite. Aucune fuite cross-service constatee ; filtrage entierement cote serveur.</w:t>
      </w:r>
    </w:p>
    <w:p>
      <w:pPr>
        <w:pStyle w:val="Heading1"/>
        <w:spacing w:after="200" w:before="400"/>
      </w:pPr>
      <w:r>
        <w:t xml:space="preserve">5. Lot 4 — Selection des personnes a bord</w:t>
      </w:r>
    </w:p>
    <w:p>
      <w:pPr>
        <w:pStyle w:val="Heading2"/>
        <w:spacing w:after="150" w:before="300"/>
      </w:pPr>
      <w:r>
        <w:t xml:space="preserve">5.1 Nouveau endpoint et prevention IDOR</w:t>
      </w:r>
    </w:p>
    <w:p>
      <w:pPr>
        <w:spacing w:after="120"/>
      </w:pPr>
      <w:r>
        <w:t xml:space="preserve">GET /api/bons-sortie/{id}/agents-eligibles calcule le perimetre service exclusivement cote serveur, a partir de l'habilitation de l'utilisateur authentifie (principal.getAgent().getService()) — aucun serviceId n'est jamais accepte en parametre client. Verifie en direct par un appel curl authentifie en tant que Charge d'Affaires d'un autre service : reponse 403, comme attendu, en plus d'un test d'integration dedie.</w:t>
      </w:r>
    </w:p>
    <w:p>
      <w:pPr>
        <w:pStyle w:val="Heading2"/>
        <w:spacing w:after="150" w:before="300"/>
      </w:pPr>
      <w:r>
        <w:t xml:space="preserve">5.2 Regles d'eligibilite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1F3864" w:val="clear"/>
            <w:tcMar>
              <w:top w:type="dxa" w:w="60"/>
              <w:left w:type="dxa" w:w="80"/>
              <w:bottom w:type="dxa" w:w="60"/>
              <w:right w:type="dxa" w:w="80"/>
            </w:tcMar>
          </w:tcPr>
          <w:p>
            <w:r>
              <w:rPr>
                <w:b/>
                <w:bCs/>
                <w:color w:val="FFFFFF"/>
                <w:sz w:val="18"/>
                <w:szCs w:val="18"/>
              </w:rPr>
              <w:t xml:space="preserve">Regle</w:t>
            </w:r>
          </w:p>
        </w:tc>
        <w:tc>
          <w:tcPr>
            <w:tcW w:type="dxa" w:w="4800"/>
            <w:shd w:fill="1F3864" w:val="clear"/>
            <w:tcMar>
              <w:top w:type="dxa" w:w="60"/>
              <w:left w:type="dxa" w:w="80"/>
              <w:bottom w:type="dxa" w:w="60"/>
              <w:right w:type="dxa" w:w="80"/>
            </w:tcMar>
          </w:tcPr>
          <w:p>
            <w:r>
              <w:rPr>
                <w:b/>
                <w:bCs/>
                <w:color w:val="FFFFFF"/>
                <w:sz w:val="18"/>
                <w:szCs w:val="18"/>
              </w:rPr>
              <w:t xml:space="preserve">Effet</w:t>
            </w:r>
          </w:p>
        </w:tc>
      </w:tr>
      <w:tr>
        <w:tc>
          <w:tcPr>
            <w:tcW w:type="dxa" w:w="4500"/>
            <w:tcMar>
              <w:top w:type="dxa" w:w="60"/>
              <w:left w:type="dxa" w:w="80"/>
              <w:bottom w:type="dxa" w:w="60"/>
              <w:right w:type="dxa" w:w="80"/>
            </w:tcMar>
          </w:tcPr>
          <w:p>
            <w:r>
              <w:rPr>
                <w:b w:val="false"/>
                <w:bCs w:val="false"/>
                <w:sz w:val="18"/>
                <w:szCs w:val="18"/>
              </w:rPr>
              <w:t xml:space="preserve">Deja a bord du meme bon</w:t>
            </w:r>
          </w:p>
        </w:tc>
        <w:tc>
          <w:tcPr>
            <w:tcW w:type="dxa" w:w="4800"/>
            <w:tcMar>
              <w:top w:type="dxa" w:w="60"/>
              <w:left w:type="dxa" w:w="80"/>
              <w:bottom w:type="dxa" w:w="60"/>
              <w:right w:type="dxa" w:w="80"/>
            </w:tcMar>
          </w:tcPr>
          <w:p>
            <w:r>
              <w:rPr>
                <w:b w:val="false"/>
                <w:bCs w:val="false"/>
                <w:sz w:val="18"/>
                <w:szCs w:val="18"/>
              </w:rPr>
              <w:t xml:space="preserve">Exclu de la liste</w:t>
            </w:r>
          </w:p>
        </w:tc>
      </w:tr>
      <w:tr>
        <w:tc>
          <w:tcPr>
            <w:tcW w:type="dxa" w:w="4500"/>
            <w:tcMar>
              <w:top w:type="dxa" w:w="60"/>
              <w:left w:type="dxa" w:w="80"/>
              <w:bottom w:type="dxa" w:w="60"/>
              <w:right w:type="dxa" w:w="80"/>
            </w:tcMar>
          </w:tcPr>
          <w:p>
            <w:r>
              <w:rPr>
                <w:b w:val="false"/>
                <w:bCs w:val="false"/>
                <w:sz w:val="18"/>
                <w:szCs w:val="18"/>
              </w:rPr>
              <w:t xml:space="preserve">Agent titulaire du bon principal</w:t>
            </w:r>
          </w:p>
        </w:tc>
        <w:tc>
          <w:tcPr>
            <w:tcW w:type="dxa" w:w="4800"/>
            <w:tcMar>
              <w:top w:type="dxa" w:w="60"/>
              <w:left w:type="dxa" w:w="80"/>
              <w:bottom w:type="dxa" w:w="60"/>
              <w:right w:type="dxa" w:w="80"/>
            </w:tcMar>
          </w:tcPr>
          <w:p>
            <w:r>
              <w:rPr>
                <w:b w:val="false"/>
                <w:bCs w:val="false"/>
                <w:sz w:val="18"/>
                <w:szCs w:val="18"/>
              </w:rPr>
              <w:t xml:space="preserve">Exclu de la liste</w:t>
            </w:r>
          </w:p>
        </w:tc>
      </w:tr>
      <w:tr>
        <w:tc>
          <w:tcPr>
            <w:tcW w:type="dxa" w:w="4500"/>
            <w:tcMar>
              <w:top w:type="dxa" w:w="60"/>
              <w:left w:type="dxa" w:w="80"/>
              <w:bottom w:type="dxa" w:w="60"/>
              <w:right w:type="dxa" w:w="80"/>
            </w:tcMar>
          </w:tcPr>
          <w:p>
            <w:r>
              <w:rPr>
                <w:b w:val="false"/>
                <w:bCs w:val="false"/>
                <w:sz w:val="18"/>
                <w:szCs w:val="18"/>
              </w:rPr>
              <w:t xml:space="preserve">Compte desactive (DESACTIVE)</w:t>
            </w:r>
          </w:p>
        </w:tc>
        <w:tc>
          <w:tcPr>
            <w:tcW w:type="dxa" w:w="4800"/>
            <w:tcMar>
              <w:top w:type="dxa" w:w="60"/>
              <w:left w:type="dxa" w:w="80"/>
              <w:bottom w:type="dxa" w:w="60"/>
              <w:right w:type="dxa" w:w="80"/>
            </w:tcMar>
          </w:tcPr>
          <w:p>
            <w:r>
              <w:rPr>
                <w:b w:val="false"/>
                <w:bCs w:val="false"/>
                <w:sz w:val="18"/>
                <w:szCs w:val="18"/>
              </w:rPr>
              <w:t xml:space="preserve">Exclu de la liste</w:t>
            </w:r>
          </w:p>
        </w:tc>
      </w:tr>
      <w:tr>
        <w:tc>
          <w:tcPr>
            <w:tcW w:type="dxa" w:w="4500"/>
            <w:tcMar>
              <w:top w:type="dxa" w:w="60"/>
              <w:left w:type="dxa" w:w="80"/>
              <w:bottom w:type="dxa" w:w="60"/>
              <w:right w:type="dxa" w:w="80"/>
            </w:tcMar>
          </w:tcPr>
          <w:p>
            <w:r>
              <w:rPr>
                <w:b w:val="false"/>
                <w:bCs w:val="false"/>
                <w:sz w:val="18"/>
                <w:szCs w:val="18"/>
              </w:rPr>
              <w:t xml:space="preserve">Deja affecte sur un autre bon au meme creneau (titulaire ou passager actif)</w:t>
            </w:r>
          </w:p>
        </w:tc>
        <w:tc>
          <w:tcPr>
            <w:tcW w:type="dxa" w:w="4800"/>
            <w:tcMar>
              <w:top w:type="dxa" w:w="60"/>
              <w:left w:type="dxa" w:w="80"/>
              <w:bottom w:type="dxa" w:w="60"/>
              <w:right w:type="dxa" w:w="80"/>
            </w:tcMar>
          </w:tcPr>
          <w:p>
            <w:r>
              <w:rPr>
                <w:b w:val="false"/>
                <w:bCs w:val="false"/>
                <w:sz w:val="18"/>
                <w:szCs w:val="18"/>
              </w:rPr>
              <w:t xml:space="preserve">Signale (dejaAffecteMemeCreneau=true) mais non bloquant — visible en interface, choix laisse a l'utilisateur</w:t>
            </w:r>
          </w:p>
        </w:tc>
      </w:tr>
    </w:tbl>
    <w:p>
      <w:pPr>
        <w:pStyle w:val="Heading2"/>
        <w:spacing w:after="150" w:before="300"/>
      </w:pPr>
      <w:r>
        <w:t xml:space="preserve">5.3 Interface et ajout en lot</w:t>
      </w:r>
    </w:p>
    <w:p>
      <w:pPr>
        <w:spacing w:after="120"/>
      </w:pPr>
      <w:r>
        <w:t xml:space="preserve">Tableau a cases a cocher remplacant l'ancienne saisie d'identifiant : recherche par nom/matricule, tri, « tout selectionner » limite au sous-ensemble filtre, compteur de selection, bouton d'ajout desactive tant que la selection est vide. L'ajout est realise en un seul appel transactionnel et idempotent (POST .../personnes-a-bord/lot) : les identifiants deja associes sont silencieusement ignores plutot que de provoquer une erreur, rejouer la meme requete est donc un no-op. La contrainte d'unicite base de donnees deja existante (bon_sortie_principal_id, agent_id) reste le garde-fou ultime contre une eventuelle course.</w:t>
      </w:r>
    </w:p>
    <w:p>
      <w:pPr>
        <w:spacing w:after="120"/>
      </w:pPr>
      <w:r>
        <w:t xml:space="preserve">Etats geres : chargement, liste vide (« aucune personne du service n'est disponible »), erreur avec bouton Reessayer, succes avec rafraichissement automatique du tableau des personnes a bord. Accessibilite : chaque case a coche porte un aria-label nominatif (« Selectionner {nom} »), le champ de recherche et le bouton « tout selectionner » sont egalement labellises, navigation clavier complete.</w:t>
      </w:r>
    </w:p>
    <w:p>
      <w:pPr>
        <w:pStyle w:val="Heading2"/>
        <w:spacing w:after="150" w:before="300"/>
      </w:pPr>
      <w:r>
        <w:t xml:space="preserve">5.4 Retrait d'une personne a bord</w:t>
      </w:r>
    </w:p>
    <w:p>
      <w:pPr>
        <w:spacing w:after="120"/>
      </w:pPr>
      <w:r>
        <w:t xml:space="preserve">Fonctionnalite absente avant ce lot : ajoutee (bouton Retirer, meme regle d'autorisation que l'ajout — createur du bon principal), l'association passe de ACTIVE a RETIREE sans suppression physique de la ligne (tracabilite conservee).</w:t>
      </w:r>
    </w:p>
    <w:p>
      <w:pPr>
        <w:pStyle w:val="Heading2"/>
        <w:spacing w:after="150" w:before="300"/>
      </w:pPr>
      <w:r>
        <w:t xml:space="preserve">5.5 Colonne « Bon individuel : en cours de generation »</w:t>
      </w:r>
    </w:p>
    <w:p>
      <w:pPr>
        <w:spacing w:after="120"/>
      </w:pPr>
      <w:r>
        <w:t xml:space="preserve">Confirmee comme un veritable etat bloque de maniere permanente dans certains cas (voir 3.5), non un delai d'attente asynchrone legitime comme le libelle le laissait supposer. Avec le correctif du Lot 2, la generation se termine toujours (avec ou sans affectation resolue) ; le libelle a ete corrige pour distinguer « generee a la validation du bon principal » (cas normal, en attente) de « non generee — signale, voir avertissement ci-dessus » (cas desormais impossible en pratique depuis le correctif, conserve en filet de securite defensif).</w:t>
      </w:r>
    </w:p>
    <w:p>
      <w:pPr>
        <w:pStyle w:val="Heading1"/>
        <w:spacing w:after="200" w:before="400"/>
      </w:pPr>
      <w:r>
        <w:t xml:space="preserve">6. Synthese des decisions metier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400"/>
      </w:tblGrid>
      <w:tr>
        <w:trPr>
          <w:tblHeader/>
        </w:trPr>
        <w:tc>
          <w:tcPr>
            <w:tcW w:type="dxa" w:w="2700"/>
            <w:shd w:fill="1F3864" w:val="clear"/>
            <w:tcMar>
              <w:top w:type="dxa" w:w="60"/>
              <w:left w:type="dxa" w:w="80"/>
              <w:bottom w:type="dxa" w:w="60"/>
              <w:right w:type="dxa" w:w="80"/>
            </w:tcMar>
          </w:tcPr>
          <w:p>
            <w:r>
              <w:rPr>
                <w:b/>
                <w:bCs/>
                <w:color w:val="FFFFFF"/>
                <w:sz w:val="18"/>
                <w:szCs w:val="18"/>
              </w:rPr>
              <w:t xml:space="preserve">Decision</w:t>
            </w:r>
          </w:p>
        </w:tc>
        <w:tc>
          <w:tcPr>
            <w:tcW w:type="dxa" w:w="2400"/>
            <w:shd w:fill="1F3864" w:val="clear"/>
            <w:tcMar>
              <w:top w:type="dxa" w:w="60"/>
              <w:left w:type="dxa" w:w="80"/>
              <w:bottom w:type="dxa" w:w="60"/>
              <w:right w:type="dxa" w:w="80"/>
            </w:tcMar>
          </w:tcPr>
          <w:p>
            <w:r>
              <w:rPr>
                <w:b/>
                <w:bCs/>
                <w:color w:val="FFFFFF"/>
                <w:sz w:val="18"/>
                <w:szCs w:val="18"/>
              </w:rPr>
              <w:t xml:space="preserve">Choix retenu</w:t>
            </w:r>
          </w:p>
        </w:tc>
        <w:tc>
          <w:tcPr>
            <w:tcW w:type="dxa" w:w="4400"/>
            <w:shd w:fill="1F3864" w:val="clear"/>
            <w:tcMar>
              <w:top w:type="dxa" w:w="60"/>
              <w:left w:type="dxa" w:w="80"/>
              <w:bottom w:type="dxa" w:w="60"/>
              <w:right w:type="dxa" w:w="80"/>
            </w:tcMar>
          </w:tcPr>
          <w:p>
            <w:r>
              <w:rPr>
                <w:b/>
                <w:bCs/>
                <w:color w:val="FFFFFF"/>
                <w:sz w:val="18"/>
                <w:szCs w:val="18"/>
              </w:rPr>
              <w:t xml:space="preserve">Justification (une ligne)</w:t>
            </w:r>
          </w:p>
        </w:tc>
      </w:tr>
      <w:tr>
        <w:tc>
          <w:tcPr>
            <w:tcW w:type="dxa" w:w="2700"/>
            <w:tcMar>
              <w:top w:type="dxa" w:w="60"/>
              <w:left w:type="dxa" w:w="80"/>
              <w:bottom w:type="dxa" w:w="60"/>
              <w:right w:type="dxa" w:w="80"/>
            </w:tcMar>
          </w:tcPr>
          <w:p>
            <w:r>
              <w:rPr>
                <w:b w:val="false"/>
                <w:bCs w:val="false"/>
                <w:sz w:val="18"/>
                <w:szCs w:val="18"/>
              </w:rPr>
              <w:t xml:space="preserve">Auto-validation par le viseur</w:t>
            </w:r>
          </w:p>
        </w:tc>
        <w:tc>
          <w:tcPr>
            <w:tcW w:type="dxa" w:w="2400"/>
            <w:tcMar>
              <w:top w:type="dxa" w:w="60"/>
              <w:left w:type="dxa" w:w="80"/>
              <w:bottom w:type="dxa" w:w="60"/>
              <w:right w:type="dxa" w:w="80"/>
            </w:tcMar>
          </w:tcPr>
          <w:p>
            <w:r>
              <w:rPr>
                <w:b w:val="false"/>
                <w:bCs w:val="false"/>
                <w:sz w:val="18"/>
                <w:szCs w:val="18"/>
              </w:rPr>
              <w:t xml:space="preserve">Autorisee</w:t>
            </w:r>
          </w:p>
        </w:tc>
        <w:tc>
          <w:tcPr>
            <w:tcW w:type="dxa" w:w="4400"/>
            <w:tcMar>
              <w:top w:type="dxa" w:w="60"/>
              <w:left w:type="dxa" w:w="80"/>
              <w:bottom w:type="dxa" w:w="60"/>
              <w:right w:type="dxa" w:w="80"/>
            </w:tcMar>
          </w:tcPr>
          <w:p>
            <w:r>
              <w:rPr>
                <w:b w:val="false"/>
                <w:bCs w:val="false"/>
                <w:sz w:val="18"/>
                <w:szCs w:val="18"/>
              </w:rPr>
              <w:t xml:space="preserve">Fluidite operationnelle privilegiee ; pas d'exigence reglementaire de separation stricte des taches identifiee</w:t>
            </w:r>
          </w:p>
        </w:tc>
      </w:tr>
      <w:tr>
        <w:tc>
          <w:tcPr>
            <w:tcW w:type="dxa" w:w="2700"/>
            <w:tcMar>
              <w:top w:type="dxa" w:w="60"/>
              <w:left w:type="dxa" w:w="80"/>
              <w:bottom w:type="dxa" w:w="60"/>
              <w:right w:type="dxa" w:w="80"/>
            </w:tcMar>
          </w:tcPr>
          <w:p>
            <w:r>
              <w:rPr>
                <w:b w:val="false"/>
                <w:bCs w:val="false"/>
                <w:sz w:val="18"/>
                <w:szCs w:val="18"/>
              </w:rPr>
              <w:t xml:space="preserve">Affectation manquante</w:t>
            </w:r>
          </w:p>
        </w:tc>
        <w:tc>
          <w:tcPr>
            <w:tcW w:type="dxa" w:w="2400"/>
            <w:tcMar>
              <w:top w:type="dxa" w:w="60"/>
              <w:left w:type="dxa" w:w="80"/>
              <w:bottom w:type="dxa" w:w="60"/>
              <w:right w:type="dxa" w:w="80"/>
            </w:tcMar>
          </w:tcPr>
          <w:p>
            <w:r>
              <w:rPr>
                <w:b w:val="false"/>
                <w:bCs w:val="false"/>
                <w:sz w:val="18"/>
                <w:szCs w:val="18"/>
              </w:rPr>
              <w:t xml:space="preserve">Avertissement, non bloquant</w:t>
            </w:r>
          </w:p>
        </w:tc>
        <w:tc>
          <w:tcPr>
            <w:tcW w:type="dxa" w:w="4400"/>
            <w:tcMar>
              <w:top w:type="dxa" w:w="60"/>
              <w:left w:type="dxa" w:w="80"/>
              <w:bottom w:type="dxa" w:w="60"/>
              <w:right w:type="dxa" w:w="80"/>
            </w:tcMar>
          </w:tcPr>
          <w:p>
            <w:r>
              <w:rPr>
                <w:b w:val="false"/>
                <w:bCs w:val="false"/>
                <w:sz w:val="18"/>
                <w:szCs w:val="18"/>
              </w:rPr>
              <w:t xml:space="preserve">Un ecart de donnees ne doit pas empecher une validation par ailleurs legitime ; le signalement actionnable suffit</w:t>
            </w:r>
          </w:p>
        </w:tc>
      </w:tr>
      <w:tr>
        <w:tc>
          <w:tcPr>
            <w:tcW w:type="dxa" w:w="2700"/>
            <w:tcMar>
              <w:top w:type="dxa" w:w="60"/>
              <w:left w:type="dxa" w:w="80"/>
              <w:bottom w:type="dxa" w:w="60"/>
              <w:right w:type="dxa" w:w="80"/>
            </w:tcMar>
          </w:tcPr>
          <w:p>
            <w:r>
              <w:rPr>
                <w:b w:val="false"/>
                <w:bCs w:val="false"/>
                <w:sz w:val="18"/>
                <w:szCs w:val="18"/>
              </w:rPr>
              <w:t xml:space="preserve">Rafraichissement notifications</w:t>
            </w:r>
          </w:p>
        </w:tc>
        <w:tc>
          <w:tcPr>
            <w:tcW w:type="dxa" w:w="2400"/>
            <w:tcMar>
              <w:top w:type="dxa" w:w="60"/>
              <w:left w:type="dxa" w:w="80"/>
              <w:bottom w:type="dxa" w:w="60"/>
              <w:right w:type="dxa" w:w="80"/>
            </w:tcMar>
          </w:tcPr>
          <w:p>
            <w:r>
              <w:rPr>
                <w:b w:val="false"/>
                <w:bCs w:val="false"/>
                <w:sz w:val="18"/>
                <w:szCs w:val="18"/>
              </w:rPr>
              <w:t xml:space="preserve">Polling 20 s (existant, reconduit)</w:t>
            </w:r>
          </w:p>
        </w:tc>
        <w:tc>
          <w:tcPr>
            <w:tcW w:type="dxa" w:w="4400"/>
            <w:tcMar>
              <w:top w:type="dxa" w:w="60"/>
              <w:left w:type="dxa" w:w="80"/>
              <w:bottom w:type="dxa" w:w="60"/>
              <w:right w:type="dxa" w:w="80"/>
            </w:tcMar>
          </w:tcPr>
          <w:p>
            <w:r>
              <w:rPr>
                <w:b w:val="false"/>
                <w:bCs w:val="false"/>
                <w:sz w:val="18"/>
                <w:szCs w:val="18"/>
              </w:rPr>
              <w:t xml:space="preserve">Coherence avec le module FIPH ; pas de besoin temps-reel avere justifiant une nouvelle infrastructure</w:t>
            </w:r>
          </w:p>
        </w:tc>
      </w:tr>
    </w:tbl>
    <w:p>
      <w:pPr>
        <w:pStyle w:val="Heading1"/>
        <w:spacing w:after="200" w:before="400"/>
      </w:pPr>
      <w:r>
        <w:t xml:space="preserve">7. Points d'attention residuels</w:t>
      </w:r>
    </w:p>
    <w:p>
      <w:pPr>
        <w:pStyle w:val="ListParagraph"/>
        <w:numPr>
          <w:ilvl w:val="0"/>
          <w:numId w:val="1"/>
        </w:numPr>
        <w:spacing w:after="80"/>
      </w:pPr>
      <w:r>
        <w:t xml:space="preserve">Regroupement pragmatique en 2 commits fonctionnels (Lots 1-3, puis Lot 4) plutot que 4 commits strictement isoles par lot : les appels aux nouvelles methodes de NotificationService (Lot 3) sont necessaires a la compilation des correctifs de validation (Lots 1-2), rendant une separation atomique par lot impossible sans compilation intermediaire cassee.</w:t>
      </w:r>
    </w:p>
    <w:p>
      <w:pPr>
        <w:pStyle w:val="ListParagraph"/>
        <w:numPr>
          <w:ilvl w:val="0"/>
          <w:numId w:val="1"/>
        </w:numPr>
        <w:spacing w:after="80"/>
      </w:pPr>
      <w:r>
        <w:t xml:space="preserve">L'audit de la matrice de transitions n'a pu couvrir annuler/cloturer : ces actions n'ont pas d'endpoint dans le code actuel (le Bon de Sortie ne connait que BROUILLON/VISE/VALIDE). A confirmer si ces transitions sont attendues a court terme ou hors perimetre metier definitif.</w:t>
      </w:r>
    </w:p>
    <w:p>
      <w:pPr>
        <w:pStyle w:val="ListParagraph"/>
        <w:numPr>
          <w:ilvl w:val="0"/>
          <w:numId w:val="1"/>
        </w:numPr>
        <w:spacing w:after="80"/>
      </w:pPr>
      <w:r>
        <w:t xml:space="preserve">Le libelle « non generee — signale » reste affiche en filet de securite defensif meme si, avec le correctif, ce cas ne devrait plus survenir en pratique une fois toutes les affectations manquantes resolues progressivement en base.</w:t>
      </w:r>
    </w:p>
    <w:p>
      <w:pPr>
        <w:pStyle w:val="ListParagraph"/>
        <w:numPr>
          <w:ilvl w:val="0"/>
          <w:numId w:val="1"/>
        </w:numPr>
        <w:spacing w:after="80"/>
      </w:pPr>
      <w:r>
        <w:t xml:space="preserve">Risque de regression a surveiller : toute nouvelle regle metier future qui reintroduirait un blocage sur affectation manquante devra egalement revisiter le fallback service/affectation dans fiph_pointage (contrainte CHECK), sous peine de resusciter le risque de violation d'integrite decrit en 3.4.</w:t>
      </w:r>
    </w:p>
    <w:p>
      <w:pPr>
        <w:pStyle w:val="ListParagraph"/>
        <w:numPr>
          <w:ilvl w:val="0"/>
          <w:numId w:val="1"/>
        </w:numPr>
        <w:spacing w:after="80"/>
      </w:pPr>
      <w:r>
        <w:t xml:space="preserve">Reste a valider fonctionnellement par un utilisateur metier reel (au-dela des tests automatises et de la verification technique menee) : l'ergonomie du tableau de selection des personnes a bord sur un service comptant un grand nombre d'agents (pagination/virtualisation non stress-testee au-dela des jeux de donnees de developpement).</w:t>
      </w:r>
    </w:p>
    <w:p>
      <w:pPr>
        <w:pStyle w:val="ListParagraph"/>
        <w:numPr>
          <w:ilvl w:val="0"/>
          <w:numId w:val="1"/>
        </w:numPr>
        <w:spacing w:after="80"/>
      </w:pPr>
      <w:r>
        <w:t xml:space="preserve">Le correctif independant du fichier backend/pom.xml (propriete lombok.version manquante, cassant la generation de code Lombok) a ete traite separement suite a un signalement direct de l'utilisateur pendant ce lot de travail ; sans lien fonctionnel avec les 4 lots mais committe et pousse dans la meme session (commit 66763dd).</w:t>
      </w:r>
    </w:p>
    <w:p>
      <w:pPr>
        <w:pStyle w:val="Heading1"/>
        <w:spacing w:after="200" w:before="400"/>
      </w:pPr>
      <w:r>
        <w:t xml:space="preserve">8. Commits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rPr>
          <w:tblHeader/>
        </w:trPr>
        <w:tc>
          <w:tcPr>
            <w:tcW w:type="dxa" w:w="1600"/>
            <w:shd w:fill="1F3864" w:val="clear"/>
            <w:tcMar>
              <w:top w:type="dxa" w:w="60"/>
              <w:left w:type="dxa" w:w="80"/>
              <w:bottom w:type="dxa" w:w="60"/>
              <w:right w:type="dxa" w:w="80"/>
            </w:tcMar>
          </w:tcPr>
          <w:p>
            <w:r>
              <w:rPr>
                <w:b/>
                <w:bCs/>
                <w:color w:val="FFFFFF"/>
                <w:sz w:val="18"/>
                <w:szCs w:val="18"/>
              </w:rPr>
              <w:t xml:space="preserve">Hash</w:t>
            </w:r>
          </w:p>
        </w:tc>
        <w:tc>
          <w:tcPr>
            <w:tcW w:type="dxa" w:w="7500"/>
            <w:shd w:fill="1F3864" w:val="clear"/>
            <w:tcMar>
              <w:top w:type="dxa" w:w="60"/>
              <w:left w:type="dxa" w:w="80"/>
              <w:bottom w:type="dxa" w:w="60"/>
              <w:right w:type="dxa" w:w="80"/>
            </w:tcMar>
          </w:tcPr>
          <w:p>
            <w:r>
              <w:rPr>
                <w:b/>
                <w:bCs/>
                <w:color w:val="FFFFFF"/>
                <w:sz w:val="18"/>
                <w:szCs w:val="18"/>
              </w:rPr>
              <w:t xml:space="preserve">Objet</w:t>
            </w:r>
          </w:p>
        </w:tc>
      </w:tr>
      <w:tr>
        <w:tc>
          <w:tcPr>
            <w:tcW w:type="dxa" w:w="1600"/>
            <w:tcMar>
              <w:top w:type="dxa" w:w="60"/>
              <w:left w:type="dxa" w:w="80"/>
              <w:bottom w:type="dxa" w:w="60"/>
              <w:right w:type="dxa" w:w="80"/>
            </w:tcMar>
          </w:tcPr>
          <w:p>
            <w:r>
              <w:rPr>
                <w:b w:val="false"/>
                <w:bCs w:val="false"/>
                <w:sz w:val="18"/>
                <w:szCs w:val="18"/>
              </w:rPr>
              <w:t xml:space="preserve">4991c01</w:t>
            </w:r>
          </w:p>
        </w:tc>
        <w:tc>
          <w:tcPr>
            <w:tcW w:type="dxa" w:w="7500"/>
            <w:tcMar>
              <w:top w:type="dxa" w:w="60"/>
              <w:left w:type="dxa" w:w="80"/>
              <w:bottom w:type="dxa" w:w="60"/>
              <w:right w:type="dxa" w:w="80"/>
            </w:tcMar>
          </w:tcPr>
          <w:p>
            <w:r>
              <w:rPr>
                <w:b w:val="false"/>
                <w:bCs w:val="false"/>
                <w:sz w:val="18"/>
                <w:szCs w:val="18"/>
              </w:rPr>
              <w:t xml:space="preserve">fix: bon de sortie no longer blocks validation on missing affectation, notifications wired throughout (Lots 1-3)</w:t>
            </w:r>
          </w:p>
        </w:tc>
      </w:tr>
      <w:tr>
        <w:tc>
          <w:tcPr>
            <w:tcW w:type="dxa" w:w="1600"/>
            <w:tcMar>
              <w:top w:type="dxa" w:w="60"/>
              <w:left w:type="dxa" w:w="80"/>
              <w:bottom w:type="dxa" w:w="60"/>
              <w:right w:type="dxa" w:w="80"/>
            </w:tcMar>
          </w:tcPr>
          <w:p>
            <w:r>
              <w:rPr>
                <w:b w:val="false"/>
                <w:bCs w:val="false"/>
                <w:sz w:val="18"/>
                <w:szCs w:val="18"/>
              </w:rPr>
              <w:t xml:space="preserve">a1a990a</w:t>
            </w:r>
          </w:p>
        </w:tc>
        <w:tc>
          <w:tcPr>
            <w:tcW w:type="dxa" w:w="7500"/>
            <w:tcMar>
              <w:top w:type="dxa" w:w="60"/>
              <w:left w:type="dxa" w:w="80"/>
              <w:bottom w:type="dxa" w:w="60"/>
              <w:right w:type="dxa" w:w="80"/>
            </w:tcMar>
          </w:tcPr>
          <w:p>
            <w:r>
              <w:rPr>
                <w:b w:val="false"/>
                <w:bCs w:val="false"/>
                <w:sz w:val="18"/>
                <w:szCs w:val="18"/>
              </w:rPr>
              <w:t xml:space="preserve">feat: remplace la saisie d'identifiant par une selection multiple des personnes a bord (Lot 4)</w:t>
            </w:r>
          </w:p>
        </w:tc>
      </w:tr>
      <w:tr>
        <w:tc>
          <w:tcPr>
            <w:tcW w:type="dxa" w:w="1600"/>
            <w:tcMar>
              <w:top w:type="dxa" w:w="60"/>
              <w:left w:type="dxa" w:w="80"/>
              <w:bottom w:type="dxa" w:w="60"/>
              <w:right w:type="dxa" w:w="80"/>
            </w:tcMar>
          </w:tcPr>
          <w:p>
            <w:r>
              <w:rPr>
                <w:b w:val="false"/>
                <w:bCs w:val="false"/>
                <w:sz w:val="18"/>
                <w:szCs w:val="18"/>
              </w:rPr>
              <w:t xml:space="preserve">66763dd</w:t>
            </w:r>
          </w:p>
        </w:tc>
        <w:tc>
          <w:tcPr>
            <w:tcW w:type="dxa" w:w="7500"/>
            <w:tcMar>
              <w:top w:type="dxa" w:w="60"/>
              <w:left w:type="dxa" w:w="80"/>
              <w:bottom w:type="dxa" w:w="60"/>
              <w:right w:type="dxa" w:w="80"/>
            </w:tcMar>
          </w:tcPr>
          <w:p>
            <w:r>
              <w:rPr>
                <w:b w:val="false"/>
                <w:bCs w:val="false"/>
                <w:sz w:val="18"/>
                <w:szCs w:val="18"/>
              </w:rPr>
              <w:t xml:space="preserve">fix: propriete lombok.version manquante empechait la generation Lombok</w:t>
            </w:r>
          </w:p>
        </w:tc>
      </w:tr>
      <w:tr>
        <w:tc>
          <w:tcPr>
            <w:tcW w:type="dxa" w:w="1600"/>
            <w:tcMar>
              <w:top w:type="dxa" w:w="60"/>
              <w:left w:type="dxa" w:w="80"/>
              <w:bottom w:type="dxa" w:w="60"/>
              <w:right w:type="dxa" w:w="80"/>
            </w:tcMar>
          </w:tcPr>
          <w:p>
            <w:r>
              <w:rPr>
                <w:b w:val="false"/>
                <w:bCs w:val="false"/>
                <w:sz w:val="18"/>
                <w:szCs w:val="18"/>
              </w:rPr>
              <w:t xml:space="preserve">c775c0a</w:t>
            </w:r>
          </w:p>
        </w:tc>
        <w:tc>
          <w:tcPr>
            <w:tcW w:type="dxa" w:w="7500"/>
            <w:tcMar>
              <w:top w:type="dxa" w:w="60"/>
              <w:left w:type="dxa" w:w="80"/>
              <w:bottom w:type="dxa" w:w="60"/>
              <w:right w:type="dxa" w:w="80"/>
            </w:tcMar>
          </w:tcPr>
          <w:p>
            <w:r>
              <w:rPr>
                <w:b w:val="false"/>
                <w:bCs w:val="false"/>
                <w:sz w:val="18"/>
                <w:szCs w:val="18"/>
              </w:rPr>
              <w:t xml:space="preserve">test: couverture des lots 1 a 4</w:t>
            </w:r>
          </w:p>
        </w:tc>
      </w:tr>
    </w:tbl>
    <w:p>
      <w:pPr>
        <w:pStyle w:val="Heading1"/>
        <w:spacing w:after="200" w:before="400"/>
      </w:pPr>
      <w:r>
        <w:t xml:space="preserve">9. Tests</w:t>
      </w:r>
    </w:p>
    <w:p>
      <w:pPr>
        <w:spacing w:after="120"/>
      </w:pPr>
      <w:r>
        <w:rPr>
          <w:b/>
          <w:bCs/>
        </w:rPr>
        <w:t xml:space="preserve">Backend : </w:t>
      </w:r>
      <w:r>
        <w:t xml:space="preserve">55/55 tests existants toujours au vert + EvolutionWorkflowBonSortieIT (7/7) : auto-validation, validation avec avertissement sur le scenario reel du bon #8 (code affaire MS-004), notification emise uniquement apres le visa, absence de notification hors perimetre, perimetre et exclusions de /agents-eligibles, ajout en lot transactionnel et idempotent.</w:t>
      </w:r>
    </w:p>
    <w:p>
      <w:pPr>
        <w:spacing w:after="120"/>
      </w:pPr>
      <w:r>
        <w:rPr>
          <w:b/>
          <w:bCs/>
        </w:rPr>
        <w:t xml:space="preserve">Frontend : </w:t>
      </w:r>
      <w:r>
        <w:t xml:space="preserve">48/48 tests existants toujours au vert + SelectionPersonnesABord.test.tsx (6/6) : affichage, selection individuelle, « tout selectionner » limite au filtre, soumission en lot avec reinitialisation, etats erreur+reessai et liste vide.</w:t>
      </w:r>
    </w:p>
    <w:p>
      <w:pPr>
        <w:spacing w:after="120"/>
      </w:pPr>
      <w:r>
        <w:rPr>
          <w:b/>
          <w:bCs/>
        </w:rPr>
        <w:t xml:space="preserve">Verification live : </w:t>
      </w:r>
      <w:r>
        <w:t xml:space="preserve">tsc -b propre ; reproduction complete du bon #8 via curl authentifie et via navigateur (captures d'ecran) ; verification SQL directe des lignes fiph_pointage et notification generees.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3864"/>
      <w:sz w:val="30"/>
      <w:szCs w:val="30"/>
    </w:rPr>
  </w:style>
  <w:style w:type="paragraph" w:styleId="Heading2">
    <w:name w:val="Heading 2"/>
    <w:basedOn w:val="Normal"/>
    <w:next w:val="Normal"/>
    <w:qFormat/>
    <w:pPr>
      <w:spacing w:after="150" w:before="300"/>
    </w:pPr>
    <w:rPr>
      <w:b/>
      <w:bCs/>
      <w:color w:val="2E5395"/>
      <w:sz w:val="26"/>
      <w:szCs w:val="26"/>
    </w:rPr>
  </w:style>
  <w:style w:type="paragraph" w:styleId="Heading3">
    <w:name w:val="Heading 3"/>
    <w:basedOn w:val="Normal"/>
    <w:next w:val="Normal"/>
    <w:qFormat/>
    <w:pPr>
      <w:spacing w:after="100" w:before="200"/>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2026-08-20T08:58:27.922Z</dcterms:created>
  <dcterms:modified xsi:type="dcterms:W3CDTF">2026-08-20T08:58:27.923Z</dcterms:modified>
</cp:coreProperties>
</file>

<file path=docProps/custom.xml><?xml version="1.0" encoding="utf-8"?>
<Properties xmlns="http://schemas.openxmlformats.org/officeDocument/2006/custom-properties" xmlns:vt="http://schemas.openxmlformats.org/officeDocument/2006/docPropsVTypes"/>
</file>