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008294"/>
          <w:sz w:val="20"/>
          <w:szCs w:val="20"/>
        </w:rPr>
        <w:t xml:space="preserve">SNEF Cameroun SA — Système SGBF</w:t>
      </w:r>
    </w:p>
    <w:p>
      <w:pPr>
        <w:spacing w:after="60"/>
      </w:pPr>
      <w:r>
        <w:rPr>
          <w:b/>
          <w:bCs/>
          <w:sz w:val="44"/>
          <w:szCs w:val="44"/>
        </w:rPr>
        <w:t xml:space="preserve">Évolution du module Administration et du workflow FIPH</w:t>
      </w:r>
    </w:p>
    <w:p>
      <w:pPr>
        <w:spacing w:after="400"/>
      </w:pPr>
      <w:r>
        <w:rPr>
          <w:i/>
          <w:iCs/>
          <w:color w:val="56646D"/>
          <w:sz w:val="22"/>
          <w:szCs w:val="22"/>
        </w:rPr>
        <w:t xml:space="preserve">Rapport de mission — hiérarchie Administrateur/Super Administrateur, notifications de workflow, prise en main exceptionnelle — 19 août 2026</w:t>
      </w:r>
    </w:p>
    <w:p>
      <w:pPr>
        <w:pStyle w:val="Heading1"/>
        <w:spacing w:after="150" w:before="300"/>
      </w:pPr>
      <w:r>
        <w:t xml:space="preserve">1. Synthèse</w:t>
      </w:r>
    </w:p>
    <w:p>
      <w:pPr>
        <w:spacing w:after="120"/>
      </w:pPr>
      <w:r>
        <w:t xml:space="preserve">Cette évolution ajoute trois capacités au système SGBF, sans régression sur l'existant :</w:t>
      </w:r>
    </w:p>
    <w:p>
      <w:pPr>
        <w:pStyle w:val="ListParagraph"/>
        <w:numPr>
          <w:ilvl w:val="0"/>
          <w:numId w:val="1"/>
        </w:numPr>
        <w:spacing w:after="60"/>
      </w:pPr>
      <w:r>
        <w:t xml:space="preserve">une hiérarchie stricte Administrateur / Super Administrateur : un Administrateur standard ne voit jamais, ne peut jamais consulter ni modifier le compte Super Administrateur — appliqué et vérifié côté backend, indépendamment de toute interface ;</w:t>
      </w:r>
    </w:p>
    <w:p>
      <w:pPr>
        <w:pStyle w:val="ListParagraph"/>
        <w:numPr>
          <w:ilvl w:val="0"/>
          <w:numId w:val="1"/>
        </w:numPr>
        <w:spacing w:after="60"/>
      </w:pPr>
      <w:r>
        <w:t xml:space="preserve">un centre de notifications internes : chaque niveau de validation FIPH est notifié automatiquement dès que le niveau précédent est réellement validé, jamais avant ;</w:t>
      </w:r>
    </w:p>
    <w:p>
      <w:pPr>
        <w:pStyle w:val="ListParagraph"/>
        <w:numPr>
          <w:ilvl w:val="0"/>
          <w:numId w:val="1"/>
        </w:numPr>
        <w:spacing w:after="60"/>
      </w:pPr>
      <w:r>
        <w:t xml:space="preserve">une prise en main exceptionnelle d'une FIPH par le Super Administrateur, avec justification obligatoire et traçabilité distincte d'une validation normale.</w:t>
      </w:r>
    </w:p>
    <w:p>
      <w:pPr>
        <w:spacing w:after="120"/>
      </w:pPr>
      <w:r>
        <w:rPr>
          <w:b/>
          <w:bCs/>
        </w:rPr>
        <w:t xml:space="preserve">Statut global : </w:t>
      </w:r>
    </w:p>
    <w:p>
      <w:pPr>
        <w:spacing w:after="200"/>
      </w:pPr>
      <w:r>
        <w:rPr>
          <w:b/>
          <w:bCs/>
          <w:color w:val="FFFFFF"/>
          <w:shd w:fill="1E7A34" w:val="clear"/>
        </w:rPr>
        <w:t xml:space="preserve"> TERMINÉ ET VÉRIFIÉ </w:t>
      </w:r>
    </w:p>
    <w:p>
      <w:pPr>
        <w:spacing w:after="120"/>
      </w:pPr>
      <w:r>
        <w:t xml:space="preserve">30 tests d'intégration backend (7 classes) et 42 tests unitaires frontend passent tous, compilation TypeScript propre, et chaque scénario a été rejoué en conditions réelles (base de données locale, appels HTTP réels, interface React dans un navigateur) — pas seulement vérifié par la compilation.</w:t>
      </w:r>
    </w:p>
    <w:p>
      <w:pPr>
        <w:pStyle w:val="Heading1"/>
        <w:spacing w:after="150" w:before="300"/>
      </w:pPr>
      <w:r>
        <w:t xml:space="preserve">2. Hiérarchie Administrateur / Super Administrateur</w:t>
      </w:r>
    </w:p>
    <w:p>
      <w:pPr>
        <w:pStyle w:val="Heading2"/>
        <w:spacing w:after="120" w:before="260"/>
      </w:pPr>
      <w:r>
        <w:t xml:space="preserve">2.1 Principe</w:t>
      </w:r>
    </w:p>
    <w:p>
      <w:pPr>
        <w:spacing w:after="120"/>
      </w:pPr>
      <w:r>
        <w:t xml:space="preserve">Un Administrateur standard ne rencontre plus jamais le compte Super Administrateur : ni dans la liste des comptes, ni dans une recherche, ni dans la liste des habilitations, ni comme option de rôle attribuable. Le Super Administrateur, lui, conserve une vision complète et sans restriction de tout le système.</w:t>
      </w:r>
    </w:p>
    <w:p>
      <w:pPr>
        <w:spacing w:after="120"/>
      </w:pPr>
      <w:r>
        <w:t xml:space="preserve">La règle est appliquée à deux niveaux, comme demandé :</w:t>
      </w:r>
    </w:p>
    <w:p>
      <w:pPr>
        <w:pStyle w:val="ListParagraph"/>
        <w:numPr>
          <w:ilvl w:val="0"/>
          <w:numId w:val="1"/>
        </w:numPr>
        <w:spacing w:after="60"/>
      </w:pPr>
      <w:r>
        <w:t xml:space="preserve">Backend : chaque méthode de service qui liste, lit ou modifie un compte vérifie explicitement, en base, si la cible est Super Administrateur et si l'appelant l'est aussi — jamais sur la seule foi du jeton JWT présenté.</w:t>
      </w:r>
    </w:p>
    <w:p>
      <w:pPr>
        <w:pStyle w:val="ListParagraph"/>
        <w:numPr>
          <w:ilvl w:val="0"/>
          <w:numId w:val="1"/>
        </w:numPr>
        <w:spacing w:after="60"/>
      </w:pPr>
      <w:r>
        <w:t xml:space="preserve">Frontend : le compte Super Administrateur n'apparaît jamais dans les tableaux, filtres ou listes déroulantes de rôle proposées à un Administrateur standard — un simple confort d'affichage, puisque le backend bloque de toute façon tout contournement.</w:t>
      </w:r>
    </w:p>
    <w:p>
      <w:pPr>
        <w:pStyle w:val="Heading2"/>
        <w:spacing w:after="120" w:before="260"/>
      </w:pPr>
      <w:r>
        <w:t xml:space="preserve">2.2 Fichiers modifiés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D1D1B" w:val="clear"/>
            <w:tcMar>
              <w:top w:type="dxa" w:w="80"/>
              <w:left w:type="dxa" w:w="100"/>
              <w:bottom w:type="dxa" w:w="80"/>
              <w:right w:type="dxa" w:w="100"/>
            </w:tcMar>
          </w:tcPr>
          <w:p>
            <w:r>
              <w:rPr>
                <w:b/>
                <w:bCs/>
                <w:color w:val="FFFFFF"/>
                <w:sz w:val="20"/>
                <w:szCs w:val="20"/>
              </w:rPr>
              <w:t xml:space="preserve">Fichier</w:t>
            </w:r>
          </w:p>
        </w:tc>
        <w:tc>
          <w:tcPr>
            <w:tcW w:type="dxa" w:w="6150"/>
            <w:shd w:fill="1D1D1B" w:val="clear"/>
            <w:tcMar>
              <w:top w:type="dxa" w:w="80"/>
              <w:left w:type="dxa" w:w="100"/>
              <w:bottom w:type="dxa" w:w="80"/>
              <w:right w:type="dxa" w:w="100"/>
            </w:tcMar>
          </w:tcPr>
          <w:p>
            <w:r>
              <w:rPr>
                <w:b/>
                <w:bCs/>
                <w:color w:val="FFFFFF"/>
                <w:sz w:val="20"/>
                <w:szCs w:val="20"/>
              </w:rPr>
              <w:t xml:space="preserve">Modification</w:t>
            </w:r>
          </w:p>
        </w:tc>
      </w:tr>
      <w:tr>
        <w:tc>
          <w:tcPr>
            <w:tcW w:type="dxa" w:w="3200"/>
            <w:tcMar>
              <w:top w:type="dxa" w:w="80"/>
              <w:left w:type="dxa" w:w="100"/>
              <w:bottom w:type="dxa" w:w="80"/>
              <w:right w:type="dxa" w:w="100"/>
            </w:tcMar>
          </w:tcPr>
          <w:p>
            <w:r>
              <w:rPr>
                <w:b w:val="false"/>
                <w:bCs w:val="false"/>
                <w:sz w:val="20"/>
                <w:szCs w:val="20"/>
              </w:rPr>
              <w:t xml:space="preserve">UtilisateurService.java</w:t>
            </w:r>
          </w:p>
        </w:tc>
        <w:tc>
          <w:tcPr>
            <w:tcW w:type="dxa" w:w="6150"/>
            <w:tcMar>
              <w:top w:type="dxa" w:w="80"/>
              <w:left w:type="dxa" w:w="100"/>
              <w:bottom w:type="dxa" w:w="80"/>
              <w:right w:type="dxa" w:w="100"/>
            </w:tcMar>
          </w:tcPr>
          <w:p>
            <w:r>
              <w:rPr>
                <w:b w:val="false"/>
                <w:bCs w:val="false"/>
                <w:sz w:val="20"/>
                <w:szCs w:val="20"/>
              </w:rPr>
              <w:t xml:space="preserve">Filtre les listes/recherches, bloque lecture et modification (identifiant, e-mail, mot de passe, statut, service) d'un compte Super Administrateur pour un appelant non-Super Administrateur.</w:t>
            </w:r>
          </w:p>
        </w:tc>
      </w:tr>
      <w:tr>
        <w:tc>
          <w:tcPr>
            <w:tcW w:type="dxa" w:w="3200"/>
            <w:tcMar>
              <w:top w:type="dxa" w:w="80"/>
              <w:left w:type="dxa" w:w="100"/>
              <w:bottom w:type="dxa" w:w="80"/>
              <w:right w:type="dxa" w:w="100"/>
            </w:tcMar>
          </w:tcPr>
          <w:p>
            <w:r>
              <w:rPr>
                <w:b w:val="false"/>
                <w:bCs w:val="false"/>
                <w:sz w:val="20"/>
                <w:szCs w:val="20"/>
              </w:rPr>
              <w:t xml:space="preserve">HabilitationService.java</w:t>
            </w:r>
          </w:p>
        </w:tc>
        <w:tc>
          <w:tcPr>
            <w:tcW w:type="dxa" w:w="6150"/>
            <w:tcMar>
              <w:top w:type="dxa" w:w="80"/>
              <w:left w:type="dxa" w:w="100"/>
              <w:bottom w:type="dxa" w:w="80"/>
              <w:right w:type="dxa" w:w="100"/>
            </w:tcMar>
          </w:tcPr>
          <w:p>
            <w:r>
              <w:rPr>
                <w:b w:val="false"/>
                <w:bCs w:val="false"/>
                <w:sz w:val="20"/>
                <w:szCs w:val="20"/>
              </w:rPr>
              <w:t xml:space="preserve">Bloque la consultation et la modification de TOUTE habilitation d'un compte déjà Super Administrateur, pas seulement l'attribution du rôle lui-même (déjà couvert par une règle antérieure).</w:t>
            </w:r>
          </w:p>
        </w:tc>
      </w:tr>
      <w:tr>
        <w:tc>
          <w:tcPr>
            <w:tcW w:type="dxa" w:w="3200"/>
            <w:tcMar>
              <w:top w:type="dxa" w:w="80"/>
              <w:left w:type="dxa" w:w="100"/>
              <w:bottom w:type="dxa" w:w="80"/>
              <w:right w:type="dxa" w:w="100"/>
            </w:tcMar>
          </w:tcPr>
          <w:p>
            <w:r>
              <w:rPr>
                <w:b w:val="false"/>
                <w:bCs w:val="false"/>
                <w:sz w:val="20"/>
                <w:szCs w:val="20"/>
              </w:rPr>
              <w:t xml:space="preserve">UtilisateurController.java / HabilitationController.java</w:t>
            </w:r>
          </w:p>
        </w:tc>
        <w:tc>
          <w:tcPr>
            <w:tcW w:type="dxa" w:w="6150"/>
            <w:tcMar>
              <w:top w:type="dxa" w:w="80"/>
              <w:left w:type="dxa" w:w="100"/>
              <w:bottom w:type="dxa" w:w="80"/>
              <w:right w:type="dxa" w:w="100"/>
            </w:tcMar>
          </w:tcPr>
          <w:p>
            <w:r>
              <w:rPr>
                <w:b w:val="false"/>
                <w:bCs w:val="false"/>
                <w:sz w:val="20"/>
                <w:szCs w:val="20"/>
              </w:rPr>
              <w:t xml:space="preserve">Transmettent l'utilisateur appelant à chaque méthode de service désormais gardée.</w:t>
            </w:r>
          </w:p>
        </w:tc>
      </w:tr>
      <w:tr>
        <w:tc>
          <w:tcPr>
            <w:tcW w:type="dxa" w:w="3200"/>
            <w:tcMar>
              <w:top w:type="dxa" w:w="80"/>
              <w:left w:type="dxa" w:w="100"/>
              <w:bottom w:type="dxa" w:w="80"/>
              <w:right w:type="dxa" w:w="100"/>
            </w:tcMar>
          </w:tcPr>
          <w:p>
            <w:r>
              <w:rPr>
                <w:b w:val="false"/>
                <w:bCs w:val="false"/>
                <w:sz w:val="20"/>
                <w:szCs w:val="20"/>
              </w:rPr>
              <w:t xml:space="preserve">AdminUtilisateursPage.tsx (frontend)</w:t>
            </w:r>
          </w:p>
        </w:tc>
        <w:tc>
          <w:tcPr>
            <w:tcW w:type="dxa" w:w="6150"/>
            <w:tcMar>
              <w:top w:type="dxa" w:w="80"/>
              <w:left w:type="dxa" w:w="100"/>
              <w:bottom w:type="dxa" w:w="80"/>
              <w:right w:type="dxa" w:w="100"/>
            </w:tcMar>
          </w:tcPr>
          <w:p>
            <w:r>
              <w:rPr>
                <w:b w:val="false"/>
                <w:bCs w:val="false"/>
                <w:sz w:val="20"/>
                <w:szCs w:val="20"/>
              </w:rPr>
              <w:t xml:space="preserve">Masque l'option « Super Administrateur » des filtres et du sélecteur de rôle à attribuer, pour un Administrateur standard.</w:t>
            </w:r>
          </w:p>
        </w:tc>
      </w:tr>
    </w:tbl>
    <w:p>
      <w:pPr>
        <w:pStyle w:val="Heading2"/>
        <w:spacing w:after="120" w:before="260"/>
      </w:pPr>
      <w:r>
        <w:t xml:space="preserve">2.3 Deux anomalies réelles détectées et corrigées en cours de vérification</w:t>
      </w:r>
    </w:p>
    <w:p>
      <w:pPr>
        <w:spacing w:after="120"/>
      </w:pPr>
      <w:r>
        <w:t xml:space="preserve">Conformément à la consigne « ne jamais considérer une fonctionnalité terminée simplement parce que le code compile », chaque protection a été testée par de véritables appels HTTP (curl, puis tests automatisés) plutôt que relue seulement. Cette vérification active a révélé deux défauts qui seraient restés invisibles à la simple lecture du code :</w:t>
      </w:r>
    </w:p>
    <w:p>
      <w:pPr>
        <w:spacing w:after="80"/>
      </w:pPr>
      <w:r>
        <w:rPr>
          <w:b/>
          <w:bCs/>
          <w:color w:val="FFFFFF"/>
          <w:shd w:fill="B3261E" w:val="clear"/>
        </w:rPr>
        <w:t xml:space="preserve"> ANOMALIE 1 — CORRIGÉE </w:t>
      </w:r>
    </w:p>
    <w:p>
      <w:pPr>
        <w:spacing w:after="120"/>
      </w:pPr>
      <w:r>
        <w:t xml:space="preserve">Une consultation refusée du compte Super Administrateur renvoyait une erreur 500 au lieu de 403. Cause : la méthode de lecture était marquée en transaction « lecture seule », qui interdit au niveau MySQL toute écriture sur la même connexion — or refuser l'accès écrit désormais un événement d'audit avant de lever l'exception. Correction : suppression du mode lecture seule sur ces méthodes précises.</w:t>
      </w:r>
    </w:p>
    <w:p>
      <w:pPr>
        <w:spacing w:after="80"/>
      </w:pPr>
      <w:r>
        <w:rPr>
          <w:b/>
          <w:bCs/>
          <w:color w:val="FFFFFF"/>
          <w:shd w:fill="B3261E" w:val="clear"/>
        </w:rPr>
        <w:t xml:space="preserve"> ANOMALIE 2 — CORRIGÉE </w:t>
      </w:r>
    </w:p>
    <w:p>
      <w:pPr>
        <w:spacing w:after="120"/>
      </w:pPr>
      <w:r>
        <w:t xml:space="preserve">Une fois la première anomalie corrigée, la tentative bloquée renvoyait bien 403 — mais l'événement d'audit correspondant n'était PAS enregistré en base. Cause : l'audit et l'exception s'exécutent dans la même transaction, et Spring annule (rollback) toute la transaction, audit compris, lorsqu'une exception non contrôlée la traverse. Correction : les méthodes concernées sont désormais annotées pour ne jamais annuler la transaction sur ce type précis d'exception (« noRollbackFor »), garantissant que la tentative reste tracée même si elle est refusée.</w:t>
      </w:r>
    </w:p>
    <w:p>
      <w:pPr>
        <w:spacing w:after="120"/>
      </w:pPr>
      <w:r>
        <w:t xml:space="preserve">Ces deux corrections sont couvertes par des tests automatisés qui échoueraient si le problème réapparaissait.</w:t>
      </w:r>
    </w:p>
    <w:p>
      <w:pPr>
        <w:pStyle w:val="Heading1"/>
        <w:spacing w:after="150" w:before="300"/>
      </w:pPr>
      <w:r>
        <w:t xml:space="preserve">3. Notifications de workflow FIPH</w:t>
      </w:r>
    </w:p>
    <w:p>
      <w:pPr>
        <w:pStyle w:val="Heading2"/>
        <w:spacing w:after="120" w:before="260"/>
      </w:pPr>
      <w:r>
        <w:t xml:space="preserve">3.1 Fonctionnement</w:t>
      </w:r>
    </w:p>
    <w:p>
      <w:pPr>
        <w:spacing w:after="120"/>
      </w:pPr>
      <w:r>
        <w:t xml:space="preserve">Chaque niveau de validation FIPH déclenche une notification vers le niveau suivant, uniquement après une validation réellement réussie — jamais avant, jamais sur un rejet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50"/>
      </w:tblGrid>
      <w:tr>
        <w:trPr>
          <w:tblHeader/>
        </w:trPr>
        <w:tc>
          <w:tcPr>
            <w:tcW w:type="dxa" w:w="3000"/>
            <w:shd w:fill="1D1D1B" w:val="clear"/>
            <w:tcMar>
              <w:top w:type="dxa" w:w="80"/>
              <w:left w:type="dxa" w:w="100"/>
              <w:bottom w:type="dxa" w:w="80"/>
              <w:right w:type="dxa" w:w="100"/>
            </w:tcMar>
          </w:tcPr>
          <w:p>
            <w:r>
              <w:rPr>
                <w:b/>
                <w:bCs/>
                <w:color w:val="FFFFFF"/>
                <w:sz w:val="20"/>
                <w:szCs w:val="20"/>
              </w:rPr>
              <w:t xml:space="preserve">Étape franchie</w:t>
            </w:r>
          </w:p>
        </w:tc>
        <w:tc>
          <w:tcPr>
            <w:tcW w:type="dxa" w:w="3200"/>
            <w:shd w:fill="1D1D1B" w:val="clear"/>
            <w:tcMar>
              <w:top w:type="dxa" w:w="80"/>
              <w:left w:type="dxa" w:w="100"/>
              <w:bottom w:type="dxa" w:w="80"/>
              <w:right w:type="dxa" w:w="100"/>
            </w:tcMar>
          </w:tcPr>
          <w:p>
            <w:r>
              <w:rPr>
                <w:b/>
                <w:bCs/>
                <w:color w:val="FFFFFF"/>
                <w:sz w:val="20"/>
                <w:szCs w:val="20"/>
              </w:rPr>
              <w:t xml:space="preserve">Destinataire notifié</w:t>
            </w:r>
          </w:p>
        </w:tc>
        <w:tc>
          <w:tcPr>
            <w:tcW w:type="dxa" w:w="3150"/>
            <w:shd w:fill="1D1D1B" w:val="clear"/>
            <w:tcMar>
              <w:top w:type="dxa" w:w="80"/>
              <w:left w:type="dxa" w:w="100"/>
              <w:bottom w:type="dxa" w:w="80"/>
              <w:right w:type="dxa" w:w="100"/>
            </w:tcMar>
          </w:tcPr>
          <w:p>
            <w:r>
              <w:rPr>
                <w:b/>
                <w:bCs/>
                <w:color w:val="FFFFFF"/>
                <w:sz w:val="20"/>
                <w:szCs w:val="20"/>
              </w:rPr>
              <w:t xml:space="preserve">Déclenchement</w:t>
            </w:r>
          </w:p>
        </w:tc>
      </w:tr>
      <w:tr>
        <w:tc>
          <w:tcPr>
            <w:tcW w:type="dxa" w:w="3000"/>
            <w:tcMar>
              <w:top w:type="dxa" w:w="80"/>
              <w:left w:type="dxa" w:w="100"/>
              <w:bottom w:type="dxa" w:w="80"/>
              <w:right w:type="dxa" w:w="100"/>
            </w:tcMar>
          </w:tcPr>
          <w:p>
            <w:r>
              <w:rPr>
                <w:b w:val="false"/>
                <w:bCs w:val="false"/>
                <w:sz w:val="20"/>
                <w:szCs w:val="20"/>
              </w:rPr>
              <w:t xml:space="preserve">Précréation / soumission (FIPH prête)</w:t>
            </w:r>
          </w:p>
        </w:tc>
        <w:tc>
          <w:tcPr>
            <w:tcW w:type="dxa" w:w="3200"/>
            <w:tcMar>
              <w:top w:type="dxa" w:w="80"/>
              <w:left w:type="dxa" w:w="100"/>
              <w:bottom w:type="dxa" w:w="80"/>
              <w:right w:type="dxa" w:w="100"/>
            </w:tcMar>
          </w:tcPr>
          <w:p>
            <w:r>
              <w:rPr>
                <w:b w:val="false"/>
                <w:bCs w:val="false"/>
                <w:sz w:val="20"/>
                <w:szCs w:val="20"/>
              </w:rPr>
              <w:t xml:space="preserve">Chargé d'Affaires et Personne habilitée du service</w:t>
            </w:r>
          </w:p>
        </w:tc>
        <w:tc>
          <w:tcPr>
            <w:tcW w:type="dxa" w:w="3150"/>
            <w:tcMar>
              <w:top w:type="dxa" w:w="80"/>
              <w:left w:type="dxa" w:w="100"/>
              <w:bottom w:type="dxa" w:w="80"/>
              <w:right w:type="dxa" w:w="100"/>
            </w:tcMar>
          </w:tcPr>
          <w:p>
            <w:r>
              <w:rPr>
                <w:b w:val="false"/>
                <w:bCs w:val="false"/>
                <w:sz w:val="20"/>
                <w:szCs w:val="20"/>
              </w:rPr>
              <w:t xml:space="preserve">Immédiatement après le visa automatique ou la soumission explicite</w:t>
            </w:r>
          </w:p>
        </w:tc>
      </w:tr>
      <w:tr>
        <w:tc>
          <w:tcPr>
            <w:tcW w:type="dxa" w:w="3000"/>
            <w:tcMar>
              <w:top w:type="dxa" w:w="80"/>
              <w:left w:type="dxa" w:w="100"/>
              <w:bottom w:type="dxa" w:w="80"/>
              <w:right w:type="dxa" w:w="100"/>
            </w:tcMar>
          </w:tcPr>
          <w:p>
            <w:r>
              <w:rPr>
                <w:b w:val="false"/>
                <w:bCs w:val="false"/>
                <w:sz w:val="20"/>
                <w:szCs w:val="20"/>
              </w:rPr>
              <w:t xml:space="preserve">Validation niveau 2 (CA/PH)</w:t>
            </w:r>
          </w:p>
        </w:tc>
        <w:tc>
          <w:tcPr>
            <w:tcW w:type="dxa" w:w="3200"/>
            <w:tcMar>
              <w:top w:type="dxa" w:w="80"/>
              <w:left w:type="dxa" w:w="100"/>
              <w:bottom w:type="dxa" w:w="80"/>
              <w:right w:type="dxa" w:w="100"/>
            </w:tcMar>
          </w:tcPr>
          <w:p>
            <w:r>
              <w:rPr>
                <w:b w:val="false"/>
                <w:bCs w:val="false"/>
                <w:sz w:val="20"/>
                <w:szCs w:val="20"/>
              </w:rPr>
              <w:t xml:space="preserve">Responsable d'Activité du service</w:t>
            </w:r>
          </w:p>
        </w:tc>
        <w:tc>
          <w:tcPr>
            <w:tcW w:type="dxa" w:w="3150"/>
            <w:tcMar>
              <w:top w:type="dxa" w:w="80"/>
              <w:left w:type="dxa" w:w="100"/>
              <w:bottom w:type="dxa" w:w="80"/>
              <w:right w:type="dxa" w:w="100"/>
            </w:tcMar>
          </w:tcPr>
          <w:p>
            <w:r>
              <w:rPr>
                <w:b w:val="false"/>
                <w:bCs w:val="false"/>
                <w:sz w:val="20"/>
                <w:szCs w:val="20"/>
              </w:rPr>
              <w:t xml:space="preserve">Après VALIDÉE, jamais sur rejet/retour</w:t>
            </w:r>
          </w:p>
        </w:tc>
      </w:tr>
      <w:tr>
        <w:tc>
          <w:tcPr>
            <w:tcW w:type="dxa" w:w="3000"/>
            <w:tcMar>
              <w:top w:type="dxa" w:w="80"/>
              <w:left w:type="dxa" w:w="100"/>
              <w:bottom w:type="dxa" w:w="80"/>
              <w:right w:type="dxa" w:w="100"/>
            </w:tcMar>
          </w:tcPr>
          <w:p>
            <w:r>
              <w:rPr>
                <w:b w:val="false"/>
                <w:bCs w:val="false"/>
                <w:sz w:val="20"/>
                <w:szCs w:val="20"/>
              </w:rPr>
              <w:t xml:space="preserve">Validation niveau 3 (RA)</w:t>
            </w:r>
          </w:p>
        </w:tc>
        <w:tc>
          <w:tcPr>
            <w:tcW w:type="dxa" w:w="3200"/>
            <w:tcMar>
              <w:top w:type="dxa" w:w="80"/>
              <w:left w:type="dxa" w:w="100"/>
              <w:bottom w:type="dxa" w:w="80"/>
              <w:right w:type="dxa" w:w="100"/>
            </w:tcMar>
          </w:tcPr>
          <w:p>
            <w:r>
              <w:rPr>
                <w:b w:val="false"/>
                <w:bCs w:val="false"/>
                <w:sz w:val="20"/>
                <w:szCs w:val="20"/>
              </w:rPr>
              <w:t xml:space="preserve">Direction du service</w:t>
            </w:r>
          </w:p>
        </w:tc>
        <w:tc>
          <w:tcPr>
            <w:tcW w:type="dxa" w:w="3150"/>
            <w:tcMar>
              <w:top w:type="dxa" w:w="80"/>
              <w:left w:type="dxa" w:w="100"/>
              <w:bottom w:type="dxa" w:w="80"/>
              <w:right w:type="dxa" w:w="100"/>
            </w:tcMar>
          </w:tcPr>
          <w:p>
            <w:r>
              <w:rPr>
                <w:b w:val="false"/>
                <w:bCs w:val="false"/>
                <w:sz w:val="20"/>
                <w:szCs w:val="20"/>
              </w:rPr>
              <w:t xml:space="preserve">Après VALIDÉE, jamais sur rejet/retour</w:t>
            </w:r>
          </w:p>
        </w:tc>
      </w:tr>
      <w:tr>
        <w:tc>
          <w:tcPr>
            <w:tcW w:type="dxa" w:w="3000"/>
            <w:tcMar>
              <w:top w:type="dxa" w:w="80"/>
              <w:left w:type="dxa" w:w="100"/>
              <w:bottom w:type="dxa" w:w="80"/>
              <w:right w:type="dxa" w:w="100"/>
            </w:tcMar>
          </w:tcPr>
          <w:p>
            <w:r>
              <w:rPr>
                <w:b w:val="false"/>
                <w:bCs w:val="false"/>
                <w:sz w:val="20"/>
                <w:szCs w:val="20"/>
              </w:rPr>
              <w:t xml:space="preserve">Validation niveau 4 (Direction, finale)</w:t>
            </w:r>
          </w:p>
        </w:tc>
        <w:tc>
          <w:tcPr>
            <w:tcW w:type="dxa" w:w="3200"/>
            <w:tcMar>
              <w:top w:type="dxa" w:w="80"/>
              <w:left w:type="dxa" w:w="100"/>
              <w:bottom w:type="dxa" w:w="80"/>
              <w:right w:type="dxa" w:w="100"/>
            </w:tcMar>
          </w:tcPr>
          <w:p>
            <w:r>
              <w:rPr>
                <w:b w:val="false"/>
                <w:bCs w:val="false"/>
                <w:sz w:val="20"/>
                <w:szCs w:val="20"/>
              </w:rPr>
              <w:t xml:space="preserve">Titulaire de la FIPH (son propre compte)</w:t>
            </w:r>
          </w:p>
        </w:tc>
        <w:tc>
          <w:tcPr>
            <w:tcW w:type="dxa" w:w="3150"/>
            <w:tcMar>
              <w:top w:type="dxa" w:w="80"/>
              <w:left w:type="dxa" w:w="100"/>
              <w:bottom w:type="dxa" w:w="80"/>
              <w:right w:type="dxa" w:w="100"/>
            </w:tcMar>
          </w:tcPr>
          <w:p>
            <w:r>
              <w:rPr>
                <w:b w:val="false"/>
                <w:bCs w:val="false"/>
                <w:sz w:val="20"/>
                <w:szCs w:val="20"/>
              </w:rPr>
              <w:t xml:space="preserve">FIPH devient VALIDÉE DÉFINITIVEMENT — aucune notification supplémentaire n'est nécessaire ensuite</w:t>
            </w:r>
          </w:p>
        </w:tc>
      </w:tr>
    </w:tbl>
    <w:p>
      <w:pPr>
        <w:spacing w:after="120"/>
      </w:pPr>
      <w:r>
        <w:t xml:space="preserve">Chaque notification porte : le type d'événement, la FIPH concernée, un titre et un message explicites (ex. « La FIPH #42 a été validée par le Chargé d'Affaires et nécessite maintenant votre validation »), l'auteur de l'action déclenchante, la date/heure, et un lien direct vers la FIPH.</w:t>
      </w:r>
    </w:p>
    <w:p>
      <w:pPr>
        <w:pStyle w:val="Heading2"/>
        <w:spacing w:after="120" w:before="260"/>
      </w:pPr>
      <w:r>
        <w:t xml:space="preserve">3.2 Centre de notifications (React)</w:t>
      </w:r>
    </w:p>
    <w:p>
      <w:pPr>
        <w:spacing w:after="120"/>
      </w:pPr>
      <w:r>
        <w:t xml:space="preserve">Une cloche dans l'en-tête de l'application affiche un compteur de notifications non lues, actualisé automatiquement toutes les 20 secondes. Le panneau déroulant liste les notifications du compte connecté, les plus récentes en premier ; cliquer sur une notification la marque lue et ouvre directement la FIPH concernée.</w:t>
      </w:r>
    </w:p>
    <w:p>
      <w:pPr>
        <w:spacing w:after="120"/>
      </w:pPr>
      <w:r>
        <w:t xml:space="preserve">Un utilisateur ne reçoit jamais les notifications d'un autre : la liste est résolue côté serveur à partir du jeton d'authentification, sans aucun paramètre d'identifiant possible côté client, et marquer une notification comme lue vérifie qu'elle appartient bien à l'appelant (sinon 403).</w:t>
      </w:r>
    </w:p>
    <w:p>
      <w:pPr>
        <w:pStyle w:val="Heading2"/>
        <w:spacing w:after="120" w:before="260"/>
      </w:pPr>
      <w:r>
        <w:t xml:space="preserve">3.3 Anomalie réelle détectée et corrigée</w:t>
      </w:r>
    </w:p>
    <w:p>
      <w:pPr>
        <w:spacing w:after="80"/>
      </w:pPr>
      <w:r>
        <w:rPr>
          <w:b/>
          <w:bCs/>
          <w:color w:val="FFFFFF"/>
          <w:shd w:fill="B3261E" w:val="clear"/>
        </w:rPr>
        <w:t xml:space="preserve"> ANOMALIE 3 — CORRIGÉE </w:t>
      </w:r>
    </w:p>
    <w:p>
      <w:pPr>
        <w:spacing w:after="120"/>
      </w:pPr>
      <w:r>
        <w:t xml:space="preserve">Le panneau de notifications s'affichait hors-écran (coordonnée horizontale négative, donc invisible) dès que l'en-tête de l'application passait à la ligne — ce qui se produit à partir d'une largeur intermédiaire, bien avant le seuil mobile officiel de 640px. Cause : le panneau était ancré au bouton-cloche lui-même, un conteneur étroit qui peut se retrouver près du bord gauche de l'écran une fois l'en-tête replié. Correction : le panneau est désormais ancré à la largeur complète de la barre d'en-tête, garantissant un positionnement correct de 360px à 1920px conformément au critère d'acceptation existant de l'application. Vérifié visuellement dans le navigateur à 375px, 700px et 1280px de large.</w:t>
      </w:r>
    </w:p>
    <w:p>
      <w:pPr>
        <w:pStyle w:val="Heading2"/>
        <w:spacing w:after="120" w:before="260"/>
      </w:pPr>
      <w:r>
        <w:t xml:space="preserve">3.4 Écart documenté par rapport au terme « push »</w:t>
      </w:r>
    </w:p>
    <w:p>
      <w:pPr>
        <w:spacing w:after="120"/>
      </w:pPr>
      <w:r>
        <w:t xml:space="preserve">Le document source demande des « notifications push ». Le mécanisme livré est un centre de notifications interne actualisé par sondage (polling, toutes les 20 secondes) — jamais un e-mail ni une notification système du navigateur/OS, et jamais de flux WebSocket temps réel. Ce choix reste cohérent avec l'esprit de la demande (l'utilisateur voit apparaître la notification sans action de sa part, avec un délai de quelques secondes) et évite d'introduire une infrastructure temps réel supplémentaire pour un gain marginal sur un usage interne. À signaler explicitement si un temps réel strict est requis.</w:t>
      </w:r>
    </w:p>
    <w:p>
      <w:pPr>
        <w:pStyle w:val="Heading1"/>
        <w:spacing w:after="150" w:before="300"/>
      </w:pPr>
      <w:r>
        <w:t xml:space="preserve">4. Prise en main exceptionnelle par le Super Administrateur</w:t>
      </w:r>
    </w:p>
    <w:p>
      <w:pPr>
        <w:pStyle w:val="Heading2"/>
        <w:spacing w:after="120" w:before="260"/>
      </w:pPr>
      <w:r>
        <w:t xml:space="preserve">4.1 Principe</w:t>
      </w:r>
    </w:p>
    <w:p>
      <w:pPr>
        <w:spacing w:after="120"/>
      </w:pPr>
      <w:r>
        <w:t xml:space="preserve">Le Super Administrateur peut, à tout moment et quel que soit le stade (brouillon, en attente à n'importe quel niveau, bloquée), prendre en main une FIPH et la faire progresser jusqu'à « Validée définitivement », en franchissant les niveaux de validation restants. Cette action :</w:t>
      </w:r>
    </w:p>
    <w:p>
      <w:pPr>
        <w:pStyle w:val="ListParagraph"/>
        <w:numPr>
          <w:ilvl w:val="0"/>
          <w:numId w:val="1"/>
        </w:numPr>
        <w:spacing w:after="60"/>
      </w:pPr>
      <w:r>
        <w:t xml:space="preserve">exige un commentaire de justification obligatoire (ex. « Responsable indisponible — continuité du processus de validation ») — refusée sans lui ;</w:t>
      </w:r>
    </w:p>
    <w:p>
      <w:pPr>
        <w:pStyle w:val="ListParagraph"/>
        <w:numPr>
          <w:ilvl w:val="0"/>
          <w:numId w:val="1"/>
        </w:numPr>
        <w:spacing w:after="60"/>
      </w:pPr>
      <w:r>
        <w:t xml:space="preserve">crée une ligne de validation par niveau franchi, marquée distinctement « prise en main Super Administrateur », jamais confondue avec une validation normale — visible dans le tableau des validations de la FIPH, avec une colonne « Type » dédiée côté interface ;</w:t>
      </w:r>
    </w:p>
    <w:p>
      <w:pPr>
        <w:pStyle w:val="ListParagraph"/>
        <w:numPr>
          <w:ilvl w:val="0"/>
          <w:numId w:val="1"/>
        </w:numPr>
        <w:spacing w:after="60"/>
      </w:pPr>
      <w:r>
        <w:t xml:space="preserve">reste strictement interdite à un Administrateur standard, y compris par appel direct à l'API (revérifié en base à chaque appel, pas seulement via l'annotation de sécurité au niveau du contrôleur) ;</w:t>
      </w:r>
    </w:p>
    <w:p>
      <w:pPr>
        <w:pStyle w:val="ListParagraph"/>
        <w:numPr>
          <w:ilvl w:val="0"/>
          <w:numId w:val="1"/>
        </w:numPr>
        <w:spacing w:after="60"/>
      </w:pPr>
      <w:r>
        <w:t xml:space="preserve">est journalisée dans l'audit avec l'étape initiale, l'étape finale, l'auteur, la date/heure et le commentaire — sans jamais effacer la trace des validations normales déjà effectuées avant l'interruption.</w:t>
      </w:r>
    </w:p>
    <w:p>
      <w:pPr>
        <w:spacing w:after="120"/>
      </w:pPr>
      <w:r>
        <w:t xml:space="preserve">Une FIPH déjà validée définitivement ne peut plus être prise en main (refus explicite).</w:t>
      </w:r>
    </w:p>
    <w:p>
      <w:pPr>
        <w:pStyle w:val="Heading2"/>
        <w:spacing w:after="120" w:before="260"/>
      </w:pPr>
      <w:r>
        <w:t xml:space="preserve">4.2 Interface React</w:t>
      </w:r>
    </w:p>
    <w:p>
      <w:pPr>
        <w:spacing w:after="120"/>
      </w:pPr>
      <w:r>
        <w:t xml:space="preserve">Un encart distinctif (fond ambré, bordure marquée) apparaît sur la fiche FIPH, uniquement pour un compte porteur du rôle littéral Super Administrateur (jamais hérité par affichage, contrairement aux menus d'administration classiques) et uniquement si la FIPH n'est pas encore validée définitivement. Le bouton de validation reste désactivé tant que le commentaire de justification est vide.</w:t>
      </w:r>
    </w:p>
    <w:p>
      <w:pPr>
        <w:spacing w:after="120"/>
      </w:pPr>
      <w:r>
        <w:t xml:space="preserve">Vérifié dans le navigateur : le panneau apparaît pour le compte R.dorn (Super Administrateur) sur une FIPH au stade Brouillon, et est totalement absent de la même page pour le compte admin (Administrateur standard).</w:t>
      </w:r>
    </w:p>
    <w:p>
      <w:pPr>
        <w:pStyle w:val="Heading1"/>
        <w:spacing w:after="150" w:before="300"/>
      </w:pPr>
      <w:r>
        <w:t xml:space="preserve">5. Tests réalisés</w:t>
      </w:r>
    </w:p>
    <w:p>
      <w:pPr>
        <w:pStyle w:val="Heading2"/>
        <w:spacing w:after="120" w:before="260"/>
      </w:pPr>
      <w:r>
        <w:t xml:space="preserve">5.1 Nouvelle classe de tests d'intégration backend</w:t>
      </w:r>
    </w:p>
    <w:p>
      <w:pPr>
        <w:spacing w:after="120"/>
      </w:pPr>
      <w:r>
        <w:t xml:space="preserve">EvolutionAdministrationFiphNotificationsIT.java (5 tests, tous via de véritables appels HTTP MockMvc, une base MySQL de test réelle, et une authentification réelle)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D1D1B" w:val="clear"/>
            <w:tcMar>
              <w:top w:type="dxa" w:w="80"/>
              <w:left w:type="dxa" w:w="100"/>
              <w:bottom w:type="dxa" w:w="80"/>
              <w:right w:type="dxa" w:w="100"/>
            </w:tcMar>
          </w:tcPr>
          <w:p>
            <w:r>
              <w:rPr>
                <w:b/>
                <w:bCs/>
                <w:color w:val="FFFFFF"/>
                <w:sz w:val="20"/>
                <w:szCs w:val="20"/>
              </w:rPr>
              <w:t xml:space="preserve">Test</w:t>
            </w:r>
          </w:p>
        </w:tc>
        <w:tc>
          <w:tcPr>
            <w:tcW w:type="dxa" w:w="6950"/>
            <w:shd w:fill="1D1D1B" w:val="clear"/>
            <w:tcMar>
              <w:top w:type="dxa" w:w="80"/>
              <w:left w:type="dxa" w:w="100"/>
              <w:bottom w:type="dxa" w:w="80"/>
              <w:right w:type="dxa" w:w="100"/>
            </w:tcMar>
          </w:tcPr>
          <w:p>
            <w:r>
              <w:rPr>
                <w:b/>
                <w:bCs/>
                <w:color w:val="FFFFFF"/>
                <w:sz w:val="20"/>
                <w:szCs w:val="20"/>
              </w:rPr>
              <w:t xml:space="preserve">Couvre</w:t>
            </w:r>
          </w:p>
        </w:tc>
      </w:tr>
      <w:tr>
        <w:tc>
          <w:tcPr>
            <w:tcW w:type="dxa" w:w="2400"/>
            <w:tcMar>
              <w:top w:type="dxa" w:w="80"/>
              <w:left w:type="dxa" w:w="100"/>
              <w:bottom w:type="dxa" w:w="80"/>
              <w:right w:type="dxa" w:w="100"/>
            </w:tcMar>
          </w:tcPr>
          <w:p>
            <w:r>
              <w:rPr>
                <w:b w:val="false"/>
                <w:bCs w:val="false"/>
                <w:sz w:val="20"/>
                <w:szCs w:val="20"/>
              </w:rPr>
              <w:t xml:space="preserve">Visibilité</w:t>
            </w:r>
          </w:p>
        </w:tc>
        <w:tc>
          <w:tcPr>
            <w:tcW w:type="dxa" w:w="6950"/>
            <w:tcMar>
              <w:top w:type="dxa" w:w="80"/>
              <w:left w:type="dxa" w:w="100"/>
              <w:bottom w:type="dxa" w:w="80"/>
              <w:right w:type="dxa" w:w="100"/>
            </w:tcMar>
          </w:tcPr>
          <w:p>
            <w:r>
              <w:rPr>
                <w:b w:val="false"/>
                <w:bCs w:val="false"/>
                <w:sz w:val="20"/>
                <w:szCs w:val="20"/>
              </w:rPr>
              <w:t xml:space="preserve">Un Administrateur standard ne voit jamais le Super Administrateur dans les listes/recherches ; le Super Administrateur voit tout.</w:t>
            </w:r>
          </w:p>
        </w:tc>
      </w:tr>
      <w:tr>
        <w:tc>
          <w:tcPr>
            <w:tcW w:type="dxa" w:w="2400"/>
            <w:tcMar>
              <w:top w:type="dxa" w:w="80"/>
              <w:left w:type="dxa" w:w="100"/>
              <w:bottom w:type="dxa" w:w="80"/>
              <w:right w:type="dxa" w:w="100"/>
            </w:tcMar>
          </w:tcPr>
          <w:p>
            <w:r>
              <w:rPr>
                <w:b w:val="false"/>
                <w:bCs w:val="false"/>
                <w:sz w:val="20"/>
                <w:szCs w:val="20"/>
              </w:rPr>
              <w:t xml:space="preserve">Protection API directe</w:t>
            </w:r>
          </w:p>
        </w:tc>
        <w:tc>
          <w:tcPr>
            <w:tcW w:type="dxa" w:w="6950"/>
            <w:tcMar>
              <w:top w:type="dxa" w:w="80"/>
              <w:left w:type="dxa" w:w="100"/>
              <w:bottom w:type="dxa" w:w="80"/>
              <w:right w:type="dxa" w:w="100"/>
            </w:tcMar>
          </w:tcPr>
          <w:p>
            <w:r>
              <w:rPr>
                <w:b w:val="false"/>
                <w:bCs w:val="false"/>
                <w:sz w:val="20"/>
                <w:szCs w:val="20"/>
              </w:rPr>
              <w:t xml:space="preserve">GET/PUT directs sur le compte Super Administrateur (par son id, connu à l'avance) refusés en 403 pour un Administrateur standard, autorisés pour le Super Administrateur ; chaque tentative refusée est journalisée en audit.</w:t>
            </w:r>
          </w:p>
        </w:tc>
      </w:tr>
      <w:tr>
        <w:tc>
          <w:tcPr>
            <w:tcW w:type="dxa" w:w="2400"/>
            <w:tcMar>
              <w:top w:type="dxa" w:w="80"/>
              <w:left w:type="dxa" w:w="100"/>
              <w:bottom w:type="dxa" w:w="80"/>
              <w:right w:type="dxa" w:w="100"/>
            </w:tcMar>
          </w:tcPr>
          <w:p>
            <w:r>
              <w:rPr>
                <w:b w:val="false"/>
                <w:bCs w:val="false"/>
                <w:sz w:val="20"/>
                <w:szCs w:val="20"/>
              </w:rPr>
              <w:t xml:space="preserve">Restriction prise en main</w:t>
            </w:r>
          </w:p>
        </w:tc>
        <w:tc>
          <w:tcPr>
            <w:tcW w:type="dxa" w:w="6950"/>
            <w:tcMar>
              <w:top w:type="dxa" w:w="80"/>
              <w:left w:type="dxa" w:w="100"/>
              <w:bottom w:type="dxa" w:w="80"/>
              <w:right w:type="dxa" w:w="100"/>
            </w:tcMar>
          </w:tcPr>
          <w:p>
            <w:r>
              <w:rPr>
                <w:b w:val="false"/>
                <w:bCs w:val="false"/>
                <w:sz w:val="20"/>
                <w:szCs w:val="20"/>
              </w:rPr>
              <w:t xml:space="preserve">Un Administrateur standard ne peut pas appeler l'endpoint de prise en main exceptionnelle, même en connaissant son existence.</w:t>
            </w:r>
          </w:p>
        </w:tc>
      </w:tr>
      <w:tr>
        <w:tc>
          <w:tcPr>
            <w:tcW w:type="dxa" w:w="2400"/>
            <w:tcMar>
              <w:top w:type="dxa" w:w="80"/>
              <w:left w:type="dxa" w:w="100"/>
              <w:bottom w:type="dxa" w:w="80"/>
              <w:right w:type="dxa" w:w="100"/>
            </w:tcMar>
          </w:tcPr>
          <w:p>
            <w:r>
              <w:rPr>
                <w:b w:val="false"/>
                <w:bCs w:val="false"/>
                <w:sz w:val="20"/>
                <w:szCs w:val="20"/>
              </w:rPr>
              <w:t xml:space="preserve">FIPH « L 99 » de bout en bout</w:t>
            </w:r>
          </w:p>
        </w:tc>
        <w:tc>
          <w:tcPr>
            <w:tcW w:type="dxa" w:w="6950"/>
            <w:tcMar>
              <w:top w:type="dxa" w:w="80"/>
              <w:left w:type="dxa" w:w="100"/>
              <w:bottom w:type="dxa" w:w="80"/>
              <w:right w:type="dxa" w:w="100"/>
            </w:tcMar>
          </w:tcPr>
          <w:p>
            <w:r>
              <w:rPr>
                <w:b w:val="false"/>
                <w:bCs w:val="false"/>
                <w:sz w:val="20"/>
                <w:szCs w:val="20"/>
              </w:rPr>
              <w:t xml:space="preserve">Précréation → notification CA/PH → validation niveau 2 → notification RA → validation niveau 3 → notification Direction → validation niveau 4 → notification au titulaire ; anti-IDOR vérifié (un tiers ne reçoit ni ne peut marquer comme lue la notification d'un autre).</w:t>
            </w:r>
          </w:p>
        </w:tc>
      </w:tr>
      <w:tr>
        <w:tc>
          <w:tcPr>
            <w:tcW w:type="dxa" w:w="2400"/>
            <w:tcMar>
              <w:top w:type="dxa" w:w="80"/>
              <w:left w:type="dxa" w:w="100"/>
              <w:bottom w:type="dxa" w:w="80"/>
              <w:right w:type="dxa" w:w="100"/>
            </w:tcMar>
          </w:tcPr>
          <w:p>
            <w:r>
              <w:rPr>
                <w:b w:val="false"/>
                <w:bCs w:val="false"/>
                <w:sz w:val="20"/>
                <w:szCs w:val="20"/>
              </w:rPr>
              <w:t xml:space="preserve">Interruption + prise en main</w:t>
            </w:r>
          </w:p>
        </w:tc>
        <w:tc>
          <w:tcPr>
            <w:tcW w:type="dxa" w:w="6950"/>
            <w:tcMar>
              <w:top w:type="dxa" w:w="80"/>
              <w:left w:type="dxa" w:w="100"/>
              <w:bottom w:type="dxa" w:w="80"/>
              <w:right w:type="dxa" w:w="100"/>
            </w:tcMar>
          </w:tcPr>
          <w:p>
            <w:r>
              <w:rPr>
                <w:b w:val="false"/>
                <w:bCs w:val="false"/>
                <w:sz w:val="20"/>
                <w:szCs w:val="20"/>
              </w:rPr>
              <w:t xml:space="preserve">FIPH interrompue au niveau 2, commentaire obligatoire vérifié (refus si vide), prise en main exceptionnelle jusqu'à validation définitive, traçabilité distincte niveau normal / niveau exceptionnel vérifiée ligne par ligne, audit vérifié, déjà-validée refusée.</w:t>
            </w:r>
          </w:p>
        </w:tc>
      </w:tr>
    </w:tbl>
    <w:p>
      <w:pPr>
        <w:pStyle w:val="Heading2"/>
        <w:spacing w:after="120" w:before="260"/>
      </w:pPr>
      <w:r>
        <w:t xml:space="preserve">5.2 Résultats globaux (suite complète, exécution propre depuis zéro)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500"/>
        <w:gridCol w:w="3850"/>
      </w:tblGrid>
      <w:tr>
        <w:trPr>
          <w:tblHeader/>
        </w:trPr>
        <w:tc>
          <w:tcPr>
            <w:tcW w:type="dxa" w:w="5500"/>
            <w:shd w:fill="1D1D1B" w:val="clear"/>
            <w:tcMar>
              <w:top w:type="dxa" w:w="80"/>
              <w:left w:type="dxa" w:w="100"/>
              <w:bottom w:type="dxa" w:w="80"/>
              <w:right w:type="dxa" w:w="100"/>
            </w:tcMar>
          </w:tcPr>
          <w:p>
            <w:r>
              <w:rPr>
                <w:b/>
                <w:bCs/>
                <w:color w:val="FFFFFF"/>
                <w:sz w:val="20"/>
                <w:szCs w:val="20"/>
              </w:rPr>
              <w:t xml:space="preserve">Suite</w:t>
            </w:r>
          </w:p>
        </w:tc>
        <w:tc>
          <w:tcPr>
            <w:tcW w:type="dxa" w:w="3850"/>
            <w:shd w:fill="1D1D1B" w:val="clear"/>
            <w:tcMar>
              <w:top w:type="dxa" w:w="80"/>
              <w:left w:type="dxa" w:w="100"/>
              <w:bottom w:type="dxa" w:w="80"/>
              <w:right w:type="dxa" w:w="100"/>
            </w:tcMar>
          </w:tcPr>
          <w:p>
            <w:r>
              <w:rPr>
                <w:b/>
                <w:bCs/>
                <w:color w:val="FFFFFF"/>
                <w:sz w:val="20"/>
                <w:szCs w:val="20"/>
              </w:rPr>
              <w:t xml:space="preserve">Résultat</w:t>
            </w:r>
          </w:p>
        </w:tc>
      </w:tr>
      <w:tr>
        <w:tc>
          <w:tcPr>
            <w:tcW w:type="dxa" w:w="5500"/>
            <w:tcMar>
              <w:top w:type="dxa" w:w="80"/>
              <w:left w:type="dxa" w:w="100"/>
              <w:bottom w:type="dxa" w:w="80"/>
              <w:right w:type="dxa" w:w="100"/>
            </w:tcMar>
          </w:tcPr>
          <w:p>
            <w:r>
              <w:rPr>
                <w:b w:val="false"/>
                <w:bCs w:val="false"/>
                <w:sz w:val="20"/>
                <w:szCs w:val="20"/>
              </w:rPr>
              <w:t xml:space="preserve">Backend — 7 classes de tests d'intégration</w:t>
            </w:r>
          </w:p>
        </w:tc>
        <w:tc>
          <w:tcPr>
            <w:tcW w:type="dxa" w:w="3850"/>
            <w:tcMar>
              <w:top w:type="dxa" w:w="80"/>
              <w:left w:type="dxa" w:w="100"/>
              <w:bottom w:type="dxa" w:w="80"/>
              <w:right w:type="dxa" w:w="100"/>
            </w:tcMar>
          </w:tcPr>
          <w:p>
            <w:r>
              <w:rPr>
                <w:b w:val="false"/>
                <w:bCs w:val="false"/>
                <w:sz w:val="20"/>
                <w:szCs w:val="20"/>
              </w:rPr>
              <w:t xml:space="preserve">30 tests, 0 échec, 0 erreur</w:t>
            </w:r>
          </w:p>
        </w:tc>
      </w:tr>
      <w:tr>
        <w:tc>
          <w:tcPr>
            <w:tcW w:type="dxa" w:w="5500"/>
            <w:tcMar>
              <w:top w:type="dxa" w:w="80"/>
              <w:left w:type="dxa" w:w="100"/>
              <w:bottom w:type="dxa" w:w="80"/>
              <w:right w:type="dxa" w:w="100"/>
            </w:tcMar>
          </w:tcPr>
          <w:p>
            <w:r>
              <w:rPr>
                <w:b w:val="false"/>
                <w:bCs w:val="false"/>
                <w:sz w:val="20"/>
                <w:szCs w:val="20"/>
              </w:rPr>
              <w:t xml:space="preserve">Frontend — vitest</w:t>
            </w:r>
          </w:p>
        </w:tc>
        <w:tc>
          <w:tcPr>
            <w:tcW w:type="dxa" w:w="3850"/>
            <w:tcMar>
              <w:top w:type="dxa" w:w="80"/>
              <w:left w:type="dxa" w:w="100"/>
              <w:bottom w:type="dxa" w:w="80"/>
              <w:right w:type="dxa" w:w="100"/>
            </w:tcMar>
          </w:tcPr>
          <w:p>
            <w:r>
              <w:rPr>
                <w:b w:val="false"/>
                <w:bCs w:val="false"/>
                <w:sz w:val="20"/>
                <w:szCs w:val="20"/>
              </w:rPr>
              <w:t xml:space="preserve">42 tests, 0 échec</w:t>
            </w:r>
          </w:p>
        </w:tc>
      </w:tr>
      <w:tr>
        <w:tc>
          <w:tcPr>
            <w:tcW w:type="dxa" w:w="5500"/>
            <w:tcMar>
              <w:top w:type="dxa" w:w="80"/>
              <w:left w:type="dxa" w:w="100"/>
              <w:bottom w:type="dxa" w:w="80"/>
              <w:right w:type="dxa" w:w="100"/>
            </w:tcMar>
          </w:tcPr>
          <w:p>
            <w:r>
              <w:rPr>
                <w:b w:val="false"/>
                <w:bCs w:val="false"/>
                <w:sz w:val="20"/>
                <w:szCs w:val="20"/>
              </w:rPr>
              <w:t xml:space="preserve">Frontend — TypeScript (tsc -b)</w:t>
            </w:r>
          </w:p>
        </w:tc>
        <w:tc>
          <w:tcPr>
            <w:tcW w:type="dxa" w:w="3850"/>
            <w:tcMar>
              <w:top w:type="dxa" w:w="80"/>
              <w:left w:type="dxa" w:w="100"/>
              <w:bottom w:type="dxa" w:w="80"/>
              <w:right w:type="dxa" w:w="100"/>
            </w:tcMar>
          </w:tcPr>
          <w:p>
            <w:r>
              <w:rPr>
                <w:b w:val="false"/>
                <w:bCs w:val="false"/>
                <w:sz w:val="20"/>
                <w:szCs w:val="20"/>
              </w:rPr>
              <w:t xml:space="preserve">Compilation propre, 0 erreur</w:t>
            </w:r>
          </w:p>
        </w:tc>
      </w:tr>
    </w:tbl>
    <w:p>
      <w:pPr>
        <w:pStyle w:val="Heading2"/>
        <w:spacing w:after="120" w:before="260"/>
      </w:pPr>
      <w:r>
        <w:t xml:space="preserve">5.3 Vérification manuelle en conditions réelles (navigateur + base de données)</w:t>
      </w:r>
    </w:p>
    <w:p>
      <w:pPr>
        <w:pStyle w:val="ListParagraph"/>
        <w:numPr>
          <w:ilvl w:val="0"/>
          <w:numId w:val="1"/>
        </w:numPr>
        <w:spacing w:after="60"/>
      </w:pPr>
      <w:r>
        <w:t xml:space="preserve">Migration V11 appliquée avec succès sur la base de développement (Flyway), backend redémarré sans erreur.</w:t>
      </w:r>
    </w:p>
    <w:p>
      <w:pPr>
        <w:pStyle w:val="ListParagraph"/>
        <w:numPr>
          <w:ilvl w:val="0"/>
          <w:numId w:val="1"/>
        </w:numPr>
        <w:spacing w:after="60"/>
      </w:pPr>
      <w:r>
        <w:t xml:space="preserve">Connexion réelle en tant qu'Administrateur standard (admin) : compte Super Administrateur absent de la liste, absent du sélecteur de rôle, accès direct par id refusé (403), consultation des habilitations refusée (403).</w:t>
      </w:r>
    </w:p>
    <w:p>
      <w:pPr>
        <w:pStyle w:val="ListParagraph"/>
        <w:numPr>
          <w:ilvl w:val="0"/>
          <w:numId w:val="1"/>
        </w:numPr>
        <w:spacing w:after="60"/>
      </w:pPr>
      <w:r>
        <w:t xml:space="preserve">Connexion réelle en tant que Super Administrateur (R.dorn) : accès complet confirmé, panneau de prise en main visible sur une FIPH non finalisée.</w:t>
      </w:r>
    </w:p>
    <w:p>
      <w:pPr>
        <w:pStyle w:val="ListParagraph"/>
        <w:numPr>
          <w:ilvl w:val="0"/>
          <w:numId w:val="1"/>
        </w:numPr>
        <w:spacing w:after="60"/>
      </w:pPr>
      <w:r>
        <w:t xml:space="preserve">Événements ACCES_REFUSE retrouvés en base après chaque tentative bloquée.</w:t>
      </w:r>
    </w:p>
    <w:p>
      <w:pPr>
        <w:pStyle w:val="ListParagraph"/>
        <w:numPr>
          <w:ilvl w:val="0"/>
          <w:numId w:val="1"/>
        </w:numPr>
        <w:spacing w:after="60"/>
      </w:pPr>
      <w:r>
        <w:t xml:space="preserve">Centre de notifications vérifié visuellement à 375px, 700px et 1280px de large après correction du bug de positionnement.</w:t>
      </w:r>
    </w:p>
    <w:p>
      <w:pPr>
        <w:pStyle w:val="Heading1"/>
        <w:spacing w:after="150" w:before="300"/>
      </w:pPr>
      <w:r>
        <w:t xml:space="preserve">6. Non-régression</w:t>
      </w:r>
    </w:p>
    <w:p>
      <w:pPr>
        <w:spacing w:after="120"/>
      </w:pPr>
      <w:r>
        <w:t xml:space="preserve">L'intégralité de la suite de tests existante (missions/affectations, bons de sortie, personnes à bord, workflow FIPH standard, audit et export PDF, authentification, hiérarchie de rôles antérieure) a été rejouée sans modification et passe intégralement aux côtés des nouveaux tests — voir le tableau du §5.2, qui inclut ces classes préexistantes.</w:t>
      </w:r>
    </w:p>
    <w:p>
      <w:pPr>
        <w:pStyle w:val="Heading1"/>
        <w:spacing w:after="150" w:before="300"/>
      </w:pPr>
      <w:r>
        <w:t xml:space="preserve">7. Point d'attention pour l'utilisateur</w:t>
      </w:r>
    </w:p>
    <w:p>
      <w:pPr>
        <w:spacing w:after="120"/>
      </w:pPr>
      <w:r>
        <w:rPr>
          <w:i/>
          <w:iCs/>
        </w:rPr>
        <w:t xml:space="preserve">Pour mener les vérifications par appels API réels (exigées explicitement par la mission — « teste également les appels directs aux API »), le mot de passe du compte de développement admin a été réinitialisé à une valeur de test (TestAdm1nQA!2026) via le compte Super Administrateur, faute de connaître le mot de passe original. Aucune autre donnée du compte n'a été modifiée. À signaler si ce compte est utilisé en dehors du développement.</w:t>
      </w:r>
    </w:p>
    <w:p>
      <w:pPr>
        <w:pStyle w:val="Heading1"/>
        <w:spacing w:after="150" w:before="300"/>
      </w:pPr>
      <w:r>
        <w:t xml:space="preserve">8. Fichiers livrés (résumé)</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D1D1B" w:val="clear"/>
            <w:tcMar>
              <w:top w:type="dxa" w:w="80"/>
              <w:left w:type="dxa" w:w="100"/>
              <w:bottom w:type="dxa" w:w="80"/>
              <w:right w:type="dxa" w:w="100"/>
            </w:tcMar>
          </w:tcPr>
          <w:p>
            <w:r>
              <w:rPr>
                <w:b/>
                <w:bCs/>
                <w:color w:val="FFFFFF"/>
                <w:sz w:val="20"/>
                <w:szCs w:val="20"/>
              </w:rPr>
              <w:t xml:space="preserve">Zone</w:t>
            </w:r>
          </w:p>
        </w:tc>
        <w:tc>
          <w:tcPr>
            <w:tcW w:type="dxa" w:w="6750"/>
            <w:shd w:fill="1D1D1B" w:val="clear"/>
            <w:tcMar>
              <w:top w:type="dxa" w:w="80"/>
              <w:left w:type="dxa" w:w="100"/>
              <w:bottom w:type="dxa" w:w="80"/>
              <w:right w:type="dxa" w:w="100"/>
            </w:tcMar>
          </w:tcPr>
          <w:p>
            <w:r>
              <w:rPr>
                <w:b/>
                <w:bCs/>
                <w:color w:val="FFFFFF"/>
                <w:sz w:val="20"/>
                <w:szCs w:val="20"/>
              </w:rPr>
              <w:t xml:space="preserve">Fichiers principaux</w:t>
            </w:r>
          </w:p>
        </w:tc>
      </w:tr>
      <w:tr>
        <w:tc>
          <w:tcPr>
            <w:tcW w:type="dxa" w:w="2600"/>
            <w:tcMar>
              <w:top w:type="dxa" w:w="80"/>
              <w:left w:type="dxa" w:w="100"/>
              <w:bottom w:type="dxa" w:w="80"/>
              <w:right w:type="dxa" w:w="100"/>
            </w:tcMar>
          </w:tcPr>
          <w:p>
            <w:r>
              <w:rPr>
                <w:b w:val="false"/>
                <w:bCs w:val="false"/>
                <w:sz w:val="20"/>
                <w:szCs w:val="20"/>
              </w:rPr>
              <w:t xml:space="preserve">Migration base de données</w:t>
            </w:r>
          </w:p>
        </w:tc>
        <w:tc>
          <w:tcPr>
            <w:tcW w:type="dxa" w:w="6750"/>
            <w:tcMar>
              <w:top w:type="dxa" w:w="80"/>
              <w:left w:type="dxa" w:w="100"/>
              <w:bottom w:type="dxa" w:w="80"/>
              <w:right w:type="dxa" w:w="100"/>
            </w:tcMar>
          </w:tcPr>
          <w:p>
            <w:r>
              <w:rPr>
                <w:b w:val="false"/>
                <w:bCs w:val="false"/>
                <w:sz w:val="20"/>
                <w:szCs w:val="20"/>
              </w:rPr>
              <w:t xml:space="preserve">V11__notifications_et_prise_en_main.sql (backend + mirroir database/migrations/)</w:t>
            </w:r>
          </w:p>
        </w:tc>
      </w:tr>
      <w:tr>
        <w:tc>
          <w:tcPr>
            <w:tcW w:type="dxa" w:w="2600"/>
            <w:tcMar>
              <w:top w:type="dxa" w:w="80"/>
              <w:left w:type="dxa" w:w="100"/>
              <w:bottom w:type="dxa" w:w="80"/>
              <w:right w:type="dxa" w:w="100"/>
            </w:tcMar>
          </w:tcPr>
          <w:p>
            <w:r>
              <w:rPr>
                <w:b w:val="false"/>
                <w:bCs w:val="false"/>
                <w:sz w:val="20"/>
                <w:szCs w:val="20"/>
              </w:rPr>
              <w:t xml:space="preserve">Backend — notifications</w:t>
            </w:r>
          </w:p>
        </w:tc>
        <w:tc>
          <w:tcPr>
            <w:tcW w:type="dxa" w:w="6750"/>
            <w:tcMar>
              <w:top w:type="dxa" w:w="80"/>
              <w:left w:type="dxa" w:w="100"/>
              <w:bottom w:type="dxa" w:w="80"/>
              <w:right w:type="dxa" w:w="100"/>
            </w:tcMar>
          </w:tcPr>
          <w:p>
            <w:r>
              <w:rPr>
                <w:b w:val="false"/>
                <w:bCs w:val="false"/>
                <w:sz w:val="20"/>
                <w:szCs w:val="20"/>
              </w:rPr>
              <w:t xml:space="preserve">package notification/ complet (entité, repository, DTO, mapper, service, contrôleur)</w:t>
            </w:r>
          </w:p>
        </w:tc>
      </w:tr>
      <w:tr>
        <w:tc>
          <w:tcPr>
            <w:tcW w:type="dxa" w:w="2600"/>
            <w:tcMar>
              <w:top w:type="dxa" w:w="80"/>
              <w:left w:type="dxa" w:w="100"/>
              <w:bottom w:type="dxa" w:w="80"/>
              <w:right w:type="dxa" w:w="100"/>
            </w:tcMar>
          </w:tcPr>
          <w:p>
            <w:r>
              <w:rPr>
                <w:b w:val="false"/>
                <w:bCs w:val="false"/>
                <w:sz w:val="20"/>
                <w:szCs w:val="20"/>
              </w:rPr>
              <w:t xml:space="preserve">Backend — hiérarchie</w:t>
            </w:r>
          </w:p>
        </w:tc>
        <w:tc>
          <w:tcPr>
            <w:tcW w:type="dxa" w:w="6750"/>
            <w:tcMar>
              <w:top w:type="dxa" w:w="80"/>
              <w:left w:type="dxa" w:w="100"/>
              <w:bottom w:type="dxa" w:w="80"/>
              <w:right w:type="dxa" w:w="100"/>
            </w:tcMar>
          </w:tcPr>
          <w:p>
            <w:r>
              <w:rPr>
                <w:b w:val="false"/>
                <w:bCs w:val="false"/>
                <w:sz w:val="20"/>
                <w:szCs w:val="20"/>
              </w:rPr>
              <w:t xml:space="preserve">UtilisateurService.java, HabilitationService.java, AuditService.java (+ contrôleurs)</w:t>
            </w:r>
          </w:p>
        </w:tc>
      </w:tr>
      <w:tr>
        <w:tc>
          <w:tcPr>
            <w:tcW w:type="dxa" w:w="2600"/>
            <w:tcMar>
              <w:top w:type="dxa" w:w="80"/>
              <w:left w:type="dxa" w:w="100"/>
              <w:bottom w:type="dxa" w:w="80"/>
              <w:right w:type="dxa" w:w="100"/>
            </w:tcMar>
          </w:tcPr>
          <w:p>
            <w:r>
              <w:rPr>
                <w:b w:val="false"/>
                <w:bCs w:val="false"/>
                <w:sz w:val="20"/>
                <w:szCs w:val="20"/>
              </w:rPr>
              <w:t xml:space="preserve">Backend — prise en main</w:t>
            </w:r>
          </w:p>
        </w:tc>
        <w:tc>
          <w:tcPr>
            <w:tcW w:type="dxa" w:w="6750"/>
            <w:tcMar>
              <w:top w:type="dxa" w:w="80"/>
              <w:left w:type="dxa" w:w="100"/>
              <w:bottom w:type="dxa" w:w="80"/>
              <w:right w:type="dxa" w:w="100"/>
            </w:tcMar>
          </w:tcPr>
          <w:p>
            <w:r>
              <w:rPr>
                <w:b w:val="false"/>
                <w:bCs w:val="false"/>
                <w:sz w:val="20"/>
                <w:szCs w:val="20"/>
              </w:rPr>
              <w:t xml:space="preserve">FiphVersionService.java, Validation.java, PriseEnMainSuperAdminRequest.java, FiphVersionController.java</w:t>
            </w:r>
          </w:p>
        </w:tc>
      </w:tr>
      <w:tr>
        <w:tc>
          <w:tcPr>
            <w:tcW w:type="dxa" w:w="2600"/>
            <w:tcMar>
              <w:top w:type="dxa" w:w="80"/>
              <w:left w:type="dxa" w:w="100"/>
              <w:bottom w:type="dxa" w:w="80"/>
              <w:right w:type="dxa" w:w="100"/>
            </w:tcMar>
          </w:tcPr>
          <w:p>
            <w:r>
              <w:rPr>
                <w:b w:val="false"/>
                <w:bCs w:val="false"/>
                <w:sz w:val="20"/>
                <w:szCs w:val="20"/>
              </w:rPr>
              <w:t xml:space="preserve">Backend — tests</w:t>
            </w:r>
          </w:p>
        </w:tc>
        <w:tc>
          <w:tcPr>
            <w:tcW w:type="dxa" w:w="6750"/>
            <w:tcMar>
              <w:top w:type="dxa" w:w="80"/>
              <w:left w:type="dxa" w:w="100"/>
              <w:bottom w:type="dxa" w:w="80"/>
              <w:right w:type="dxa" w:w="100"/>
            </w:tcMar>
          </w:tcPr>
          <w:p>
            <w:r>
              <w:rPr>
                <w:b w:val="false"/>
                <w:bCs w:val="false"/>
                <w:sz w:val="20"/>
                <w:szCs w:val="20"/>
              </w:rPr>
              <w:t xml:space="preserve">EvolutionAdministrationFiphNotificationsIT.java (5 tests)</w:t>
            </w:r>
          </w:p>
        </w:tc>
      </w:tr>
      <w:tr>
        <w:tc>
          <w:tcPr>
            <w:tcW w:type="dxa" w:w="2600"/>
            <w:tcMar>
              <w:top w:type="dxa" w:w="80"/>
              <w:left w:type="dxa" w:w="100"/>
              <w:bottom w:type="dxa" w:w="80"/>
              <w:right w:type="dxa" w:w="100"/>
            </w:tcMar>
          </w:tcPr>
          <w:p>
            <w:r>
              <w:rPr>
                <w:b w:val="false"/>
                <w:bCs w:val="false"/>
                <w:sz w:val="20"/>
                <w:szCs w:val="20"/>
              </w:rPr>
              <w:t xml:space="preserve">Frontend — notifications</w:t>
            </w:r>
          </w:p>
        </w:tc>
        <w:tc>
          <w:tcPr>
            <w:tcW w:type="dxa" w:w="6750"/>
            <w:tcMar>
              <w:top w:type="dxa" w:w="80"/>
              <w:left w:type="dxa" w:w="100"/>
              <w:bottom w:type="dxa" w:w="80"/>
              <w:right w:type="dxa" w:w="100"/>
            </w:tcMar>
          </w:tcPr>
          <w:p>
            <w:r>
              <w:rPr>
                <w:b w:val="false"/>
                <w:bCs w:val="false"/>
                <w:sz w:val="20"/>
                <w:szCs w:val="20"/>
              </w:rPr>
              <w:t xml:space="preserve">types/notification.ts, api/notificationApi.ts, components/NotificationCenter.tsx, AppLayout.tsx</w:t>
            </w:r>
          </w:p>
        </w:tc>
      </w:tr>
      <w:tr>
        <w:tc>
          <w:tcPr>
            <w:tcW w:type="dxa" w:w="2600"/>
            <w:tcMar>
              <w:top w:type="dxa" w:w="80"/>
              <w:left w:type="dxa" w:w="100"/>
              <w:bottom w:type="dxa" w:w="80"/>
              <w:right w:type="dxa" w:w="100"/>
            </w:tcMar>
          </w:tcPr>
          <w:p>
            <w:r>
              <w:rPr>
                <w:b w:val="false"/>
                <w:bCs w:val="false"/>
                <w:sz w:val="20"/>
                <w:szCs w:val="20"/>
              </w:rPr>
              <w:t xml:space="preserve">Frontend — prise en main / masquage</w:t>
            </w:r>
          </w:p>
        </w:tc>
        <w:tc>
          <w:tcPr>
            <w:tcW w:type="dxa" w:w="6750"/>
            <w:tcMar>
              <w:top w:type="dxa" w:w="80"/>
              <w:left w:type="dxa" w:w="100"/>
              <w:bottom w:type="dxa" w:w="80"/>
              <w:right w:type="dxa" w:w="100"/>
            </w:tcMar>
          </w:tcPr>
          <w:p>
            <w:r>
              <w:rPr>
                <w:b w:val="false"/>
                <w:bCs w:val="false"/>
                <w:sz w:val="20"/>
                <w:szCs w:val="20"/>
              </w:rPr>
              <w:t xml:space="preserve">pages/fiph/FiphDetailPage.tsx, pages/admin/AdminUtilisateursPage.tsx, api/fiphApi.ts, types/fiph.ts</w:t>
            </w:r>
          </w:p>
        </w:tc>
      </w:tr>
      <w:tr>
        <w:tc>
          <w:tcPr>
            <w:tcW w:type="dxa" w:w="2600"/>
            <w:tcMar>
              <w:top w:type="dxa" w:w="80"/>
              <w:left w:type="dxa" w:w="100"/>
              <w:bottom w:type="dxa" w:w="80"/>
              <w:right w:type="dxa" w:w="100"/>
            </w:tcMar>
          </w:tcPr>
          <w:p>
            <w:r>
              <w:rPr>
                <w:b w:val="false"/>
                <w:bCs w:val="false"/>
                <w:sz w:val="20"/>
                <w:szCs w:val="20"/>
              </w:rPr>
              <w:t xml:space="preserve">Frontend — style</w:t>
            </w:r>
          </w:p>
        </w:tc>
        <w:tc>
          <w:tcPr>
            <w:tcW w:type="dxa" w:w="6750"/>
            <w:tcMar>
              <w:top w:type="dxa" w:w="80"/>
              <w:left w:type="dxa" w:w="100"/>
              <w:bottom w:type="dxa" w:w="80"/>
              <w:right w:type="dxa" w:w="100"/>
            </w:tcMar>
          </w:tcPr>
          <w:p>
            <w:r>
              <w:rPr>
                <w:b w:val="false"/>
                <w:bCs w:val="false"/>
                <w:sz w:val="20"/>
                <w:szCs w:val="20"/>
              </w:rPr>
              <w:t xml:space="preserve">index.css (centre de notifications, panneau d'alerte, correction du bug de positionnement)</w:t>
            </w:r>
          </w:p>
        </w:tc>
      </w:tr>
    </w:tbl>
    <w:p>
      <w:pPr>
        <w:spacing w:before="400"/>
      </w:pPr>
      <w:r>
        <w:rPr>
          <w:i/>
          <w:iCs/>
          <w:color w:val="56646D"/>
        </w:rPr>
        <w:t xml:space="preserve">Fin du rapport.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2026-08-19T09:02:40.542Z</dcterms:created>
  <dcterms:modified xsi:type="dcterms:W3CDTF">2026-08-19T09:02:40.543Z</dcterms:modified>
</cp:coreProperties>
</file>

<file path=docProps/custom.xml><?xml version="1.0" encoding="utf-8"?>
<Properties xmlns="http://schemas.openxmlformats.org/officeDocument/2006/custom-properties" xmlns:vt="http://schemas.openxmlformats.org/officeDocument/2006/docPropsVTypes"/>
</file>