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8294"/>
          <w:sz w:val="20"/>
          <w:szCs w:val="20"/>
        </w:rPr>
        <w:t xml:space="preserve">SNEF Cameroun SA — Système SGBF</w:t>
      </w:r>
    </w:p>
    <w:p>
      <w:pPr>
        <w:spacing w:after="60"/>
      </w:pPr>
      <w:r>
        <w:rPr>
          <w:b/>
          <w:bCs/>
          <w:sz w:val="44"/>
          <w:szCs w:val="44"/>
        </w:rPr>
        <w:t xml:space="preserve">Périmètre strict par service du module FIPH</w:t>
      </w:r>
    </w:p>
    <w:p>
      <w:pPr>
        <w:spacing w:after="400"/>
      </w:pPr>
      <w:r>
        <w:rPr>
          <w:i/>
          <w:iCs/>
          <w:color w:val="56646D"/>
          <w:sz w:val="22"/>
          <w:szCs w:val="22"/>
        </w:rPr>
        <w:t xml:space="preserve">Rapport de mission — un seul service par acteur, cloisonnement backend, workflow de création/validation — 19 août 2026</w:t>
      </w:r>
    </w:p>
    <w:p>
      <w:pPr>
        <w:pStyle w:val="Heading1"/>
        <w:spacing w:after="150" w:before="300"/>
      </w:pPr>
      <w:r>
        <w:t xml:space="preserve">1. Synthèse</w:t>
      </w:r>
    </w:p>
    <w:p>
      <w:pPr>
        <w:spacing w:after="120"/>
      </w:pPr>
      <w:r>
        <w:t xml:space="preserve">Cette évolution impose qu'un Chargé d'Affaires, une Personne habilitée ou un Responsable d'Activité n'appartienne jamais qu'à un seul service à la fois, et que tout accès à une FIPH (consultation, création, modification, validation) reste strictement borné au service de l'acteur — vérifié côté backend, y compris par appel direct à l'API.</w:t>
      </w:r>
    </w:p>
    <w:p>
      <w:pPr>
        <w:spacing w:after="120"/>
      </w:pPr>
      <w:r>
        <w:rPr>
          <w:b/>
          <w:bCs/>
        </w:rPr>
        <w:t xml:space="preserve">Statut global : </w:t>
      </w:r>
    </w:p>
    <w:p>
      <w:pPr>
        <w:spacing w:after="200"/>
      </w:pPr>
      <w:r>
        <w:rPr>
          <w:b/>
          <w:bCs/>
          <w:color w:val="FFFFFF"/>
          <w:shd w:fill="1E7A34" w:val="clear"/>
        </w:rPr>
        <w:t xml:space="preserve"> TERMINÉ ET VÉRIFIÉ </w:t>
      </w:r>
    </w:p>
    <w:p>
      <w:pPr>
        <w:spacing w:after="120"/>
      </w:pPr>
      <w:r>
        <w:t xml:space="preserve">L'analyse préalable du code existant a montré que les contrôles d'autorisation (lecture, validation, gestion du pointage) étaient déjà correctement bornés par service, habilitation par habilitation. Le vrai manque se situait à l'attribution d'une habilitation : rien n'empêchait un même utilisateur de cumuler deux habilitations actives du même rôle sur deux services différents — c'est ce point précis qui a été corrigé, ce qui rend automatiquement les contrôles existants exclusifs par service. Deux anomalies réelles, non liées à la demande initiale mais découvertes pendant l'analyse et la vérification active, ont également été corrigées (voir §3).</w:t>
      </w:r>
    </w:p>
    <w:p>
      <w:pPr>
        <w:spacing w:after="120"/>
      </w:pPr>
      <w:r>
        <w:t xml:space="preserve">48 tests d'intégration backend (8 classes, dont 18 nouveaux couvrant explicitement les 10 scénarios demandés) et 42 tests unitaires frontend passent tous ; chaque comportement a de plus été rejoué en conditions réelles (base de données de développement, appels HTTP réels, interface React).</w:t>
      </w:r>
    </w:p>
    <w:p>
      <w:pPr>
        <w:pStyle w:val="Heading1"/>
        <w:spacing w:after="150" w:before="300"/>
      </w:pPr>
      <w:r>
        <w:t xml:space="preserve">2. Un seul service actif par rôle</w:t>
      </w:r>
    </w:p>
    <w:p>
      <w:pPr>
        <w:pStyle w:val="Heading2"/>
        <w:spacing w:after="120" w:before="260"/>
      </w:pPr>
      <w:r>
        <w:t xml:space="preserve">2.1 Règle appliquée</w:t>
      </w:r>
    </w:p>
    <w:p>
      <w:pPr>
        <w:spacing w:after="120"/>
      </w:pPr>
      <w:r>
        <w:t xml:space="preserve">Charge d'Affaires, Personne habilitée et Responsable d'Activité ne peuvent plus détenir deux habilitations actives du même rôle sur deux services différents. Toute tentative d'attribution d'un second service pour ce même rôle est refusée (422, règle RG-HAB-007), avec un message invitant à utiliser le changement de service plutôt qu'une seconde attribution.</w:t>
      </w:r>
    </w:p>
    <w:p>
      <w:pPr>
        <w:spacing w:after="120"/>
      </w:pPr>
      <w:r>
        <w:t xml:space="preserve">La Direction reste volontairement exclue de cette règle : le document source demande explicitement de ne pas lui imposer une restriction par service (portée transverse). Un Agent est déjà garanti à un seul service par la colonne service_id de sa fiche, non nullable — aucun changement nécessaire de ce côté.</w:t>
      </w:r>
    </w:p>
    <w:p>
      <w:pPr>
        <w:pStyle w:val="Heading2"/>
        <w:spacing w:after="120" w:before="260"/>
      </w:pPr>
      <w:r>
        <w:t xml:space="preserve">2.2 Changement de service : une action unique et tracée</w:t>
      </w:r>
    </w:p>
    <w:p>
      <w:pPr>
        <w:spacing w:after="120"/>
      </w:pPr>
      <w:r>
        <w:t xml:space="preserve">Plutôt que d'obliger un retrait suivi d'une nouvelle attribution (deux appels distincts, deux événements d'audit séparés, un instant sans aucune habilitation active), une nouvelle action dédiée « changer de service » retire l'ancienne habilitation et en crée une nouvelle, dans la même transaction, avec un seul événement d'audit CHANGEMENT_SERVICE_HABILITATION portant le service avant/après. Disponible dans l'écran d'administration (bouton « Changer » à côté de chaque habilitation concernée) et par l'API (PUT /api/habilitations/{id}/service).</w:t>
      </w:r>
    </w:p>
    <w:p>
      <w:pPr>
        <w:pStyle w:val="Heading2"/>
        <w:spacing w:after="120" w:before="260"/>
      </w:pPr>
      <w:r>
        <w:t xml:space="preserve">2.3 Anomalie réelle détectée dans les données de développement</w:t>
      </w:r>
    </w:p>
    <w:p>
      <w:pPr>
        <w:spacing w:after="80"/>
      </w:pPr>
      <w:r>
        <w:rPr>
          <w:b/>
          <w:bCs/>
          <w:color w:val="FFFFFF"/>
          <w:shd w:fill="B3261E" w:val="clear"/>
        </w:rPr>
        <w:t xml:space="preserve"> CORRIGÉE </w:t>
      </w:r>
    </w:p>
    <w:p>
      <w:pPr>
        <w:spacing w:after="120"/>
      </w:pPr>
      <w:r>
        <w:t xml:space="preserve">La vérification live a révélé que le compte de test ca.mbarga détenait déjà, dans la base de développement, trois habilitations Charge d'Affaires actives simultanées (deux services différents, dont un doublon exact sur le même service) — accumulées au fil de sessions de test antérieures, avant l'existence de cette règle. Nettoyé via l'API (retrait des deux doublons), puis reproduction de la tentative bloquée avec succès par la nouvelle règle, confirmant qu'elle empêche réellement la récidive.</w:t>
      </w:r>
    </w:p>
    <w:p>
      <w:pPr>
        <w:pStyle w:val="Heading1"/>
        <w:spacing w:after="150" w:before="300"/>
      </w:pPr>
      <w:r>
        <w:t xml:space="preserve">3. Deux anomalies réelles supplémentaires, identifiées pendant l'analyse</w:t>
      </w:r>
    </w:p>
    <w:p>
      <w:pPr>
        <w:pStyle w:val="Heading2"/>
        <w:spacing w:after="120" w:before="260"/>
      </w:pPr>
      <w:r>
        <w:t xml:space="preserve">3.1 FIPH invisible en liste pour le Responsable d'Activité</w:t>
      </w:r>
    </w:p>
    <w:p>
      <w:pPr>
        <w:spacing w:after="80"/>
      </w:pPr>
      <w:r>
        <w:rPr>
          <w:b/>
          <w:bCs/>
          <w:color w:val="FFFFFF"/>
          <w:shd w:fill="B3261E" w:val="clear"/>
        </w:rPr>
        <w:t xml:space="preserve"> CORRIGÉE </w:t>
      </w:r>
    </w:p>
    <w:p>
      <w:pPr>
        <w:spacing w:after="120"/>
      </w:pPr>
      <w:r>
        <w:t xml:space="preserve">L'endpoint de LISTE des FIPH ne considérait que Charge d'Affaires et Personne habilitée comme « gestionnaires » d'un service, oubliant le Responsable d'Activité — incohérent avec la consultation directe d'une FIPH par son identifiant, qui l'autorisait déjà. Un Responsable d'Activité ne voyait donc, dans la liste, que les FIPH dont il était lui-même l'agent titulaire, jamais celles de son service. Corrigé en distinguant désormais explicitement « qui gère le pointage » (Charge d'Affaires/Personne habilitée, inchangé) de « qui doit voir la liste des FIPH de son service » (les deux précédents, plus le Responsable d'Activité).</w:t>
      </w:r>
    </w:p>
    <w:p>
      <w:pPr>
        <w:pStyle w:val="Heading2"/>
        <w:spacing w:after="120" w:before="260"/>
      </w:pPr>
      <w:r>
        <w:t xml:space="preserve">3.2 FIPH manuelle bloquée indéfiniment pour un agent sans compte</w:t>
      </w:r>
    </w:p>
    <w:p>
      <w:pPr>
        <w:spacing w:after="80"/>
      </w:pPr>
      <w:r>
        <w:rPr>
          <w:b/>
          <w:bCs/>
          <w:color w:val="FFFFFF"/>
          <w:shd w:fill="B3261E" w:val="clear"/>
        </w:rPr>
        <w:t xml:space="preserve"> CORRIGÉE </w:t>
      </w:r>
    </w:p>
    <w:p>
      <w:pPr>
        <w:spacing w:after="120"/>
      </w:pPr>
      <w:r>
        <w:t xml:space="preserve">Une FIPH créée manuellement (Code Service) par un Charge d'Affaires ou une Personne habilitée restait au statut Brouillon, en attente que l'agent titulaire la signe lui-même. Or de nombreux agents sont enregistrés sans compte applicatif (cas courant et prévu par le modèle) : pour eux, cette signature était structurellement impossible, et la FIPH restait bloquée pour toujours. Corrigé en appliquant, pour cette origine aussi, le même visa automatique déjà en place pour les FIPH issues d'un bon de sortie — mais attribué cette fois au CRÉATEUR (toujours un Charge d'Affaires ou une Personne habilitée par construction), pas à l'agent. Ce correctif recoupe directement l'exigence explicite de la mission : « la FIPH ne doit plus attendre inutilement la validation de l'agent qui l'a créée ».</w:t>
      </w:r>
    </w:p>
    <w:p>
      <w:pPr>
        <w:spacing w:after="120"/>
      </w:pPr>
      <w:r>
        <w:t xml:space="preserve">Une conséquence de ce correctif a nécessité un ajustement supplémentaire : la règle de séparation des responsabilités (un valideur ne peut pas valider un document qu'il a lui-même créé) bloquait spécifiquement, et uniquement pour cette origine, le créateur lui-même — devenu incohérent une fois le visa automatique appliqué dès la création. Retiré, conformément à la section « Auto-validation de sa propre FIPH » de la mission, qui décrit explicitement ce cas comme autorisé : seule la SAISIE du contenu (complément de pointage) reste bloquante pour la validation, la création seule ne l'est plus — exactement le même principe déjà appliqué à l'origine bon de sortie.</w:t>
      </w:r>
    </w:p>
    <w:p>
      <w:pPr>
        <w:pStyle w:val="Heading1"/>
        <w:spacing w:after="150" w:before="300"/>
      </w:pPr>
      <w:r>
        <w:t xml:space="preserve">4. Vérification par les 10 scénarios demandés (section 18)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50"/>
      </w:tblGrid>
      <w:tr>
        <w:trPr>
          <w:tblHeader/>
        </w:trPr>
        <w:tc>
          <w:tcPr>
            <w:tcW w:type="dxa" w:w="900"/>
            <w:shd w:fill="1D1D1B" w:val="clear"/>
            <w:tcMar>
              <w:top w:type="dxa" w:w="80"/>
              <w:left w:type="dxa" w:w="100"/>
              <w:bottom w:type="dxa" w:w="80"/>
              <w:right w:type="dxa" w:w="100"/>
            </w:tcMar>
          </w:tcPr>
          <w:p>
            <w:r>
              <w:rPr>
                <w:b/>
                <w:bCs/>
                <w:color w:val="FFFFFF"/>
                <w:sz w:val="20"/>
                <w:szCs w:val="20"/>
              </w:rPr>
              <w:t xml:space="preserve">Test</w:t>
            </w:r>
          </w:p>
        </w:tc>
        <w:tc>
          <w:tcPr>
            <w:tcW w:type="dxa" w:w="6700"/>
            <w:shd w:fill="1D1D1B" w:val="clear"/>
            <w:tcMar>
              <w:top w:type="dxa" w:w="80"/>
              <w:left w:type="dxa" w:w="100"/>
              <w:bottom w:type="dxa" w:w="80"/>
              <w:right w:type="dxa" w:w="100"/>
            </w:tcMar>
          </w:tcPr>
          <w:p>
            <w:r>
              <w:rPr>
                <w:b/>
                <w:bCs/>
                <w:color w:val="FFFFFF"/>
                <w:sz w:val="20"/>
                <w:szCs w:val="20"/>
              </w:rPr>
              <w:t xml:space="preserve">Scénario</w:t>
            </w:r>
          </w:p>
        </w:tc>
        <w:tc>
          <w:tcPr>
            <w:tcW w:type="dxa" w:w="1750"/>
            <w:shd w:fill="1D1D1B" w:val="clear"/>
            <w:tcMar>
              <w:top w:type="dxa" w:w="80"/>
              <w:left w:type="dxa" w:w="100"/>
              <w:bottom w:type="dxa" w:w="80"/>
              <w:right w:type="dxa" w:w="100"/>
            </w:tcMar>
          </w:tcPr>
          <w:p>
            <w:r>
              <w:rPr>
                <w:b/>
                <w:bCs/>
                <w:color w:val="FFFFFF"/>
                <w:sz w:val="20"/>
                <w:szCs w:val="20"/>
              </w:rPr>
              <w:t xml:space="preserve">Résultat</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6700"/>
            <w:tcMar>
              <w:top w:type="dxa" w:w="80"/>
              <w:left w:type="dxa" w:w="100"/>
              <w:bottom w:type="dxa" w:w="80"/>
              <w:right w:type="dxa" w:w="100"/>
            </w:tcMar>
          </w:tcPr>
          <w:p>
            <w:r>
              <w:rPr>
                <w:b w:val="false"/>
                <w:bCs w:val="false"/>
                <w:sz w:val="20"/>
                <w:szCs w:val="20"/>
              </w:rPr>
              <w:t xml:space="preserve">Charge d'Affaires Littoral consulte les FIPH Littoral</w:t>
            </w:r>
          </w:p>
        </w:tc>
        <w:tc>
          <w:tcPr>
            <w:tcW w:type="dxa" w:w="1750"/>
            <w:tcMar>
              <w:top w:type="dxa" w:w="80"/>
              <w:left w:type="dxa" w:w="100"/>
              <w:bottom w:type="dxa" w:w="80"/>
              <w:right w:type="dxa" w:w="100"/>
            </w:tcMar>
          </w:tcPr>
          <w:p>
            <w:r>
              <w:rPr>
                <w:b w:val="false"/>
                <w:bCs w:val="false"/>
                <w:sz w:val="20"/>
                <w:szCs w:val="20"/>
              </w:rPr>
              <w:t xml:space="preserve">RÉUSSI</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6700"/>
            <w:tcMar>
              <w:top w:type="dxa" w:w="80"/>
              <w:left w:type="dxa" w:w="100"/>
              <w:bottom w:type="dxa" w:w="80"/>
              <w:right w:type="dxa" w:w="100"/>
            </w:tcMar>
          </w:tcPr>
          <w:p>
            <w:r>
              <w:rPr>
                <w:b w:val="false"/>
                <w:bCs w:val="false"/>
                <w:sz w:val="20"/>
                <w:szCs w:val="20"/>
              </w:rPr>
              <w:t xml:space="preserve">Charge d'Affaires Littoral tente de consulter les FIPH Centre</w:t>
            </w:r>
          </w:p>
        </w:tc>
        <w:tc>
          <w:tcPr>
            <w:tcW w:type="dxa" w:w="1750"/>
            <w:tcMar>
              <w:top w:type="dxa" w:w="80"/>
              <w:left w:type="dxa" w:w="100"/>
              <w:bottom w:type="dxa" w:w="80"/>
              <w:right w:type="dxa" w:w="100"/>
            </w:tcMar>
          </w:tcPr>
          <w:p>
            <w:r>
              <w:rPr>
                <w:b w:val="false"/>
                <w:bCs w:val="false"/>
                <w:sz w:val="20"/>
                <w:szCs w:val="20"/>
              </w:rPr>
              <w:t xml:space="preserve">REFUSÉ</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6700"/>
            <w:tcMar>
              <w:top w:type="dxa" w:w="80"/>
              <w:left w:type="dxa" w:w="100"/>
              <w:bottom w:type="dxa" w:w="80"/>
              <w:right w:type="dxa" w:w="100"/>
            </w:tcMar>
          </w:tcPr>
          <w:p>
            <w:r>
              <w:rPr>
                <w:b w:val="false"/>
                <w:bCs w:val="false"/>
                <w:sz w:val="20"/>
                <w:szCs w:val="20"/>
              </w:rPr>
              <w:t xml:space="preserve">Charge d'Affaires Littoral valide une FIPH Littoral</w:t>
            </w:r>
          </w:p>
        </w:tc>
        <w:tc>
          <w:tcPr>
            <w:tcW w:type="dxa" w:w="1750"/>
            <w:tcMar>
              <w:top w:type="dxa" w:w="80"/>
              <w:left w:type="dxa" w:w="100"/>
              <w:bottom w:type="dxa" w:w="80"/>
              <w:right w:type="dxa" w:w="100"/>
            </w:tcMar>
          </w:tcPr>
          <w:p>
            <w:r>
              <w:rPr>
                <w:b w:val="false"/>
                <w:bCs w:val="false"/>
                <w:sz w:val="20"/>
                <w:szCs w:val="20"/>
              </w:rPr>
              <w:t xml:space="preserve">RÉUSSI</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6700"/>
            <w:tcMar>
              <w:top w:type="dxa" w:w="80"/>
              <w:left w:type="dxa" w:w="100"/>
              <w:bottom w:type="dxa" w:w="80"/>
              <w:right w:type="dxa" w:w="100"/>
            </w:tcMar>
          </w:tcPr>
          <w:p>
            <w:r>
              <w:rPr>
                <w:b w:val="false"/>
                <w:bCs w:val="false"/>
                <w:sz w:val="20"/>
                <w:szCs w:val="20"/>
              </w:rPr>
              <w:t xml:space="preserve">Charge d'Affaires Littoral valide une FIPH Centre</w:t>
            </w:r>
          </w:p>
        </w:tc>
        <w:tc>
          <w:tcPr>
            <w:tcW w:type="dxa" w:w="1750"/>
            <w:tcMar>
              <w:top w:type="dxa" w:w="80"/>
              <w:left w:type="dxa" w:w="100"/>
              <w:bottom w:type="dxa" w:w="80"/>
              <w:right w:type="dxa" w:w="100"/>
            </w:tcMar>
          </w:tcPr>
          <w:p>
            <w:r>
              <w:rPr>
                <w:b w:val="false"/>
                <w:bCs w:val="false"/>
                <w:sz w:val="20"/>
                <w:szCs w:val="20"/>
              </w:rPr>
              <w:t xml:space="preserve">REFUSÉ</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6700"/>
            <w:tcMar>
              <w:top w:type="dxa" w:w="80"/>
              <w:left w:type="dxa" w:w="100"/>
              <w:bottom w:type="dxa" w:w="80"/>
              <w:right w:type="dxa" w:w="100"/>
            </w:tcMar>
          </w:tcPr>
          <w:p>
            <w:r>
              <w:rPr>
                <w:b w:val="false"/>
                <w:bCs w:val="false"/>
                <w:sz w:val="20"/>
                <w:szCs w:val="20"/>
              </w:rPr>
              <w:t xml:space="preserve">Personne habilitée Littoral intervient sur FIPH Littoral</w:t>
            </w:r>
          </w:p>
        </w:tc>
        <w:tc>
          <w:tcPr>
            <w:tcW w:type="dxa" w:w="1750"/>
            <w:tcMar>
              <w:top w:type="dxa" w:w="80"/>
              <w:left w:type="dxa" w:w="100"/>
              <w:bottom w:type="dxa" w:w="80"/>
              <w:right w:type="dxa" w:w="100"/>
            </w:tcMar>
          </w:tcPr>
          <w:p>
            <w:r>
              <w:rPr>
                <w:b w:val="false"/>
                <w:bCs w:val="false"/>
                <w:sz w:val="20"/>
                <w:szCs w:val="20"/>
              </w:rPr>
              <w:t xml:space="preserve">RÉUSSI</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6700"/>
            <w:tcMar>
              <w:top w:type="dxa" w:w="80"/>
              <w:left w:type="dxa" w:w="100"/>
              <w:bottom w:type="dxa" w:w="80"/>
              <w:right w:type="dxa" w:w="100"/>
            </w:tcMar>
          </w:tcPr>
          <w:p>
            <w:r>
              <w:rPr>
                <w:b w:val="false"/>
                <w:bCs w:val="false"/>
                <w:sz w:val="20"/>
                <w:szCs w:val="20"/>
              </w:rPr>
              <w:t xml:space="preserve">Personne habilitée Littoral intervient sur FIPH Centre</w:t>
            </w:r>
          </w:p>
        </w:tc>
        <w:tc>
          <w:tcPr>
            <w:tcW w:type="dxa" w:w="1750"/>
            <w:tcMar>
              <w:top w:type="dxa" w:w="80"/>
              <w:left w:type="dxa" w:w="100"/>
              <w:bottom w:type="dxa" w:w="80"/>
              <w:right w:type="dxa" w:w="100"/>
            </w:tcMar>
          </w:tcPr>
          <w:p>
            <w:r>
              <w:rPr>
                <w:b w:val="false"/>
                <w:bCs w:val="false"/>
                <w:sz w:val="20"/>
                <w:szCs w:val="20"/>
              </w:rPr>
              <w:t xml:space="preserve">REFUSÉ</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6700"/>
            <w:tcMar>
              <w:top w:type="dxa" w:w="80"/>
              <w:left w:type="dxa" w:w="100"/>
              <w:bottom w:type="dxa" w:w="80"/>
              <w:right w:type="dxa" w:w="100"/>
            </w:tcMar>
          </w:tcPr>
          <w:p>
            <w:r>
              <w:rPr>
                <w:b w:val="false"/>
                <w:bCs w:val="false"/>
                <w:sz w:val="20"/>
                <w:szCs w:val="20"/>
              </w:rPr>
              <w:t xml:space="preserve">Responsable Littoral valide une FIPH Littoral</w:t>
            </w:r>
          </w:p>
        </w:tc>
        <w:tc>
          <w:tcPr>
            <w:tcW w:type="dxa" w:w="1750"/>
            <w:tcMar>
              <w:top w:type="dxa" w:w="80"/>
              <w:left w:type="dxa" w:w="100"/>
              <w:bottom w:type="dxa" w:w="80"/>
              <w:right w:type="dxa" w:w="100"/>
            </w:tcMar>
          </w:tcPr>
          <w:p>
            <w:r>
              <w:rPr>
                <w:b w:val="false"/>
                <w:bCs w:val="false"/>
                <w:sz w:val="20"/>
                <w:szCs w:val="20"/>
              </w:rPr>
              <w:t xml:space="preserve">RÉUSSI</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6700"/>
            <w:tcMar>
              <w:top w:type="dxa" w:w="80"/>
              <w:left w:type="dxa" w:w="100"/>
              <w:bottom w:type="dxa" w:w="80"/>
              <w:right w:type="dxa" w:w="100"/>
            </w:tcMar>
          </w:tcPr>
          <w:p>
            <w:r>
              <w:rPr>
                <w:b w:val="false"/>
                <w:bCs w:val="false"/>
                <w:sz w:val="20"/>
                <w:szCs w:val="20"/>
              </w:rPr>
              <w:t xml:space="preserve">Responsable Littoral valide une FIPH Centre</w:t>
            </w:r>
          </w:p>
        </w:tc>
        <w:tc>
          <w:tcPr>
            <w:tcW w:type="dxa" w:w="1750"/>
            <w:tcMar>
              <w:top w:type="dxa" w:w="80"/>
              <w:left w:type="dxa" w:w="100"/>
              <w:bottom w:type="dxa" w:w="80"/>
              <w:right w:type="dxa" w:w="100"/>
            </w:tcMar>
          </w:tcPr>
          <w:p>
            <w:r>
              <w:rPr>
                <w:b w:val="false"/>
                <w:bCs w:val="false"/>
                <w:sz w:val="20"/>
                <w:szCs w:val="20"/>
              </w:rPr>
              <w:t xml:space="preserve">REFUSÉ</w:t>
            </w:r>
          </w:p>
        </w:tc>
      </w:tr>
      <w:tr>
        <w:tc>
          <w:tcPr>
            <w:tcW w:type="dxa" w:w="900"/>
            <w:tcMar>
              <w:top w:type="dxa" w:w="80"/>
              <w:left w:type="dxa" w:w="100"/>
              <w:bottom w:type="dxa" w:w="80"/>
              <w:right w:type="dxa" w:w="100"/>
            </w:tcMar>
          </w:tcPr>
          <w:p>
            <w:r>
              <w:rPr>
                <w:b w:val="false"/>
                <w:bCs w:val="false"/>
                <w:sz w:val="20"/>
                <w:szCs w:val="20"/>
              </w:rPr>
              <w:t xml:space="preserve">9</w:t>
            </w:r>
          </w:p>
        </w:tc>
        <w:tc>
          <w:tcPr>
            <w:tcW w:type="dxa" w:w="6700"/>
            <w:tcMar>
              <w:top w:type="dxa" w:w="80"/>
              <w:left w:type="dxa" w:w="100"/>
              <w:bottom w:type="dxa" w:w="80"/>
              <w:right w:type="dxa" w:w="100"/>
            </w:tcMar>
          </w:tcPr>
          <w:p>
            <w:r>
              <w:rPr>
                <w:b w:val="false"/>
                <w:bCs w:val="false"/>
                <w:sz w:val="20"/>
                <w:szCs w:val="20"/>
              </w:rPr>
              <w:t xml:space="preserve">Tentative directe via API pour contourner le filtre de service</w:t>
            </w:r>
          </w:p>
        </w:tc>
        <w:tc>
          <w:tcPr>
            <w:tcW w:type="dxa" w:w="1750"/>
            <w:tcMar>
              <w:top w:type="dxa" w:w="80"/>
              <w:left w:type="dxa" w:w="100"/>
              <w:bottom w:type="dxa" w:w="80"/>
              <w:right w:type="dxa" w:w="100"/>
            </w:tcMar>
          </w:tcPr>
          <w:p>
            <w:r>
              <w:rPr>
                <w:b w:val="false"/>
                <w:bCs w:val="false"/>
                <w:sz w:val="20"/>
                <w:szCs w:val="20"/>
              </w:rPr>
              <w:t xml:space="preserve">REFUSÉ</w:t>
            </w:r>
          </w:p>
        </w:tc>
      </w:tr>
      <w:tr>
        <w:tc>
          <w:tcPr>
            <w:tcW w:type="dxa" w:w="900"/>
            <w:tcMar>
              <w:top w:type="dxa" w:w="80"/>
              <w:left w:type="dxa" w:w="100"/>
              <w:bottom w:type="dxa" w:w="80"/>
              <w:right w:type="dxa" w:w="100"/>
            </w:tcMar>
          </w:tcPr>
          <w:p>
            <w:r>
              <w:rPr>
                <w:b w:val="false"/>
                <w:bCs w:val="false"/>
                <w:sz w:val="20"/>
                <w:szCs w:val="20"/>
              </w:rPr>
              <w:t xml:space="preserve">10</w:t>
            </w:r>
          </w:p>
        </w:tc>
        <w:tc>
          <w:tcPr>
            <w:tcW w:type="dxa" w:w="6700"/>
            <w:tcMar>
              <w:top w:type="dxa" w:w="80"/>
              <w:left w:type="dxa" w:w="100"/>
              <w:bottom w:type="dxa" w:w="80"/>
              <w:right w:type="dxa" w:w="100"/>
            </w:tcMar>
          </w:tcPr>
          <w:p>
            <w:r>
              <w:rPr>
                <w:b w:val="false"/>
                <w:bCs w:val="false"/>
                <w:sz w:val="20"/>
                <w:szCs w:val="20"/>
              </w:rPr>
              <w:t xml:space="preserve">Modification frauduleuse du service dans la requête</w:t>
            </w:r>
          </w:p>
        </w:tc>
        <w:tc>
          <w:tcPr>
            <w:tcW w:type="dxa" w:w="1750"/>
            <w:tcMar>
              <w:top w:type="dxa" w:w="80"/>
              <w:left w:type="dxa" w:w="100"/>
              <w:bottom w:type="dxa" w:w="80"/>
              <w:right w:type="dxa" w:w="100"/>
            </w:tcMar>
          </w:tcPr>
          <w:p>
            <w:r>
              <w:rPr>
                <w:b w:val="false"/>
                <w:bCs w:val="false"/>
                <w:sz w:val="20"/>
                <w:szCs w:val="20"/>
              </w:rPr>
              <w:t xml:space="preserve">REFUSÉ</w:t>
            </w:r>
          </w:p>
        </w:tc>
      </w:tr>
    </w:tbl>
    <w:p>
      <w:pPr>
        <w:spacing w:after="120"/>
      </w:pPr>
      <w:r>
        <w:rPr>
          <w:i/>
          <w:iCs/>
        </w:rPr>
        <w:t xml:space="preserve">Chaque scénario est un test automatisé réel (appel HTTP effectif, base MySQL de test, authentification réelle), pas une inspection de code — voir EvolutionPerimetreServiceFiphIT.java.</w:t>
      </w:r>
    </w:p>
    <w:p>
      <w:pPr>
        <w:pStyle w:val="Heading1"/>
        <w:spacing w:after="150" w:before="300"/>
      </w:pPr>
      <w:r>
        <w:t xml:space="preserve">5. Tests de création et parcours de bout en bout</w:t>
      </w:r>
    </w:p>
    <w:p>
      <w:pPr>
        <w:pStyle w:val="ListParagraph"/>
        <w:numPr>
          <w:ilvl w:val="0"/>
          <w:numId w:val="1"/>
        </w:numPr>
        <w:spacing w:after="60"/>
      </w:pPr>
      <w:r>
        <w:t xml:space="preserve">Création via bon de sortie : créateur effectif = l'agent, visa automatique déjà acquis, statut SIGNÉE, service copié de l'agent — comportement inchangé, revérifié.</w:t>
      </w:r>
    </w:p>
    <w:p>
      <w:pPr>
        <w:pStyle w:val="ListParagraph"/>
        <w:numPr>
          <w:ilvl w:val="0"/>
          <w:numId w:val="1"/>
        </w:numPr>
        <w:spacing w:after="60"/>
      </w:pPr>
      <w:r>
        <w:t xml:space="preserve">Création manuelle par un Charge d'Affaires : créateur = le Charge d'Affaires (jamais l'agent), visa automatique du créateur, statut SIGNÉE directement, éligible sans délai à la validation niveau 2 — y compris pour un agent sans compte applicatif.</w:t>
      </w:r>
    </w:p>
    <w:p>
      <w:pPr>
        <w:pStyle w:val="ListParagraph"/>
        <w:numPr>
          <w:ilvl w:val="0"/>
          <w:numId w:val="1"/>
        </w:numPr>
        <w:spacing w:after="60"/>
      </w:pPr>
      <w:r>
        <w:t xml:space="preserve">Création manuelle par une Personne habilitée : même comportement, créateur correctement identifié dans l'historique.</w:t>
      </w:r>
    </w:p>
    <w:p>
      <w:pPr>
        <w:pStyle w:val="ListParagraph"/>
        <w:numPr>
          <w:ilvl w:val="0"/>
          <w:numId w:val="1"/>
        </w:numPr>
        <w:spacing w:after="60"/>
      </w:pPr>
      <w:r>
        <w:t xml:space="preserve">Parcours complet bout-en-bout sur le service Littoral (création → niveau 2 → niveau 3 → niveau 4 → FIPH validée définitivement), puis reproduit intégralement et indépendamment sur le service Centre, avec des utilisateurs distincts — étanchéité vérifiée : le Responsable et le Charge d'Affaires du Littoral ne voient et ne valident jamais rien du Centre.</w:t>
      </w:r>
    </w:p>
    <w:p>
      <w:pPr>
        <w:pStyle w:val="Heading1"/>
        <w:spacing w:after="150" w:before="300"/>
      </w:pPr>
      <w:r>
        <w:t xml:space="preserve">6. Non-régression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D1D1B" w:val="clear"/>
            <w:tcMar>
              <w:top w:type="dxa" w:w="80"/>
              <w:left w:type="dxa" w:w="100"/>
              <w:bottom w:type="dxa" w:w="80"/>
              <w:right w:type="dxa" w:w="100"/>
            </w:tcMar>
          </w:tcPr>
          <w:p>
            <w:r>
              <w:rPr>
                <w:b/>
                <w:bCs/>
                <w:color w:val="FFFFFF"/>
                <w:sz w:val="20"/>
                <w:szCs w:val="20"/>
              </w:rPr>
              <w:t xml:space="preserve">Suite</w:t>
            </w:r>
          </w:p>
        </w:tc>
        <w:tc>
          <w:tcPr>
            <w:tcW w:type="dxa" w:w="3850"/>
            <w:shd w:fill="1D1D1B" w:val="clear"/>
            <w:tcMar>
              <w:top w:type="dxa" w:w="80"/>
              <w:left w:type="dxa" w:w="100"/>
              <w:bottom w:type="dxa" w:w="80"/>
              <w:right w:type="dxa" w:w="100"/>
            </w:tcMar>
          </w:tcPr>
          <w:p>
            <w:r>
              <w:rPr>
                <w:b/>
                <w:bCs/>
                <w:color w:val="FFFFFF"/>
                <w:sz w:val="20"/>
                <w:szCs w:val="20"/>
              </w:rPr>
              <w:t xml:space="preserve">Résultat</w:t>
            </w:r>
          </w:p>
        </w:tc>
      </w:tr>
      <w:tr>
        <w:tc>
          <w:tcPr>
            <w:tcW w:type="dxa" w:w="5500"/>
            <w:tcMar>
              <w:top w:type="dxa" w:w="80"/>
              <w:left w:type="dxa" w:w="100"/>
              <w:bottom w:type="dxa" w:w="80"/>
              <w:right w:type="dxa" w:w="100"/>
            </w:tcMar>
          </w:tcPr>
          <w:p>
            <w:r>
              <w:rPr>
                <w:b w:val="false"/>
                <w:bCs w:val="false"/>
                <w:sz w:val="20"/>
                <w:szCs w:val="20"/>
              </w:rPr>
              <w:t xml:space="preserve">Backend — 8 classes de tests d'intégration (48 tests)</w:t>
            </w:r>
          </w:p>
        </w:tc>
        <w:tc>
          <w:tcPr>
            <w:tcW w:type="dxa" w:w="3850"/>
            <w:tcMar>
              <w:top w:type="dxa" w:w="80"/>
              <w:left w:type="dxa" w:w="100"/>
              <w:bottom w:type="dxa" w:w="80"/>
              <w:right w:type="dxa" w:w="100"/>
            </w:tcMar>
          </w:tcPr>
          <w:p>
            <w:r>
              <w:rPr>
                <w:b w:val="false"/>
                <w:bCs w:val="false"/>
                <w:sz w:val="20"/>
                <w:szCs w:val="20"/>
              </w:rPr>
              <w:t xml:space="preserve">0 échec, 0 erreur</w:t>
            </w:r>
          </w:p>
        </w:tc>
      </w:tr>
      <w:tr>
        <w:tc>
          <w:tcPr>
            <w:tcW w:type="dxa" w:w="5500"/>
            <w:tcMar>
              <w:top w:type="dxa" w:w="80"/>
              <w:left w:type="dxa" w:w="100"/>
              <w:bottom w:type="dxa" w:w="80"/>
              <w:right w:type="dxa" w:w="100"/>
            </w:tcMar>
          </w:tcPr>
          <w:p>
            <w:r>
              <w:rPr>
                <w:b w:val="false"/>
                <w:bCs w:val="false"/>
                <w:sz w:val="20"/>
                <w:szCs w:val="20"/>
              </w:rPr>
              <w:t xml:space="preserve">Frontend — vitest (42 tests)</w:t>
            </w:r>
          </w:p>
        </w:tc>
        <w:tc>
          <w:tcPr>
            <w:tcW w:type="dxa" w:w="3850"/>
            <w:tcMar>
              <w:top w:type="dxa" w:w="80"/>
              <w:left w:type="dxa" w:w="100"/>
              <w:bottom w:type="dxa" w:w="80"/>
              <w:right w:type="dxa" w:w="100"/>
            </w:tcMar>
          </w:tcPr>
          <w:p>
            <w:r>
              <w:rPr>
                <w:b w:val="false"/>
                <w:bCs w:val="false"/>
                <w:sz w:val="20"/>
                <w:szCs w:val="20"/>
              </w:rPr>
              <w:t xml:space="preserve">0 échec</w:t>
            </w:r>
          </w:p>
        </w:tc>
      </w:tr>
      <w:tr>
        <w:tc>
          <w:tcPr>
            <w:tcW w:type="dxa" w:w="5500"/>
            <w:tcMar>
              <w:top w:type="dxa" w:w="80"/>
              <w:left w:type="dxa" w:w="100"/>
              <w:bottom w:type="dxa" w:w="80"/>
              <w:right w:type="dxa" w:w="100"/>
            </w:tcMar>
          </w:tcPr>
          <w:p>
            <w:r>
              <w:rPr>
                <w:b w:val="false"/>
                <w:bCs w:val="false"/>
                <w:sz w:val="20"/>
                <w:szCs w:val="20"/>
              </w:rPr>
              <w:t xml:space="preserve">Frontend — TypeScript (tsc -b)</w:t>
            </w:r>
          </w:p>
        </w:tc>
        <w:tc>
          <w:tcPr>
            <w:tcW w:type="dxa" w:w="3850"/>
            <w:tcMar>
              <w:top w:type="dxa" w:w="80"/>
              <w:left w:type="dxa" w:w="100"/>
              <w:bottom w:type="dxa" w:w="80"/>
              <w:right w:type="dxa" w:w="100"/>
            </w:tcMar>
          </w:tcPr>
          <w:p>
            <w:r>
              <w:rPr>
                <w:b w:val="false"/>
                <w:bCs w:val="false"/>
                <w:sz w:val="20"/>
                <w:szCs w:val="20"/>
              </w:rPr>
              <w:t xml:space="preserve">Compilation propre, 0 erreur</w:t>
            </w:r>
          </w:p>
        </w:tc>
      </w:tr>
    </w:tbl>
    <w:p>
      <w:pPr>
        <w:spacing w:after="120"/>
      </w:pPr>
      <w:r>
        <w:t xml:space="preserve">La suite complète (missions/affectations, bons de sortie, personnes à bord, workflow FIPH standard, audit/export PDF, authentification, hiérarchie Administrateur/Super Administrateur, notifications) a été rejouée sans modification et passe intégralement aux côtés des 18 nouveaux tests de périmètre.</w:t>
      </w:r>
    </w:p>
    <w:p>
      <w:pPr>
        <w:pStyle w:val="Heading1"/>
        <w:spacing w:after="150" w:before="300"/>
      </w:pPr>
      <w:r>
        <w:t xml:space="preserve">7. Fichiers livrés (résumé)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D1D1B" w:val="clear"/>
            <w:tcMar>
              <w:top w:type="dxa" w:w="80"/>
              <w:left w:type="dxa" w:w="100"/>
              <w:bottom w:type="dxa" w:w="80"/>
              <w:right w:type="dxa" w:w="100"/>
            </w:tcMar>
          </w:tcPr>
          <w:p>
            <w:r>
              <w:rPr>
                <w:b/>
                <w:bCs/>
                <w:color w:val="FFFFFF"/>
                <w:sz w:val="20"/>
                <w:szCs w:val="20"/>
              </w:rPr>
              <w:t xml:space="preserve">Zone</w:t>
            </w:r>
          </w:p>
        </w:tc>
        <w:tc>
          <w:tcPr>
            <w:tcW w:type="dxa" w:w="6750"/>
            <w:shd w:fill="1D1D1B" w:val="clear"/>
            <w:tcMar>
              <w:top w:type="dxa" w:w="80"/>
              <w:left w:type="dxa" w:w="100"/>
              <w:bottom w:type="dxa" w:w="80"/>
              <w:right w:type="dxa" w:w="100"/>
            </w:tcMar>
          </w:tcPr>
          <w:p>
            <w:r>
              <w:rPr>
                <w:b/>
                <w:bCs/>
                <w:color w:val="FFFFFF"/>
                <w:sz w:val="20"/>
                <w:szCs w:val="20"/>
              </w:rPr>
              <w:t xml:space="preserve">Fichiers principaux</w:t>
            </w:r>
          </w:p>
        </w:tc>
      </w:tr>
      <w:tr>
        <w:tc>
          <w:tcPr>
            <w:tcW w:type="dxa" w:w="2600"/>
            <w:tcMar>
              <w:top w:type="dxa" w:w="80"/>
              <w:left w:type="dxa" w:w="100"/>
              <w:bottom w:type="dxa" w:w="80"/>
              <w:right w:type="dxa" w:w="100"/>
            </w:tcMar>
          </w:tcPr>
          <w:p>
            <w:r>
              <w:rPr>
                <w:b w:val="false"/>
                <w:bCs w:val="false"/>
                <w:sz w:val="20"/>
                <w:szCs w:val="20"/>
              </w:rPr>
              <w:t xml:space="preserve">Backend — règle un-service-par-rôle</w:t>
            </w:r>
          </w:p>
        </w:tc>
        <w:tc>
          <w:tcPr>
            <w:tcW w:type="dxa" w:w="6750"/>
            <w:tcMar>
              <w:top w:type="dxa" w:w="80"/>
              <w:left w:type="dxa" w:w="100"/>
              <w:bottom w:type="dxa" w:w="80"/>
              <w:right w:type="dxa" w:w="100"/>
            </w:tcMar>
          </w:tcPr>
          <w:p>
            <w:r>
              <w:rPr>
                <w:b w:val="false"/>
                <w:bCs w:val="false"/>
                <w:sz w:val="20"/>
                <w:szCs w:val="20"/>
              </w:rPr>
              <w:t xml:space="preserve">CodeRoleMetier.java, HabilitationService.java (+ ChangerServiceHabilitationRequest.java), HabilitationController.java, TypeActionAudit.java</w:t>
            </w:r>
          </w:p>
        </w:tc>
      </w:tr>
      <w:tr>
        <w:tc>
          <w:tcPr>
            <w:tcW w:type="dxa" w:w="2600"/>
            <w:tcMar>
              <w:top w:type="dxa" w:w="80"/>
              <w:left w:type="dxa" w:w="100"/>
              <w:bottom w:type="dxa" w:w="80"/>
              <w:right w:type="dxa" w:w="100"/>
            </w:tcMar>
          </w:tcPr>
          <w:p>
            <w:r>
              <w:rPr>
                <w:b w:val="false"/>
                <w:bCs w:val="false"/>
                <w:sz w:val="20"/>
                <w:szCs w:val="20"/>
              </w:rPr>
              <w:t xml:space="preserve">Backend — correctifs FIPH</w:t>
            </w:r>
          </w:p>
        </w:tc>
        <w:tc>
          <w:tcPr>
            <w:tcW w:type="dxa" w:w="6750"/>
            <w:tcMar>
              <w:top w:type="dxa" w:w="80"/>
              <w:left w:type="dxa" w:w="100"/>
              <w:bottom w:type="dxa" w:w="80"/>
              <w:right w:type="dxa" w:w="100"/>
            </w:tcMar>
          </w:tcPr>
          <w:p>
            <w:r>
              <w:rPr>
                <w:b w:val="false"/>
                <w:bCs w:val="false"/>
                <w:sz w:val="20"/>
                <w:szCs w:val="20"/>
              </w:rPr>
              <w:t xml:space="preserve">FiphService.java (visibilité liste, visa créateur), FiphVersionService.java (séquencement niveau 2 unifié, séparation des responsabilités ajustée)</w:t>
            </w:r>
          </w:p>
        </w:tc>
      </w:tr>
      <w:tr>
        <w:tc>
          <w:tcPr>
            <w:tcW w:type="dxa" w:w="2600"/>
            <w:tcMar>
              <w:top w:type="dxa" w:w="80"/>
              <w:left w:type="dxa" w:w="100"/>
              <w:bottom w:type="dxa" w:w="80"/>
              <w:right w:type="dxa" w:w="100"/>
            </w:tcMar>
          </w:tcPr>
          <w:p>
            <w:r>
              <w:rPr>
                <w:b w:val="false"/>
                <w:bCs w:val="false"/>
                <w:sz w:val="20"/>
                <w:szCs w:val="20"/>
              </w:rPr>
              <w:t xml:space="preserve">Backend — tests</w:t>
            </w:r>
          </w:p>
        </w:tc>
        <w:tc>
          <w:tcPr>
            <w:tcW w:type="dxa" w:w="6750"/>
            <w:tcMar>
              <w:top w:type="dxa" w:w="80"/>
              <w:left w:type="dxa" w:w="100"/>
              <w:bottom w:type="dxa" w:w="80"/>
              <w:right w:type="dxa" w:w="100"/>
            </w:tcMar>
          </w:tcPr>
          <w:p>
            <w:r>
              <w:rPr>
                <w:b w:val="false"/>
                <w:bCs w:val="false"/>
                <w:sz w:val="20"/>
                <w:szCs w:val="20"/>
              </w:rPr>
              <w:t xml:space="preserve">EvolutionPerimetreServiceFiphIT.java (18 tests)</w:t>
            </w:r>
          </w:p>
        </w:tc>
      </w:tr>
      <w:tr>
        <w:tc>
          <w:tcPr>
            <w:tcW w:type="dxa" w:w="2600"/>
            <w:tcMar>
              <w:top w:type="dxa" w:w="80"/>
              <w:left w:type="dxa" w:w="100"/>
              <w:bottom w:type="dxa" w:w="80"/>
              <w:right w:type="dxa" w:w="100"/>
            </w:tcMar>
          </w:tcPr>
          <w:p>
            <w:r>
              <w:rPr>
                <w:b w:val="false"/>
                <w:bCs w:val="false"/>
                <w:sz w:val="20"/>
                <w:szCs w:val="20"/>
              </w:rPr>
              <w:t xml:space="preserve">Frontend</w:t>
            </w:r>
          </w:p>
        </w:tc>
        <w:tc>
          <w:tcPr>
            <w:tcW w:type="dxa" w:w="6750"/>
            <w:tcMar>
              <w:top w:type="dxa" w:w="80"/>
              <w:left w:type="dxa" w:w="100"/>
              <w:bottom w:type="dxa" w:w="80"/>
              <w:right w:type="dxa" w:w="100"/>
            </w:tcMar>
          </w:tcPr>
          <w:p>
            <w:r>
              <w:rPr>
                <w:b w:val="false"/>
                <w:bCs w:val="false"/>
                <w:sz w:val="20"/>
                <w:szCs w:val="20"/>
              </w:rPr>
              <w:t xml:space="preserve">AdminUtilisateursPage.tsx (action « changer de service »), identiteApi.ts, types/identite.ts</w:t>
            </w:r>
          </w:p>
        </w:tc>
      </w:tr>
    </w:tbl>
    <w:p>
      <w:pPr>
        <w:spacing w:before="400"/>
      </w:pPr>
      <w:r>
        <w:rPr>
          <w:i/>
          <w:iCs/>
          <w:color w:val="56646D"/>
        </w:rPr>
        <w:t xml:space="preserve">Fin du rapport.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2026-08-19T10:40:07.076Z</dcterms:created>
  <dcterms:modified xsi:type="dcterms:W3CDTF">2026-08-19T10:40:07.076Z</dcterms:modified>
</cp:coreProperties>
</file>

<file path=docProps/custom.xml><?xml version="1.0" encoding="utf-8"?>
<Properties xmlns="http://schemas.openxmlformats.org/officeDocument/2006/custom-properties" xmlns:vt="http://schemas.openxmlformats.org/officeDocument/2006/docPropsVTypes"/>
</file>