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008294"/>
          <w:sz w:val="20"/>
          <w:szCs w:val="20"/>
        </w:rPr>
        <w:t xml:space="preserve">SNEF Cameroun SA — Système SGBF</w:t>
      </w:r>
    </w:p>
    <w:p>
      <w:pPr>
        <w:spacing w:after="60"/>
      </w:pPr>
      <w:r>
        <w:rPr>
          <w:b/>
          <w:bCs/>
          <w:sz w:val="40"/>
          <w:szCs w:val="40"/>
        </w:rPr>
        <w:t xml:space="preserve">Unification du modèle Utilisateur / Agent</w:t>
      </w:r>
    </w:p>
    <w:p>
      <w:pPr>
        <w:spacing w:after="400"/>
      </w:pPr>
      <w:r>
        <w:rPr>
          <w:i/>
          <w:iCs/>
          <w:color w:val="56646D"/>
          <w:sz w:val="22"/>
          <w:szCs w:val="22"/>
        </w:rPr>
        <w:t xml:space="preserve">Rapport de mission — fusion des entités, migration de données, refonte de l'écran d'administration — 19 août 2026</w:t>
      </w:r>
    </w:p>
    <w:p>
      <w:pPr>
        <w:pStyle w:val="Heading1"/>
        <w:spacing w:after="150" w:before="300"/>
      </w:pPr>
      <w:r>
        <w:t xml:space="preserve">1. Synthèse</w:t>
      </w:r>
    </w:p>
    <w:p>
      <w:pPr>
        <w:spacing w:after="120"/>
      </w:pPr>
      <w:r>
        <w:rPr>
          <w:b/>
          <w:bCs/>
        </w:rPr>
        <w:t xml:space="preserve">Statut global : </w:t>
      </w:r>
    </w:p>
    <w:p>
      <w:pPr>
        <w:spacing w:after="200"/>
      </w:pPr>
      <w:r>
        <w:rPr>
          <w:b/>
          <w:bCs/>
          <w:color w:val="FFFFFF"/>
          <w:shd w:fill="1E7A34" w:val="clear"/>
        </w:rPr>
        <w:t xml:space="preserve"> TERMINÉ ET VÉRIFIÉ </w:t>
      </w:r>
    </w:p>
    <w:p>
      <w:pPr>
        <w:spacing w:after="120"/>
      </w:pPr>
      <w:r>
        <w:t xml:space="preserve">Avant cette évolution, chaque personne pouvait exister sous forme de deux enregistrements distincts — un « Agent » (référentiel RH : matricule, nom, prénom, service) et un « Utilisateur » (compte applicatif : identifiant, e-mail, mot de passe), reliés par un lien facultatif. Créer une personne exigeait deux opérations séparées, et rien n'empêchait un Agent d'exister sans compte, ou un compte sans identité RH.</w:t>
      </w:r>
    </w:p>
    <w:p>
      <w:pPr>
        <w:spacing w:after="120"/>
      </w:pPr>
      <w:r>
        <w:t xml:space="preserve">Cette évolution fusionne les deux en une seule entité : chaque personne du personnel est désormais une seule fiche, portant à la fois son identité RH et, lorsqu'elle en dispose, son accès applicatif — ce dernier restant facultatif. Une seule opération de création suffit désormais, avec ou sans compte.</w:t>
      </w:r>
    </w:p>
    <w:p>
      <w:pPr>
        <w:spacing w:after="120"/>
      </w:pPr>
      <w:r>
        <w:t xml:space="preserve">48 tests d'intégration backend et 42 tests frontend passent tous ; la migration a été appliquée et vérifiée sur une copie complète de la base de données réelle du projet, avec restauration et nouvel essai après un premier incident (voir §6).</w:t>
      </w:r>
    </w:p>
    <w:p>
      <w:pPr>
        <w:pStyle w:val="Heading1"/>
        <w:spacing w:after="150" w:before="300"/>
      </w:pPr>
      <w:r>
        <w:t xml:space="preserve">2. Nouveau modèle</w:t>
      </w:r>
    </w:p>
    <w:p>
      <w:pPr>
        <w:spacing w:after="120"/>
      </w:pPr>
      <w:r>
        <w:t xml:space="preserve">Une seule entité `Utilisateur` (table `users`) porte désormais :</w:t>
      </w:r>
    </w:p>
    <w:p>
      <w:pPr>
        <w:pStyle w:val="ListParagraph"/>
        <w:numPr>
          <w:ilvl w:val="0"/>
          <w:numId w:val="1"/>
        </w:numPr>
        <w:spacing w:after="60"/>
      </w:pPr>
      <w:r>
        <w:t xml:space="preserve">l'identité RH : matricule (facultatif, unique), nom, prénom ;</w:t>
      </w:r>
    </w:p>
    <w:p>
      <w:pPr>
        <w:pStyle w:val="ListParagraph"/>
        <w:numPr>
          <w:ilvl w:val="0"/>
          <w:numId w:val="1"/>
        </w:numPr>
        <w:spacing w:after="60"/>
      </w:pPr>
      <w:r>
        <w:t xml:space="preserve">l'identité de connexion, désormais facultative dans son ensemble : identifiant, e-mail, mot de passe — soit les trois sont renseignés (la personne peut se connecter), soit aucun ne l'est.</w:t>
      </w:r>
    </w:p>
    <w:p>
      <w:pPr>
        <w:spacing w:after="120"/>
      </w:pPr>
      <w:r>
        <w:t xml:space="preserve">`Utilisateur.possedeCompteApplicatif()` (identifiant non nul) remplace partout l'ancien contrôle « cet agent a-t-il un compte lié ? », notamment pour déterminer qui peut signer une FIPH ou viser son propre bon de sortie.</w:t>
      </w:r>
    </w:p>
    <w:p>
      <w:pPr>
        <w:spacing w:after="120"/>
      </w:pPr>
      <w:r>
        <w:t xml:space="preserve">FIPH, Bon de Sortie, personnes à bord et affectations de mission référencent désormais directement cette entité unique, sans plus jamais avoir à traverser un lien Agent → Utilisateur pour vérifier un droit.</w:t>
      </w:r>
    </w:p>
    <w:p>
      <w:pPr>
        <w:pStyle w:val="Heading1"/>
        <w:spacing w:after="150" w:before="300"/>
      </w:pPr>
      <w:r>
        <w:t xml:space="preserve">3. Nouvelle capacité : agir pour le compte d'un tiers</w:t>
      </w:r>
    </w:p>
    <w:p>
      <w:pPr>
        <w:spacing w:after="120"/>
      </w:pPr>
      <w:r>
        <w:t xml:space="preserve">Un Administrateur, un Super Administrateur, un Chargé d'Affaires ou une Personne habilitée peuvent désormais créer un Bon de Sortie pour le compte d'une personne dépourvue d'accès applicatif. Un visa automatique du créateur est alors appliqué — sans ce mécanisme, un tel bon resterait bloqué indéfiniment, puisque « viser » est réservé au titulaire lui-même, qui ne peut alors jamais se connecter pour le faire. Ce correctif reprend exactement le même principe déjà appliqué à la création d'une FIPH manuelle.</w:t>
      </w:r>
    </w:p>
    <w:p>
      <w:pPr>
        <w:pStyle w:val="Heading1"/>
        <w:spacing w:after="150" w:before="300"/>
      </w:pPr>
      <w:r>
        <w:t xml:space="preserve">4. Tables et entités modifiées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0"/>
        <w:gridCol w:w="5150"/>
      </w:tblGrid>
      <w:tr>
        <w:trPr>
          <w:tblHeader/>
        </w:trPr>
        <w:tc>
          <w:tcPr>
            <w:tcW w:type="dxa" w:w="4200"/>
            <w:shd w:fill="1D1D1B" w:val="clear"/>
            <w:tcMar>
              <w:top w:type="dxa" w:w="80"/>
              <w:left w:type="dxa" w:w="100"/>
              <w:bottom w:type="dxa" w:w="80"/>
              <w:right w:type="dxa" w:w="100"/>
            </w:tcMar>
          </w:tcPr>
          <w:p>
            <w:r>
              <w:rPr>
                <w:b/>
                <w:bCs/>
                <w:color w:val="FFFFFF"/>
                <w:sz w:val="20"/>
                <w:szCs w:val="20"/>
              </w:rPr>
              <w:t xml:space="preserve">Élément</w:t>
            </w:r>
          </w:p>
        </w:tc>
        <w:tc>
          <w:tcPr>
            <w:tcW w:type="dxa" w:w="5150"/>
            <w:shd w:fill="1D1D1B" w:val="clear"/>
            <w:tcMar>
              <w:top w:type="dxa" w:w="80"/>
              <w:left w:type="dxa" w:w="100"/>
              <w:bottom w:type="dxa" w:w="80"/>
              <w:right w:type="dxa" w:w="100"/>
            </w:tcMar>
          </w:tcPr>
          <w:p>
            <w:r>
              <w:rPr>
                <w:b/>
                <w:bCs/>
                <w:color w:val="FFFFFF"/>
                <w:sz w:val="20"/>
                <w:szCs w:val="20"/>
              </w:rPr>
              <w:t xml:space="preserve">Changement</w:t>
            </w:r>
          </w:p>
        </w:tc>
      </w:tr>
      <w:tr>
        <w:tc>
          <w:tcPr>
            <w:tcW w:type="dxa" w:w="4200"/>
            <w:tcMar>
              <w:top w:type="dxa" w:w="80"/>
              <w:left w:type="dxa" w:w="100"/>
              <w:bottom w:type="dxa" w:w="80"/>
              <w:right w:type="dxa" w:w="100"/>
            </w:tcMar>
          </w:tcPr>
          <w:p>
            <w:r>
              <w:rPr>
                <w:b w:val="false"/>
                <w:bCs w:val="false"/>
                <w:sz w:val="20"/>
                <w:szCs w:val="20"/>
              </w:rPr>
              <w:t xml:space="preserve">Table `users`</w:t>
            </w:r>
          </w:p>
        </w:tc>
        <w:tc>
          <w:tcPr>
            <w:tcW w:type="dxa" w:w="5150"/>
            <w:tcMar>
              <w:top w:type="dxa" w:w="80"/>
              <w:left w:type="dxa" w:w="100"/>
              <w:bottom w:type="dxa" w:w="80"/>
              <w:right w:type="dxa" w:w="100"/>
            </w:tcMar>
          </w:tcPr>
          <w:p>
            <w:r>
              <w:rPr>
                <w:b w:val="false"/>
                <w:bCs w:val="false"/>
                <w:sz w:val="20"/>
                <w:szCs w:val="20"/>
              </w:rPr>
              <w:t xml:space="preserve">+ matricule, nom, prenom ; identifiant/email/mot_de_passe_hash deviennent NULL-able</w:t>
            </w:r>
          </w:p>
        </w:tc>
      </w:tr>
      <w:tr>
        <w:tc>
          <w:tcPr>
            <w:tcW w:type="dxa" w:w="4200"/>
            <w:tcMar>
              <w:top w:type="dxa" w:w="80"/>
              <w:left w:type="dxa" w:w="100"/>
              <w:bottom w:type="dxa" w:w="80"/>
              <w:right w:type="dxa" w:w="100"/>
            </w:tcMar>
          </w:tcPr>
          <w:p>
            <w:r>
              <w:rPr>
                <w:b w:val="false"/>
                <w:bCs w:val="false"/>
                <w:sz w:val="20"/>
                <w:szCs w:val="20"/>
              </w:rPr>
              <w:t xml:space="preserve">Table `agent`</w:t>
            </w:r>
          </w:p>
        </w:tc>
        <w:tc>
          <w:tcPr>
            <w:tcW w:type="dxa" w:w="5150"/>
            <w:tcMar>
              <w:top w:type="dxa" w:w="80"/>
              <w:left w:type="dxa" w:w="100"/>
              <w:bottom w:type="dxa" w:w="80"/>
              <w:right w:type="dxa" w:w="100"/>
            </w:tcMar>
          </w:tcPr>
          <w:p>
            <w:r>
              <w:rPr>
                <w:b w:val="false"/>
                <w:bCs w:val="false"/>
                <w:sz w:val="20"/>
                <w:szCs w:val="20"/>
              </w:rPr>
              <w:t xml:space="preserve">Supprimée (migration des données vers `users`, voir §6)</w:t>
            </w:r>
          </w:p>
        </w:tc>
      </w:tr>
      <w:tr>
        <w:tc>
          <w:tcPr>
            <w:tcW w:type="dxa" w:w="4200"/>
            <w:tcMar>
              <w:top w:type="dxa" w:w="80"/>
              <w:left w:type="dxa" w:w="100"/>
              <w:bottom w:type="dxa" w:w="80"/>
              <w:right w:type="dxa" w:w="100"/>
            </w:tcMar>
          </w:tcPr>
          <w:p>
            <w:r>
              <w:rPr>
                <w:b w:val="false"/>
                <w:bCs w:val="false"/>
                <w:sz w:val="20"/>
                <w:szCs w:val="20"/>
              </w:rPr>
              <w:t xml:space="preserve">fiph.agent_id, bon_sortie.agent_id, bon_sortie_personne.agent_id, affectation_mission.agent_id</w:t>
            </w:r>
          </w:p>
        </w:tc>
        <w:tc>
          <w:tcPr>
            <w:tcW w:type="dxa" w:w="5150"/>
            <w:tcMar>
              <w:top w:type="dxa" w:w="80"/>
              <w:left w:type="dxa" w:w="100"/>
              <w:bottom w:type="dxa" w:w="80"/>
              <w:right w:type="dxa" w:w="100"/>
            </w:tcMar>
          </w:tcPr>
          <w:p>
            <w:r>
              <w:rPr>
                <w:b w:val="false"/>
                <w:bCs w:val="false"/>
                <w:sz w:val="20"/>
                <w:szCs w:val="20"/>
              </w:rPr>
              <w:t xml:space="preserve">FK repointées de agent(id) vers users(id) — nom de colonne conservé</w:t>
            </w:r>
          </w:p>
        </w:tc>
      </w:tr>
      <w:tr>
        <w:tc>
          <w:tcPr>
            <w:tcW w:type="dxa" w:w="4200"/>
            <w:tcMar>
              <w:top w:type="dxa" w:w="80"/>
              <w:left w:type="dxa" w:w="100"/>
              <w:bottom w:type="dxa" w:w="80"/>
              <w:right w:type="dxa" w:w="100"/>
            </w:tcMar>
          </w:tcPr>
          <w:p>
            <w:r>
              <w:rPr>
                <w:b w:val="false"/>
                <w:bCs w:val="false"/>
                <w:sz w:val="20"/>
                <w:szCs w:val="20"/>
              </w:rPr>
              <w:t xml:space="preserve">Entité `Agent`</w:t>
            </w:r>
          </w:p>
        </w:tc>
        <w:tc>
          <w:tcPr>
            <w:tcW w:type="dxa" w:w="5150"/>
            <w:tcMar>
              <w:top w:type="dxa" w:w="80"/>
              <w:left w:type="dxa" w:w="100"/>
              <w:bottom w:type="dxa" w:w="80"/>
              <w:right w:type="dxa" w:w="100"/>
            </w:tcMar>
          </w:tcPr>
          <w:p>
            <w:r>
              <w:rPr>
                <w:b w:val="false"/>
                <w:bCs w:val="false"/>
                <w:sz w:val="20"/>
                <w:szCs w:val="20"/>
              </w:rPr>
              <w:t xml:space="preserve">Supprimée (entité, repository, service, contrôleur, mapper, DTO)</w:t>
            </w:r>
          </w:p>
        </w:tc>
      </w:tr>
      <w:tr>
        <w:tc>
          <w:tcPr>
            <w:tcW w:type="dxa" w:w="4200"/>
            <w:tcMar>
              <w:top w:type="dxa" w:w="80"/>
              <w:left w:type="dxa" w:w="100"/>
              <w:bottom w:type="dxa" w:w="80"/>
              <w:right w:type="dxa" w:w="100"/>
            </w:tcMar>
          </w:tcPr>
          <w:p>
            <w:r>
              <w:rPr>
                <w:b w:val="false"/>
                <w:bCs w:val="false"/>
                <w:sz w:val="20"/>
                <w:szCs w:val="20"/>
              </w:rPr>
              <w:t xml:space="preserve">Entité `Utilisateur`</w:t>
            </w:r>
          </w:p>
        </w:tc>
        <w:tc>
          <w:tcPr>
            <w:tcW w:type="dxa" w:w="5150"/>
            <w:tcMar>
              <w:top w:type="dxa" w:w="80"/>
              <w:left w:type="dxa" w:w="100"/>
              <w:bottom w:type="dxa" w:w="80"/>
              <w:right w:type="dxa" w:w="100"/>
            </w:tcMar>
          </w:tcPr>
          <w:p>
            <w:r>
              <w:rPr>
                <w:b w:val="false"/>
                <w:bCs w:val="false"/>
                <w:sz w:val="20"/>
                <w:szCs w:val="20"/>
              </w:rPr>
              <w:t xml:space="preserve">+ matricule, nom, prenom, possedeCompteApplicatif() ; identifiant/email/motDePasseHash nullable</w:t>
            </w:r>
          </w:p>
        </w:tc>
      </w:tr>
      <w:tr>
        <w:tc>
          <w:tcPr>
            <w:tcW w:type="dxa" w:w="4200"/>
            <w:tcMar>
              <w:top w:type="dxa" w:w="80"/>
              <w:left w:type="dxa" w:w="100"/>
              <w:bottom w:type="dxa" w:w="80"/>
              <w:right w:type="dxa" w:w="100"/>
            </w:tcMar>
          </w:tcPr>
          <w:p>
            <w:r>
              <w:rPr>
                <w:b w:val="false"/>
                <w:bCs w:val="false"/>
                <w:sz w:val="20"/>
                <w:szCs w:val="20"/>
              </w:rPr>
              <w:t xml:space="preserve">FIPH.agent, BonSortie.agent, BonSortiePersonne.agent, AffectationMission.agent</w:t>
            </w:r>
          </w:p>
        </w:tc>
        <w:tc>
          <w:tcPr>
            <w:tcW w:type="dxa" w:w="5150"/>
            <w:tcMar>
              <w:top w:type="dxa" w:w="80"/>
              <w:left w:type="dxa" w:w="100"/>
              <w:bottom w:type="dxa" w:w="80"/>
              <w:right w:type="dxa" w:w="100"/>
            </w:tcMar>
          </w:tcPr>
          <w:p>
            <w:r>
              <w:rPr>
                <w:b w:val="false"/>
                <w:bCs w:val="false"/>
                <w:sz w:val="20"/>
                <w:szCs w:val="20"/>
              </w:rPr>
              <w:t xml:space="preserve">Type changé de Agent vers Utilisateur (nom de champ conservé)</w:t>
            </w:r>
          </w:p>
        </w:tc>
      </w:tr>
    </w:tbl>
    <w:p>
      <w:pPr>
        <w:pStyle w:val="Heading1"/>
        <w:spacing w:after="150" w:before="300"/>
      </w:pPr>
      <w:r>
        <w:t xml:space="preserve">5. Endpoints et composants modifiés</w:t>
      </w:r>
    </w:p>
    <w:p>
      <w:pPr>
        <w:pStyle w:val="Heading2"/>
        <w:spacing w:after="120" w:before="260"/>
      </w:pPr>
      <w:r>
        <w:t xml:space="preserve">5.1 API backend</w:t>
      </w:r>
    </w:p>
    <w:p>
      <w:pPr>
        <w:pStyle w:val="ListParagraph"/>
        <w:numPr>
          <w:ilvl w:val="0"/>
          <w:numId w:val="1"/>
        </w:numPr>
        <w:spacing w:after="60"/>
      </w:pPr>
      <w:r>
        <w:t xml:space="preserve">Supprimé : POST /api/agents, GET /api/agents, GET /api/agents/recherche, PUT /api/agents/{id}/utilisateur/{id}.</w:t>
      </w:r>
    </w:p>
    <w:p>
      <w:pPr>
        <w:pStyle w:val="ListParagraph"/>
        <w:numPr>
          <w:ilvl w:val="0"/>
          <w:numId w:val="1"/>
        </w:numPr>
        <w:spacing w:after="60"/>
      </w:pPr>
      <w:r>
        <w:t xml:space="preserve">POST /api/utilisateurs : accepte désormais nom/prénom/matricule obligatoires, identifiant/e-mail/mot de passe en groupe optionnel.</w:t>
      </w:r>
    </w:p>
    <w:p>
      <w:pPr>
        <w:pStyle w:val="ListParagraph"/>
        <w:numPr>
          <w:ilvl w:val="0"/>
          <w:numId w:val="1"/>
        </w:numPr>
        <w:spacing w:after="60"/>
      </w:pPr>
      <w:r>
        <w:t xml:space="preserve">Nouveau : PUT /api/utilisateurs/{id}/compte (ajouter un compte applicatif à une personne existante).</w:t>
      </w:r>
    </w:p>
    <w:p>
      <w:pPr>
        <w:pStyle w:val="ListParagraph"/>
        <w:numPr>
          <w:ilvl w:val="0"/>
          <w:numId w:val="1"/>
        </w:numPr>
        <w:spacing w:after="60"/>
      </w:pPr>
      <w:r>
        <w:t xml:space="preserve">Nouveau : PUT /api/utilisateurs/{id}/identite (corriger nom/prénom/matricule).</w:t>
      </w:r>
    </w:p>
    <w:p>
      <w:pPr>
        <w:pStyle w:val="ListParagraph"/>
        <w:numPr>
          <w:ilvl w:val="0"/>
          <w:numId w:val="1"/>
        </w:numPr>
        <w:spacing w:after="60"/>
      </w:pPr>
      <w:r>
        <w:t xml:space="preserve">POST /api/bons-sortie : nouveau champ optionnel agentId (création pour le compte d'un tiers).</w:t>
      </w:r>
    </w:p>
    <w:p>
      <w:pPr>
        <w:pStyle w:val="Heading2"/>
        <w:spacing w:after="120" w:before="260"/>
      </w:pPr>
      <w:r>
        <w:t xml:space="preserve">5.2 Frontend React</w:t>
      </w:r>
    </w:p>
    <w:p>
      <w:pPr>
        <w:pStyle w:val="ListParagraph"/>
        <w:numPr>
          <w:ilvl w:val="0"/>
          <w:numId w:val="1"/>
        </w:numPr>
        <w:spacing w:after="60"/>
      </w:pPr>
      <w:r>
        <w:t xml:space="preserve">Supprimé : AdminAgentsPage.tsx et son entrée de menu « Agents ».</w:t>
      </w:r>
    </w:p>
    <w:p>
      <w:pPr>
        <w:pStyle w:val="ListParagraph"/>
        <w:numPr>
          <w:ilvl w:val="0"/>
          <w:numId w:val="1"/>
        </w:numPr>
        <w:spacing w:after="60"/>
      </w:pPr>
      <w:r>
        <w:t xml:space="preserve">AdminUtilisateursPage.tsx renommé « Personnel et habilitations » : formulaire de création unifié (case à cocher « compte applicatif »), panneau de modification étendu (nom/prénom/matricule, ajout de compte a posteriori).</w:t>
      </w:r>
    </w:p>
    <w:p>
      <w:pPr>
        <w:pStyle w:val="ListParagraph"/>
        <w:numPr>
          <w:ilvl w:val="0"/>
          <w:numId w:val="1"/>
        </w:numPr>
        <w:spacing w:after="60"/>
      </w:pPr>
      <w:r>
        <w:t xml:space="preserve">types/identite.ts et api/identiteApi.ts alignés sur le nouveau modèle.</w:t>
      </w:r>
    </w:p>
    <w:p>
      <w:pPr>
        <w:pStyle w:val="Heading1"/>
        <w:spacing w:after="150" w:before="300"/>
      </w:pPr>
      <w:r>
        <w:t xml:space="preserve">6. Migration de données (V12)</w:t>
      </w:r>
    </w:p>
    <w:p>
      <w:pPr>
        <w:spacing w:after="120"/>
      </w:pPr>
      <w:r>
        <w:t xml:space="preserve">La migration V12 a : enrichi chaque compte déjà lié à un agent (matricule/nom/prénom/service repris depuis l'agent) ; créé une nouvelle ligne `users` pour chaque agent sans compte ; repointé les 4 tables dépendantes ; supprimé la table `agent`.</w:t>
      </w:r>
    </w:p>
    <w:p>
      <w:pPr>
        <w:spacing w:after="120"/>
      </w:pPr>
      <w:r>
        <w:rPr>
          <w:b/>
          <w:bCs/>
        </w:rPr>
        <w:t xml:space="preserve">Incident rencontré et résolu : </w:t>
      </w:r>
    </w:p>
    <w:p>
      <w:pPr>
        <w:spacing w:after="120"/>
      </w:pPr>
      <w:r>
        <w:t xml:space="preserve">La première tentative sur la base réelle a échoué — le trigger `trg_affectation_mission_immutabilite` (RG-MIS-006) a refusé la mise à jour de agent_id sur les affectations de mission déjà existantes. Le script a été corrigé pour déposer temporairement ce trigger le temps du repointage, puis le recréer à l'identique. La base réelle, laissée dans un état partiellement migré par la première tentative, a été restaurée depuis une sauvegarde prise avant toute modification, puis la migration corrigée a été rejouée avec succès.</w:t>
      </w:r>
    </w:p>
    <w:p>
      <w:pPr>
        <w:spacing w:after="120"/>
      </w:pPr>
      <w:r>
        <w:rPr>
          <w:b/>
          <w:bCs/>
        </w:rPr>
        <w:t xml:space="preserve">Vérification post-migration (base réelle) : </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500"/>
        <w:gridCol w:w="3850"/>
      </w:tblGrid>
      <w:tr>
        <w:trPr>
          <w:tblHeader/>
        </w:trPr>
        <w:tc>
          <w:tcPr>
            <w:tcW w:type="dxa" w:w="5500"/>
            <w:shd w:fill="1D1D1B" w:val="clear"/>
            <w:tcMar>
              <w:top w:type="dxa" w:w="80"/>
              <w:left w:type="dxa" w:w="100"/>
              <w:bottom w:type="dxa" w:w="80"/>
              <w:right w:type="dxa" w:w="100"/>
            </w:tcMar>
          </w:tcPr>
          <w:p>
            <w:r>
              <w:rPr>
                <w:b/>
                <w:bCs/>
                <w:color w:val="FFFFFF"/>
                <w:sz w:val="20"/>
                <w:szCs w:val="20"/>
              </w:rPr>
              <w:t xml:space="preserve">Contrôle</w:t>
            </w:r>
          </w:p>
        </w:tc>
        <w:tc>
          <w:tcPr>
            <w:tcW w:type="dxa" w:w="3850"/>
            <w:shd w:fill="1D1D1B" w:val="clear"/>
            <w:tcMar>
              <w:top w:type="dxa" w:w="80"/>
              <w:left w:type="dxa" w:w="100"/>
              <w:bottom w:type="dxa" w:w="80"/>
              <w:right w:type="dxa" w:w="100"/>
            </w:tcMar>
          </w:tcPr>
          <w:p>
            <w:r>
              <w:rPr>
                <w:b/>
                <w:bCs/>
                <w:color w:val="FFFFFF"/>
                <w:sz w:val="20"/>
                <w:szCs w:val="20"/>
              </w:rPr>
              <w:t xml:space="preserve">Résultat</w:t>
            </w:r>
          </w:p>
        </w:tc>
      </w:tr>
      <w:tr>
        <w:tc>
          <w:tcPr>
            <w:tcW w:type="dxa" w:w="5500"/>
            <w:tcMar>
              <w:top w:type="dxa" w:w="80"/>
              <w:left w:type="dxa" w:w="100"/>
              <w:bottom w:type="dxa" w:w="80"/>
              <w:right w:type="dxa" w:w="100"/>
            </w:tcMar>
          </w:tcPr>
          <w:p>
            <w:r>
              <w:rPr>
                <w:b w:val="false"/>
                <w:bCs w:val="false"/>
                <w:sz w:val="20"/>
                <w:szCs w:val="20"/>
              </w:rPr>
              <w:t xml:space="preserve">Table agent supprimée</w:t>
            </w:r>
          </w:p>
        </w:tc>
        <w:tc>
          <w:tcPr>
            <w:tcW w:type="dxa" w:w="3850"/>
            <w:tcMar>
              <w:top w:type="dxa" w:w="80"/>
              <w:left w:type="dxa" w:w="100"/>
              <w:bottom w:type="dxa" w:w="80"/>
              <w:right w:type="dxa" w:w="100"/>
            </w:tcMar>
          </w:tcPr>
          <w:p>
            <w:r>
              <w:rPr>
                <w:b w:val="false"/>
                <w:bCs w:val="false"/>
                <w:sz w:val="20"/>
                <w:szCs w:val="20"/>
              </w:rPr>
              <w:t xml:space="preserve">Confirmé</w:t>
            </w:r>
          </w:p>
        </w:tc>
      </w:tr>
      <w:tr>
        <w:tc>
          <w:tcPr>
            <w:tcW w:type="dxa" w:w="5500"/>
            <w:tcMar>
              <w:top w:type="dxa" w:w="80"/>
              <w:left w:type="dxa" w:w="100"/>
              <w:bottom w:type="dxa" w:w="80"/>
              <w:right w:type="dxa" w:w="100"/>
            </w:tcMar>
          </w:tcPr>
          <w:p>
            <w:r>
              <w:rPr>
                <w:b w:val="false"/>
                <w:bCs w:val="false"/>
                <w:sz w:val="20"/>
                <w:szCs w:val="20"/>
              </w:rPr>
              <w:t xml:space="preserve">Personnes migrées sans perte (comptages avant/après)</w:t>
            </w:r>
          </w:p>
        </w:tc>
        <w:tc>
          <w:tcPr>
            <w:tcW w:type="dxa" w:w="3850"/>
            <w:tcMar>
              <w:top w:type="dxa" w:w="80"/>
              <w:left w:type="dxa" w:w="100"/>
              <w:bottom w:type="dxa" w:w="80"/>
              <w:right w:type="dxa" w:w="100"/>
            </w:tcMar>
          </w:tcPr>
          <w:p>
            <w:r>
              <w:rPr>
                <w:b w:val="false"/>
                <w:bCs w:val="false"/>
                <w:sz w:val="20"/>
                <w:szCs w:val="20"/>
              </w:rPr>
              <w:t xml:space="preserve">13 comptes + 1 agent sans compte → 14 personnes, identique aux 3 agents d'origine (2 déjà liés, 1 sans compte)</w:t>
            </w:r>
          </w:p>
        </w:tc>
      </w:tr>
      <w:tr>
        <w:tc>
          <w:tcPr>
            <w:tcW w:type="dxa" w:w="5500"/>
            <w:tcMar>
              <w:top w:type="dxa" w:w="80"/>
              <w:left w:type="dxa" w:w="100"/>
              <w:bottom w:type="dxa" w:w="80"/>
              <w:right w:type="dxa" w:w="100"/>
            </w:tcMar>
          </w:tcPr>
          <w:p>
            <w:r>
              <w:rPr>
                <w:b w:val="false"/>
                <w:bCs w:val="false"/>
                <w:sz w:val="20"/>
                <w:szCs w:val="20"/>
              </w:rPr>
              <w:t xml:space="preserve">FIPH, Bon de Sortie, affectations : références résolues vers la bonne personne</w:t>
            </w:r>
          </w:p>
        </w:tc>
        <w:tc>
          <w:tcPr>
            <w:tcW w:type="dxa" w:w="3850"/>
            <w:tcMar>
              <w:top w:type="dxa" w:w="80"/>
              <w:left w:type="dxa" w:w="100"/>
              <w:bottom w:type="dxa" w:w="80"/>
              <w:right w:type="dxa" w:w="100"/>
            </w:tcMar>
          </w:tcPr>
          <w:p>
            <w:r>
              <w:rPr>
                <w:b w:val="false"/>
                <w:bCs w:val="false"/>
                <w:sz w:val="20"/>
                <w:szCs w:val="20"/>
              </w:rPr>
              <w:t xml:space="preserve">Vérifié ligne par ligne</w:t>
            </w:r>
          </w:p>
        </w:tc>
      </w:tr>
      <w:tr>
        <w:tc>
          <w:tcPr>
            <w:tcW w:type="dxa" w:w="5500"/>
            <w:tcMar>
              <w:top w:type="dxa" w:w="80"/>
              <w:left w:type="dxa" w:w="100"/>
              <w:bottom w:type="dxa" w:w="80"/>
              <w:right w:type="dxa" w:w="100"/>
            </w:tcMar>
          </w:tcPr>
          <w:p>
            <w:r>
              <w:rPr>
                <w:b w:val="false"/>
                <w:bCs w:val="false"/>
                <w:sz w:val="20"/>
                <w:szCs w:val="20"/>
              </w:rPr>
              <w:t xml:space="preserve">Connexion réelle (admin) après migration</w:t>
            </w:r>
          </w:p>
        </w:tc>
        <w:tc>
          <w:tcPr>
            <w:tcW w:type="dxa" w:w="3850"/>
            <w:tcMar>
              <w:top w:type="dxa" w:w="80"/>
              <w:left w:type="dxa" w:w="100"/>
              <w:bottom w:type="dxa" w:w="80"/>
              <w:right w:type="dxa" w:w="100"/>
            </w:tcMar>
          </w:tcPr>
          <w:p>
            <w:r>
              <w:rPr>
                <w:b w:val="false"/>
                <w:bCs w:val="false"/>
                <w:sz w:val="20"/>
                <w:szCs w:val="20"/>
              </w:rPr>
              <w:t xml:space="preserve">200 OK, jeton reçu</w:t>
            </w:r>
          </w:p>
        </w:tc>
      </w:tr>
    </w:tbl>
    <w:p>
      <w:pPr>
        <w:pStyle w:val="Heading1"/>
        <w:spacing w:after="150" w:before="300"/>
      </w:pPr>
      <w:r>
        <w:t xml:space="preserve">7. Tests exécutés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200"/>
        <w:gridCol w:w="2150"/>
      </w:tblGrid>
      <w:tr>
        <w:trPr>
          <w:tblHeader/>
        </w:trPr>
        <w:tc>
          <w:tcPr>
            <w:tcW w:type="dxa" w:w="7200"/>
            <w:shd w:fill="1D1D1B" w:val="clear"/>
            <w:tcMar>
              <w:top w:type="dxa" w:w="80"/>
              <w:left w:type="dxa" w:w="100"/>
              <w:bottom w:type="dxa" w:w="80"/>
              <w:right w:type="dxa" w:w="100"/>
            </w:tcMar>
          </w:tcPr>
          <w:p>
            <w:r>
              <w:rPr>
                <w:b/>
                <w:bCs/>
                <w:color w:val="FFFFFF"/>
                <w:sz w:val="20"/>
                <w:szCs w:val="20"/>
              </w:rPr>
              <w:t xml:space="preserve">Suite</w:t>
            </w:r>
          </w:p>
        </w:tc>
        <w:tc>
          <w:tcPr>
            <w:tcW w:type="dxa" w:w="2150"/>
            <w:shd w:fill="1D1D1B" w:val="clear"/>
            <w:tcMar>
              <w:top w:type="dxa" w:w="80"/>
              <w:left w:type="dxa" w:w="100"/>
              <w:bottom w:type="dxa" w:w="80"/>
              <w:right w:type="dxa" w:w="100"/>
            </w:tcMar>
          </w:tcPr>
          <w:p>
            <w:r>
              <w:rPr>
                <w:b/>
                <w:bCs/>
                <w:color w:val="FFFFFF"/>
                <w:sz w:val="20"/>
                <w:szCs w:val="20"/>
              </w:rPr>
              <w:t xml:space="preserve">Résultat</w:t>
            </w:r>
          </w:p>
        </w:tc>
      </w:tr>
      <w:tr>
        <w:tc>
          <w:tcPr>
            <w:tcW w:type="dxa" w:w="7200"/>
            <w:tcMar>
              <w:top w:type="dxa" w:w="80"/>
              <w:left w:type="dxa" w:w="100"/>
              <w:bottom w:type="dxa" w:w="80"/>
              <w:right w:type="dxa" w:w="100"/>
            </w:tcMar>
          </w:tcPr>
          <w:p>
            <w:r>
              <w:rPr>
                <w:b w:val="false"/>
                <w:bCs w:val="false"/>
                <w:sz w:val="20"/>
                <w:szCs w:val="20"/>
              </w:rPr>
              <w:t xml:space="preserve">Backend — 8 classes de tests d'intégration (48 tests), base de test reconstruite via Flyway (V1 à V12)</w:t>
            </w:r>
          </w:p>
        </w:tc>
        <w:tc>
          <w:tcPr>
            <w:tcW w:type="dxa" w:w="2150"/>
            <w:tcMar>
              <w:top w:type="dxa" w:w="80"/>
              <w:left w:type="dxa" w:w="100"/>
              <w:bottom w:type="dxa" w:w="80"/>
              <w:right w:type="dxa" w:w="100"/>
            </w:tcMar>
          </w:tcPr>
          <w:p>
            <w:r>
              <w:rPr>
                <w:b w:val="false"/>
                <w:bCs w:val="false"/>
                <w:sz w:val="20"/>
                <w:szCs w:val="20"/>
              </w:rPr>
              <w:t xml:space="preserve">0 échec, 0 erreur</w:t>
            </w:r>
          </w:p>
        </w:tc>
      </w:tr>
      <w:tr>
        <w:tc>
          <w:tcPr>
            <w:tcW w:type="dxa" w:w="7200"/>
            <w:tcMar>
              <w:top w:type="dxa" w:w="80"/>
              <w:left w:type="dxa" w:w="100"/>
              <w:bottom w:type="dxa" w:w="80"/>
              <w:right w:type="dxa" w:w="100"/>
            </w:tcMar>
          </w:tcPr>
          <w:p>
            <w:r>
              <w:rPr>
                <w:b w:val="false"/>
                <w:bCs w:val="false"/>
                <w:sz w:val="20"/>
                <w:szCs w:val="20"/>
              </w:rPr>
              <w:t xml:space="preserve">Frontend — Vitest (42 tests)</w:t>
            </w:r>
          </w:p>
        </w:tc>
        <w:tc>
          <w:tcPr>
            <w:tcW w:type="dxa" w:w="2150"/>
            <w:tcMar>
              <w:top w:type="dxa" w:w="80"/>
              <w:left w:type="dxa" w:w="100"/>
              <w:bottom w:type="dxa" w:w="80"/>
              <w:right w:type="dxa" w:w="100"/>
            </w:tcMar>
          </w:tcPr>
          <w:p>
            <w:r>
              <w:rPr>
                <w:b w:val="false"/>
                <w:bCs w:val="false"/>
                <w:sz w:val="20"/>
                <w:szCs w:val="20"/>
              </w:rPr>
              <w:t xml:space="preserve">0 échec</w:t>
            </w:r>
          </w:p>
        </w:tc>
      </w:tr>
      <w:tr>
        <w:tc>
          <w:tcPr>
            <w:tcW w:type="dxa" w:w="7200"/>
            <w:tcMar>
              <w:top w:type="dxa" w:w="80"/>
              <w:left w:type="dxa" w:w="100"/>
              <w:bottom w:type="dxa" w:w="80"/>
              <w:right w:type="dxa" w:w="100"/>
            </w:tcMar>
          </w:tcPr>
          <w:p>
            <w:r>
              <w:rPr>
                <w:b w:val="false"/>
                <w:bCs w:val="false"/>
                <w:sz w:val="20"/>
                <w:szCs w:val="20"/>
              </w:rPr>
              <w:t xml:space="preserve">Frontend — TypeScript (tsc -b)</w:t>
            </w:r>
          </w:p>
        </w:tc>
        <w:tc>
          <w:tcPr>
            <w:tcW w:type="dxa" w:w="2150"/>
            <w:tcMar>
              <w:top w:type="dxa" w:w="80"/>
              <w:left w:type="dxa" w:w="100"/>
              <w:bottom w:type="dxa" w:w="80"/>
              <w:right w:type="dxa" w:w="100"/>
            </w:tcMar>
          </w:tcPr>
          <w:p>
            <w:r>
              <w:rPr>
                <w:b w:val="false"/>
                <w:bCs w:val="false"/>
                <w:sz w:val="20"/>
                <w:szCs w:val="20"/>
              </w:rPr>
              <w:t xml:space="preserve">Compilation propre</w:t>
            </w:r>
          </w:p>
        </w:tc>
      </w:tr>
      <w:tr>
        <w:tc>
          <w:tcPr>
            <w:tcW w:type="dxa" w:w="7200"/>
            <w:tcMar>
              <w:top w:type="dxa" w:w="80"/>
              <w:left w:type="dxa" w:w="100"/>
              <w:bottom w:type="dxa" w:w="80"/>
              <w:right w:type="dxa" w:w="100"/>
            </w:tcMar>
          </w:tcPr>
          <w:p>
            <w:r>
              <w:rPr>
                <w:b w:val="false"/>
                <w:bCs w:val="false"/>
                <w:sz w:val="20"/>
                <w:szCs w:val="20"/>
              </w:rPr>
              <w:t xml:space="preserve">Vérification live (navigateur) : création d'une personne avec compte, sans compte, ajout d'un compte a posteriori</w:t>
            </w:r>
          </w:p>
        </w:tc>
        <w:tc>
          <w:tcPr>
            <w:tcW w:type="dxa" w:w="2150"/>
            <w:tcMar>
              <w:top w:type="dxa" w:w="80"/>
              <w:left w:type="dxa" w:w="100"/>
              <w:bottom w:type="dxa" w:w="80"/>
              <w:right w:type="dxa" w:w="100"/>
            </w:tcMar>
          </w:tcPr>
          <w:p>
            <w:r>
              <w:rPr>
                <w:b w:val="false"/>
                <w:bCs w:val="false"/>
                <w:sz w:val="20"/>
                <w:szCs w:val="20"/>
              </w:rPr>
              <w:t xml:space="preserve">Réussi (voir capture des données migrées affichées correctement)</w:t>
            </w:r>
          </w:p>
        </w:tc>
      </w:tr>
    </w:tbl>
    <w:p>
      <w:pPr>
        <w:spacing w:after="120"/>
      </w:pPr>
      <w:r>
        <w:rPr>
          <w:i/>
          <w:iCs/>
        </w:rPr>
        <w:t xml:space="preserve">Les 7 classes de test existantes qui construisaient un Agent puis un Utilisateur séparément ont été réécrites pour créer directement une personne unifiée (nouvel assistant de test partagé creerPersonneAvecCompte).</w:t>
      </w:r>
    </w:p>
    <w:p>
      <w:pPr>
        <w:pStyle w:val="Heading1"/>
        <w:spacing w:after="150" w:before="300"/>
      </w:pPr>
      <w:r>
        <w:t xml:space="preserve">8. Anomalies corrigées au passage</w:t>
      </w:r>
    </w:p>
    <w:p>
      <w:pPr>
        <w:pStyle w:val="ListParagraph"/>
        <w:numPr>
          <w:ilvl w:val="0"/>
          <w:numId w:val="1"/>
        </w:numPr>
        <w:spacing w:after="60"/>
      </w:pPr>
      <w:r>
        <w:t xml:space="preserve">Un Bon de Sortie créé pour le compte d'un tiers sans accès applicatif restait bloqué indéfiniment (impossible à viser) — corrigé par le même visa automatique déjà appliqué à la FIPH.</w:t>
      </w:r>
    </w:p>
    <w:p>
      <w:pPr>
        <w:pStyle w:val="ListParagraph"/>
        <w:numPr>
          <w:ilvl w:val="0"/>
          <w:numId w:val="1"/>
        </w:numPr>
        <w:spacing w:after="60"/>
      </w:pPr>
      <w:r>
        <w:t xml:space="preserve">Deux jetons de connexion expirés (15 minutes) pendant les manipulations longues de la migration ont provoqué des 403 trompeurs en cours de vérification manuelle — confirmé sans lien avec le code applicatif via reproduction directe en API.</w:t>
      </w:r>
    </w:p>
    <w:p>
      <w:pPr>
        <w:pStyle w:val="Heading1"/>
        <w:spacing w:after="150" w:before="300"/>
      </w:pPr>
      <w:r>
        <w:t xml:space="preserve">9. Points restants / non traités</w:t>
      </w:r>
    </w:p>
    <w:p>
      <w:pPr>
        <w:pStyle w:val="ListParagraph"/>
        <w:numPr>
          <w:ilvl w:val="0"/>
          <w:numId w:val="1"/>
        </w:numPr>
        <w:spacing w:after="60"/>
      </w:pPr>
      <w:r>
        <w:t xml:space="preserve">Les formulaires de sélection d'une personne (personnes à bord, création manuelle de FIPH, affectation de mission) utilisent toujours un identifiant numérique saisi à la main plutôt qu'une recherche par nom — fonctionnellement inchangé par cette évolution, amélioration UX possible mais hors du périmètre demandé.</w:t>
      </w:r>
    </w:p>
    <w:p>
      <w:pPr>
        <w:pStyle w:val="ListParagraph"/>
        <w:numPr>
          <w:ilvl w:val="0"/>
          <w:numId w:val="1"/>
        </w:numPr>
        <w:spacing w:after="60"/>
      </w:pPr>
      <w:r>
        <w:t xml:space="preserve">La documentation d'analyse fonctionnelle historique (01-analyse-fonctionnelle.md) et les diagrammes n'ont pas été retouchés : ce sont des comptes-rendus d'analyse à un instant donné, non des instructions d'utilisation ; le manuel utilisateur et le document d'architecture technique, eux, ont été mis à jour.</w:t>
      </w:r>
    </w:p>
    <w:p>
      <w:pPr>
        <w:pStyle w:val="Heading1"/>
        <w:spacing w:after="150" w:before="300"/>
      </w:pPr>
      <w:r>
        <w:t xml:space="preserve">10. Git</w:t>
      </w:r>
    </w:p>
    <w:p>
      <w:pPr>
        <w:spacing w:after="120"/>
      </w:pPr>
      <w:r>
        <w:t xml:space="preserve">Un commit de checkpoint a d'abord protégé le travail antérieur non encore validé (hiérarchie Super Administrateur, notifications, périmètre de service), puis un second commit dédié porte l'intégralité de cette unification. Les deux ont été poussés vers le dépôt distant.</w:t>
      </w:r>
    </w:p>
    <w:p>
      <w:pPr>
        <w:spacing w:before="400"/>
      </w:pPr>
      <w:r>
        <w:rPr>
          <w:i/>
          <w:iCs/>
          <w:color w:val="56646D"/>
        </w:rPr>
        <w:t xml:space="preserve">Fin du rapport.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2026-08-19T20:52:16.830Z</dcterms:created>
  <dcterms:modified xsi:type="dcterms:W3CDTF">2026-08-19T20:52:16.832Z</dcterms:modified>
</cp:coreProperties>
</file>

<file path=docProps/custom.xml><?xml version="1.0" encoding="utf-8"?>
<Properties xmlns="http://schemas.openxmlformats.org/officeDocument/2006/custom-properties" xmlns:vt="http://schemas.openxmlformats.org/officeDocument/2006/docPropsVTypes"/>
</file>