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808080"/>
          <w:sz w:val="24"/>
          <w:szCs w:val="24"/>
        </w:rPr>
        <w:t xml:space="preserve">SNEF Cameroun SA — SGBF</w:t>
      </w:r>
    </w:p>
    <w:p>
      <w:pPr>
        <w:spacing w:after="100" w:before="200"/>
        <w:jc w:val="center"/>
      </w:pPr>
      <w:r>
        <w:rPr>
          <w:b/>
          <w:bCs/>
          <w:color w:val="1F3864"/>
          <w:sz w:val="36"/>
          <w:szCs w:val="36"/>
        </w:rPr>
        <w:t xml:space="preserve">Rapport d'evolution — Workflows Bon de Sortie, FIPH et Reaffectation</w:t>
      </w:r>
    </w:p>
    <w:p>
      <w:pPr>
        <w:spacing w:after="400" w:before="100"/>
        <w:jc w:val="center"/>
      </w:pPr>
      <w:r>
        <w:rPr>
          <w:color w:val="2E5395"/>
          <w:sz w:val="26"/>
          <w:szCs w:val="26"/>
        </w:rPr>
        <w:t xml:space="preserve">Validation Charge d'Affaires, notifications cliquables, reaffectation mi-mission</w:t>
      </w:r>
    </w:p>
    <w:p>
      <w:pPr>
        <w:spacing w:after="60"/>
        <w:jc w:val="center"/>
      </w:pPr>
      <w:r>
        <w:rPr>
          <w:sz w:val="20"/>
          <w:szCs w:val="20"/>
        </w:rPr>
        <w:t xml:space="preserve">Date : 21 aout 2026</w:t>
      </w:r>
    </w:p>
    <w:p>
      <w:pPr>
        <w:spacing w:after="400"/>
        <w:jc w:val="center"/>
      </w:pPr>
      <w:r>
        <w:rPr>
          <w:i/>
          <w:iCs/>
          <w:sz w:val="20"/>
          <w:szCs w:val="20"/>
        </w:rPr>
        <w:t xml:space="preserve">Perimetre : sections 1 a 19 du brief « Evolution des workflows Bons de Sortie, FIPH et reaffectation des agents »</w:t>
      </w:r>
    </w:p>
    <w:p>
      <w:pPr>
        <w:pStyle w:val="Heading1"/>
        <w:spacing w:after="200" w:before="400"/>
      </w:pPr>
      <w:r>
        <w:t xml:space="preserve">1. Contexte et methode</w:t>
      </w:r>
    </w:p>
    <w:p>
      <w:pPr>
        <w:spacing w:after="120"/>
      </w:pPr>
      <w:r>
        <w:t xml:space="preserve">Le brief demandait, avant toute ecriture de code, d'analyser l'existant afin de distinguer les regles deja fonctionnelles des regles reellement a implementer. Cette analyse a revele un fait majeur qui structure tout ce rapport : la grande majorite du brief (sections 1 a 8) etait deja implementee, vraisemblablement lors d'un travail anterieur de cette meme mission etendue. Seules les sections 9 a 13 (reaffectation d'un agent en cours de mission) constituaient un developpement reellement nouveau.</w:t>
      </w:r>
    </w:p>
    <w:p>
      <w:pPr>
        <w:spacing w:after="120"/>
      </w:pPr>
      <w:r>
        <w:t xml:space="preserve">La methode suivie a ete identique a celle des missions precedentes : lecture du code avant toute hypothese, verification par tests automatises ET par une manipulation reelle de l'application (base de developpement, navigateur), et remontee explicite des points d'ambiguite metier avant d'ecrire la moindre ligne de code touchant a l'integrite des pointages/FIPH.</w:t>
      </w:r>
    </w:p>
    <w:p>
      <w:pPr>
        <w:pStyle w:val="Heading1"/>
        <w:spacing w:after="200" w:before="400"/>
      </w:pPr>
      <w:r>
        <w:t xml:space="preserve">2. Sections deja implementees (verifiees, aucun nouveau code)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00"/>
      </w:tblGrid>
      <w:tr>
        <w:trPr>
          <w:tblHeader/>
        </w:trPr>
        <w:tc>
          <w:tcPr>
            <w:tcW w:type="dxa" w:w="3200"/>
            <w:shd w:fill="1F3864" w:val="clear"/>
            <w:tcMar>
              <w:top w:type="dxa" w:w="60"/>
              <w:left w:type="dxa" w:w="80"/>
              <w:bottom w:type="dxa" w:w="60"/>
              <w:right w:type="dxa" w:w="80"/>
            </w:tcMar>
          </w:tcPr>
          <w:p>
            <w:r>
              <w:rPr>
                <w:b/>
                <w:bCs/>
                <w:color w:val="FFFFFF"/>
                <w:sz w:val="18"/>
                <w:szCs w:val="18"/>
              </w:rPr>
              <w:t xml:space="preserve">Section du brief</w:t>
            </w:r>
          </w:p>
        </w:tc>
        <w:tc>
          <w:tcPr>
            <w:tcW w:type="dxa" w:w="2000"/>
            <w:shd w:fill="1F3864" w:val="clear"/>
            <w:tcMar>
              <w:top w:type="dxa" w:w="60"/>
              <w:left w:type="dxa" w:w="80"/>
              <w:bottom w:type="dxa" w:w="60"/>
              <w:right w:type="dxa" w:w="80"/>
            </w:tcMar>
          </w:tcPr>
          <w:p>
            <w:r>
              <w:rPr>
                <w:b/>
                <w:bCs/>
                <w:color w:val="FFFFFF"/>
                <w:sz w:val="18"/>
                <w:szCs w:val="18"/>
              </w:rPr>
              <w:t xml:space="preserve">Constat</w:t>
            </w:r>
          </w:p>
        </w:tc>
        <w:tc>
          <w:tcPr>
            <w:tcW w:type="dxa" w:w="4100"/>
            <w:shd w:fill="1F3864" w:val="clear"/>
            <w:tcMar>
              <w:top w:type="dxa" w:w="60"/>
              <w:left w:type="dxa" w:w="80"/>
              <w:bottom w:type="dxa" w:w="60"/>
              <w:right w:type="dxa" w:w="80"/>
            </w:tcMar>
          </w:tcPr>
          <w:p>
            <w:r>
              <w:rPr>
                <w:b/>
                <w:bCs/>
                <w:color w:val="FFFFFF"/>
                <w:sz w:val="18"/>
                <w:szCs w:val="18"/>
              </w:rPr>
              <w:t xml:space="preserve">Preuve dans le code</w:t>
            </w:r>
          </w:p>
        </w:tc>
      </w:tr>
      <w:tr>
        <w:tc>
          <w:tcPr>
            <w:tcW w:type="dxa" w:w="3200"/>
            <w:tcMar>
              <w:top w:type="dxa" w:w="60"/>
              <w:left w:type="dxa" w:w="80"/>
              <w:bottom w:type="dxa" w:w="60"/>
              <w:right w:type="dxa" w:w="80"/>
            </w:tcMar>
          </w:tcPr>
          <w:p>
            <w:r>
              <w:rPr>
                <w:b w:val="false"/>
                <w:bCs w:val="false"/>
                <w:sz w:val="18"/>
                <w:szCs w:val="18"/>
              </w:rPr>
              <w:t xml:space="preserve">1. Validation BS par le CA (y compris ses propres bons)</w:t>
            </w:r>
          </w:p>
        </w:tc>
        <w:tc>
          <w:tcPr>
            <w:tcW w:type="dxa" w:w="2000"/>
            <w:tcMar>
              <w:top w:type="dxa" w:w="60"/>
              <w:left w:type="dxa" w:w="80"/>
              <w:bottom w:type="dxa" w:w="60"/>
              <w:right w:type="dxa" w:w="80"/>
            </w:tcMar>
          </w:tcPr>
          <w:p>
            <w:r>
              <w:rPr>
                <w:b w:val="false"/>
                <w:bCs w:val="false"/>
                <w:color w:val="1E7A34"/>
                <w:sz w:val="18"/>
                <w:szCs w:val="18"/>
              </w:rPr>
              <w:t xml:space="preserve">Deja conforme</w:t>
            </w:r>
          </w:p>
        </w:tc>
        <w:tc>
          <w:tcPr>
            <w:tcW w:type="dxa" w:w="4100"/>
            <w:tcMar>
              <w:top w:type="dxa" w:w="60"/>
              <w:left w:type="dxa" w:w="80"/>
              <w:bottom w:type="dxa" w:w="60"/>
              <w:right w:type="dxa" w:w="80"/>
            </w:tcMar>
          </w:tcPr>
          <w:p>
            <w:r>
              <w:rPr>
                <w:b w:val="false"/>
                <w:bCs w:val="false"/>
                <w:sz w:val="18"/>
                <w:szCs w:val="18"/>
              </w:rPr>
              <w:t xml:space="preserve">BonSortieService.verifierPerimetreGestionnaire : verifie uniquement le service de l'agent du bon, jamais l'auteur de la creation</w:t>
            </w:r>
          </w:p>
        </w:tc>
      </w:tr>
      <w:tr>
        <w:tc>
          <w:tcPr>
            <w:tcW w:type="dxa" w:w="3200"/>
            <w:tcMar>
              <w:top w:type="dxa" w:w="60"/>
              <w:left w:type="dxa" w:w="80"/>
              <w:bottom w:type="dxa" w:w="60"/>
              <w:right w:type="dxa" w:w="80"/>
            </w:tcMar>
          </w:tcPr>
          <w:p>
            <w:r>
              <w:rPr>
                <w:b w:val="false"/>
                <w:bCs w:val="false"/>
                <w:sz w:val="18"/>
                <w:szCs w:val="18"/>
              </w:rPr>
              <w:t xml:space="preserve">2/3/6. FIPH : une seule validation niveau 2 suffit (CA ou personne habilitee)</w:t>
            </w:r>
          </w:p>
        </w:tc>
        <w:tc>
          <w:tcPr>
            <w:tcW w:type="dxa" w:w="2000"/>
            <w:tcMar>
              <w:top w:type="dxa" w:w="60"/>
              <w:left w:type="dxa" w:w="80"/>
              <w:bottom w:type="dxa" w:w="60"/>
              <w:right w:type="dxa" w:w="80"/>
            </w:tcMar>
          </w:tcPr>
          <w:p>
            <w:r>
              <w:rPr>
                <w:b w:val="false"/>
                <w:bCs w:val="false"/>
                <w:color w:val="1E7A34"/>
                <w:sz w:val="18"/>
                <w:szCs w:val="18"/>
              </w:rPr>
              <w:t xml:space="preserve">Deja conforme</w:t>
            </w:r>
          </w:p>
        </w:tc>
        <w:tc>
          <w:tcPr>
            <w:tcW w:type="dxa" w:w="4100"/>
            <w:tcMar>
              <w:top w:type="dxa" w:w="60"/>
              <w:left w:type="dxa" w:w="80"/>
              <w:bottom w:type="dxa" w:w="60"/>
              <w:right w:type="dxa" w:w="80"/>
            </w:tcMar>
          </w:tcPr>
          <w:p>
            <w:r>
              <w:rPr>
                <w:b w:val="false"/>
                <w:bCs w:val="false"/>
                <w:sz w:val="18"/>
                <w:szCs w:val="18"/>
              </w:rPr>
              <w:t xml:space="preserve">FiphVersionService.valider(), commentaire RG-FIPH-012 : « la premiere validation de niveau 2 suffit » ; verifierRoleNiveau accepte les deux roles</w:t>
            </w:r>
          </w:p>
        </w:tc>
      </w:tr>
      <w:tr>
        <w:tc>
          <w:tcPr>
            <w:tcW w:type="dxa" w:w="3200"/>
            <w:tcMar>
              <w:top w:type="dxa" w:w="60"/>
              <w:left w:type="dxa" w:w="80"/>
              <w:bottom w:type="dxa" w:w="60"/>
              <w:right w:type="dxa" w:w="80"/>
            </w:tcMar>
          </w:tcPr>
          <w:p>
            <w:r>
              <w:rPr>
                <w:b w:val="false"/>
                <w:bCs w:val="false"/>
                <w:sz w:val="18"/>
                <w:szCs w:val="18"/>
              </w:rPr>
              <w:t xml:space="preserve">4. Perimetre strict par service (FIPH)</w:t>
            </w:r>
          </w:p>
        </w:tc>
        <w:tc>
          <w:tcPr>
            <w:tcW w:type="dxa" w:w="2000"/>
            <w:tcMar>
              <w:top w:type="dxa" w:w="60"/>
              <w:left w:type="dxa" w:w="80"/>
              <w:bottom w:type="dxa" w:w="60"/>
              <w:right w:type="dxa" w:w="80"/>
            </w:tcMar>
          </w:tcPr>
          <w:p>
            <w:r>
              <w:rPr>
                <w:b w:val="false"/>
                <w:bCs w:val="false"/>
                <w:color w:val="1E7A34"/>
                <w:sz w:val="18"/>
                <w:szCs w:val="18"/>
              </w:rPr>
              <w:t xml:space="preserve">Deja conforme</w:t>
            </w:r>
          </w:p>
        </w:tc>
        <w:tc>
          <w:tcPr>
            <w:tcW w:type="dxa" w:w="4100"/>
            <w:tcMar>
              <w:top w:type="dxa" w:w="60"/>
              <w:left w:type="dxa" w:w="80"/>
              <w:bottom w:type="dxa" w:w="60"/>
              <w:right w:type="dxa" w:w="80"/>
            </w:tcMar>
          </w:tcPr>
          <w:p>
            <w:r>
              <w:rPr>
                <w:b w:val="false"/>
                <w:bCs w:val="false"/>
                <w:sz w:val="18"/>
                <w:szCs w:val="18"/>
              </w:rPr>
              <w:t xml:space="preserve">verifierPerimetreLecture / verifierPerimetreGestionnaire poses sur toutes les methodes de lecture et d'ecriture</w:t>
            </w:r>
          </w:p>
        </w:tc>
      </w:tr>
      <w:tr>
        <w:tc>
          <w:tcPr>
            <w:tcW w:type="dxa" w:w="3200"/>
            <w:tcMar>
              <w:top w:type="dxa" w:w="60"/>
              <w:left w:type="dxa" w:w="80"/>
              <w:bottom w:type="dxa" w:w="60"/>
              <w:right w:type="dxa" w:w="80"/>
            </w:tcMar>
          </w:tcPr>
          <w:p>
            <w:r>
              <w:rPr>
                <w:b w:val="false"/>
                <w:bCs w:val="false"/>
                <w:sz w:val="18"/>
                <w:szCs w:val="18"/>
              </w:rPr>
              <w:t xml:space="preserve">5. Modification des FIPH par CA/Personne habilitee</w:t>
            </w:r>
          </w:p>
        </w:tc>
        <w:tc>
          <w:tcPr>
            <w:tcW w:type="dxa" w:w="2000"/>
            <w:tcMar>
              <w:top w:type="dxa" w:w="60"/>
              <w:left w:type="dxa" w:w="80"/>
              <w:bottom w:type="dxa" w:w="60"/>
              <w:right w:type="dxa" w:w="80"/>
            </w:tcMar>
          </w:tcPr>
          <w:p>
            <w:r>
              <w:rPr>
                <w:b w:val="false"/>
                <w:bCs w:val="false"/>
                <w:color w:val="1E7A34"/>
                <w:sz w:val="18"/>
                <w:szCs w:val="18"/>
              </w:rPr>
              <w:t xml:space="preserve">Deja conforme</w:t>
            </w:r>
          </w:p>
        </w:tc>
        <w:tc>
          <w:tcPr>
            <w:tcW w:type="dxa" w:w="4100"/>
            <w:tcMar>
              <w:top w:type="dxa" w:w="60"/>
              <w:left w:type="dxa" w:w="80"/>
              <w:bottom w:type="dxa" w:w="60"/>
              <w:right w:type="dxa" w:w="80"/>
            </w:tcMar>
          </w:tcPr>
          <w:p>
            <w:r>
              <w:rPr>
                <w:b w:val="false"/>
                <w:bCs w:val="false"/>
                <w:sz w:val="18"/>
                <w:szCs w:val="18"/>
              </w:rPr>
              <w:t xml:space="preserve">Memes controles que la section 4, appliques uniformement</w:t>
            </w:r>
          </w:p>
        </w:tc>
      </w:tr>
      <w:tr>
        <w:tc>
          <w:tcPr>
            <w:tcW w:type="dxa" w:w="3200"/>
            <w:tcMar>
              <w:top w:type="dxa" w:w="60"/>
              <w:left w:type="dxa" w:w="80"/>
              <w:bottom w:type="dxa" w:w="60"/>
              <w:right w:type="dxa" w:w="80"/>
            </w:tcMar>
          </w:tcPr>
          <w:p>
            <w:r>
              <w:rPr>
                <w:b w:val="false"/>
                <w:bCs w:val="false"/>
                <w:sz w:val="18"/>
                <w:szCs w:val="18"/>
              </w:rPr>
              <w:t xml:space="preserve">7/8. Notifications cliquables et sures</w:t>
            </w:r>
          </w:p>
        </w:tc>
        <w:tc>
          <w:tcPr>
            <w:tcW w:type="dxa" w:w="2000"/>
            <w:tcMar>
              <w:top w:type="dxa" w:w="60"/>
              <w:left w:type="dxa" w:w="80"/>
              <w:bottom w:type="dxa" w:w="60"/>
              <w:right w:type="dxa" w:w="80"/>
            </w:tcMar>
          </w:tcPr>
          <w:p>
            <w:r>
              <w:rPr>
                <w:b w:val="false"/>
                <w:bCs w:val="false"/>
                <w:color w:val="1E7A34"/>
                <w:sz w:val="18"/>
                <w:szCs w:val="18"/>
              </w:rPr>
              <w:t xml:space="preserve">Deja conforme</w:t>
            </w:r>
          </w:p>
        </w:tc>
        <w:tc>
          <w:tcPr>
            <w:tcW w:type="dxa" w:w="4100"/>
            <w:tcMar>
              <w:top w:type="dxa" w:w="60"/>
              <w:left w:type="dxa" w:w="80"/>
              <w:bottom w:type="dxa" w:w="60"/>
              <w:right w:type="dxa" w:w="80"/>
            </w:tcMar>
          </w:tcPr>
          <w:p>
            <w:r>
              <w:rPr>
                <w:b w:val="false"/>
                <w:bCs w:val="false"/>
                <w:sz w:val="18"/>
                <w:szCs w:val="18"/>
              </w:rPr>
              <w:t xml:space="preserve">NotificationCenter.tsx : navigate(notification.lien) ; lien genere cote serveur, perimetre revérifie a l'ouverture de la page cible</w:t>
            </w:r>
          </w:p>
        </w:tc>
      </w:tr>
    </w:tbl>
    <w:p>
      <w:pPr>
        <w:spacing w:after="120"/>
      </w:pPr>
      <w:r>
        <w:t xml:space="preserve">Ces constats n'exemptent pas d'une verification reelle : la suite complete de tests automatises (62 tests backend, 48 tests frontend) a ete rejouee dans son integralite sur une base de test fraichement recreee, et est passee en totalite (0 echec) apres l'ajout des nouveaux tests. Aucune regression n'a ete introduite sur ces sections deja acquises.</w:t>
      </w:r>
    </w:p>
    <w:p>
      <w:pPr>
        <w:pStyle w:val="Heading1"/>
        <w:spacing w:after="200" w:before="400"/>
      </w:pPr>
      <w:r>
        <w:t xml:space="preserve">3. Section 9-13 — Reaffectation mi-mission (developpement reellement nouveau)</w:t>
      </w:r>
    </w:p>
    <w:p>
      <w:pPr>
        <w:pStyle w:val="Heading2"/>
        <w:spacing w:after="150" w:before="300"/>
      </w:pPr>
      <w:r>
        <w:t xml:space="preserve">3.1 Constat sur l'existant</w:t>
      </w:r>
    </w:p>
    <w:p>
      <w:pPr>
        <w:spacing w:after="120"/>
      </w:pPr>
      <w:r>
        <w:t xml:space="preserve">Le cycle interrompre() + reaffecter() existait deja mais restait un parcours manuel en deux etapes : le Charge d'Affaires devait explicitement choisir une date d'interruption puis, separement, creer la nouvelle affectation. Un commentaire de classe, date d'avant la construction du module FIPH, indiquait que l'impact d'une interruption sur une FIPH deja generee « sera cable lors du developpement du module FIPH (non encore construit) » - ce cablage n'avait jamais ete fait depuis, alors que le module FIPH existe pleinement aujourd'hui. C'est ce point precis que ce lot de travail a resolu.</w:t>
      </w:r>
    </w:p>
    <w:p>
      <w:pPr>
        <w:spacing w:after="120"/>
      </w:pPr>
      <w:r>
        <w:t xml:space="preserve">Fait structurel determinant : la FIPH n'est pas rattachee a une mission mais est hebdomadaire par agent (une FIPH = un agent + une semaine ISO), et chaque ligne de pointage journaliere est deja rattachee individuellement a « l'affectation active ce jour-la » - conception deja documentee pour permettre a une seule FIPH hebdomadaire de contenir des jours sur l'ancienne ET la nouvelle affectation sans incoherence. Le scenario du brief (« FIPH MIS-001 » / « FIPH MIS-002 ») ne correspond donc pas litteralement au modele de donnees reel - ce qui a motive les decisions ci-dessous, tranchees avec l'utilisateur avant toute implementation.</w:t>
      </w:r>
    </w:p>
    <w:p>
      <w:pPr>
        <w:pStyle w:val="Heading2"/>
        <w:spacing w:after="150" w:before="300"/>
      </w:pPr>
      <w:r>
        <w:t xml:space="preserve">3.2 Decisions metier tranchees</w:t>
      </w:r>
    </w:p>
    <w:p>
      <w:pPr>
        <w:spacing w:after="60" w:before="150"/>
      </w:pPr>
      <w:r>
        <w:rPr>
          <w:b/>
          <w:bCs/>
          <w:color w:val="6A3EA1"/>
        </w:rPr>
        <w:t xml:space="preserve">Decision : </w:t>
      </w:r>
      <w:r>
        <w:rPr>
          <w:b/>
          <w:bCs/>
        </w:rPr>
        <w:t xml:space="preserve">Flux de reaffectation</w:t>
      </w:r>
    </w:p>
    <w:p>
      <w:pPr>
        <w:spacing w:after="60"/>
      </w:pPr>
      <w:r>
        <w:rPr>
          <w:b/>
          <w:bCs/>
        </w:rPr>
        <w:t xml:space="preserve">Choix retenu (utilisateur) : </w:t>
      </w:r>
      <w:r>
        <w:t xml:space="preserve">Action unique automatique.</w:t>
      </w:r>
    </w:p>
    <w:p>
      <w:pPr>
        <w:spacing w:after="150"/>
      </w:pPr>
      <w:r>
        <w:rPr>
          <w:b/>
          <w:bCs/>
        </w:rPr>
        <w:t xml:space="preserve">Justification : </w:t>
      </w:r>
      <w:r>
        <w:t xml:space="preserve">Un nouveau endpoint (POST /affectations-mission/reaffecter-mi-mission) ferme automatiquement l'affectation active a la veille de la nouvelle date de debut et ouvre la nouvelle affectation, en une seule operation atomique - conforme au libelle du brief (« le systeme doit automatiquement repartir la periode ») et evite d'exposer une date d'interruption a calculer/saisir manuellement, source d'erreur.</w:t>
      </w:r>
    </w:p>
    <w:p>
      <w:pPr>
        <w:spacing w:after="60" w:before="150"/>
      </w:pPr>
      <w:r>
        <w:rPr>
          <w:b/>
          <w:bCs/>
          <w:color w:val="6A3EA1"/>
        </w:rPr>
        <w:t xml:space="preserve">Decision : </w:t>
      </w:r>
      <w:r>
        <w:rPr>
          <w:b/>
          <w:bCs/>
        </w:rPr>
        <w:t xml:space="preserve">Retroactivite</w:t>
      </w:r>
    </w:p>
    <w:p>
      <w:pPr>
        <w:spacing w:after="60"/>
      </w:pPr>
      <w:r>
        <w:rPr>
          <w:b/>
          <w:bCs/>
        </w:rPr>
        <w:t xml:space="preserve">Choix retenu (utilisateur) : </w:t>
      </w:r>
      <w:r>
        <w:t xml:space="preserve">Bloquer le retroactif.</w:t>
      </w:r>
    </w:p>
    <w:p>
      <w:pPr>
        <w:spacing w:after="150"/>
      </w:pPr>
      <w:r>
        <w:rPr>
          <w:b/>
          <w:bCs/>
        </w:rPr>
        <w:t xml:space="preserve">Justification : </w:t>
      </w:r>
      <w:r>
        <w:t xml:space="preserve">La nouvelle date de debut doit etre strictement posterieure au dernier jour deja pointe pour l'agent (toutes FIPH confondues) - coherent avec le principe « jamais d'ecrasement silencieux » deja applique partout ailleurs dans le code (RG-MIS-003/006).</w:t>
      </w:r>
    </w:p>
    <w:p>
      <w:pPr>
        <w:spacing w:after="60" w:before="150"/>
      </w:pPr>
      <w:r>
        <w:rPr>
          <w:b/>
          <w:bCs/>
          <w:color w:val="6A3EA1"/>
        </w:rPr>
        <w:t xml:space="preserve">Decision : </w:t>
      </w:r>
      <w:r>
        <w:rPr>
          <w:b/>
          <w:bCs/>
        </w:rPr>
        <w:t xml:space="preserve">Portee FIPH</w:t>
      </w:r>
    </w:p>
    <w:p>
      <w:pPr>
        <w:spacing w:after="60"/>
      </w:pPr>
      <w:r>
        <w:rPr>
          <w:b/>
          <w:bCs/>
        </w:rPr>
        <w:t xml:space="preserve">Choix retenu (utilisateur) : </w:t>
      </w:r>
      <w:r>
        <w:t xml:space="preserve">Rien a creer, le rattachement au jour suffit.</w:t>
      </w:r>
    </w:p>
    <w:p>
      <w:pPr>
        <w:spacing w:after="150"/>
      </w:pPr>
      <w:r>
        <w:rPr>
          <w:b/>
          <w:bCs/>
        </w:rPr>
        <w:t xml:space="preserve">Justification : </w:t>
      </w:r>
      <w:r>
        <w:t xml:space="preserve">Chaque jour est deja rattache a la bonne affectation au moment ou son bon de sortie est valide (mecanisme existant, resoudreActiveADate) - aucune notion de « FIPH par mission » a generer en plus du modele hebdomadaire existant.</w:t>
      </w:r>
    </w:p>
    <w:p>
      <w:pPr>
        <w:pStyle w:val="Heading2"/>
        <w:spacing w:after="150" w:before="300"/>
      </w:pPr>
      <w:r>
        <w:t xml:space="preserve">3.3 Implementation</w:t>
      </w:r>
    </w:p>
    <w:p>
      <w:pPr>
        <w:spacing w:after="120"/>
      </w:pPr>
      <w:r>
        <w:rPr>
          <w:b/>
          <w:bCs/>
        </w:rPr>
        <w:t xml:space="preserve">Nouveau endpoint : </w:t>
      </w:r>
      <w:r>
        <w:t xml:space="preserve">POST /api/affectations-mission/reaffecter-mi-mission (AffectationMissionController, AffectationMissionService#reaffecterPendantMissionEnCours).</w:t>
      </w:r>
    </w:p>
    <w:p>
      <w:pPr>
        <w:pStyle w:val="ListParagraph"/>
        <w:numPr>
          <w:ilvl w:val="0"/>
          <w:numId w:val="1"/>
        </w:numPr>
        <w:spacing w:after="80"/>
      </w:pPr>
      <w:r>
        <w:t xml:space="preserve">Charge l'affectation ACTIVE de l'agent (aucune notion d'ID d'affectation a fournir cote client - resolue serveur, anti-IDOR).</w:t>
      </w:r>
    </w:p>
    <w:p>
      <w:pPr>
        <w:pStyle w:val="ListParagraph"/>
        <w:numPr>
          <w:ilvl w:val="0"/>
          <w:numId w:val="1"/>
        </w:numPr>
        <w:spacing w:after="80"/>
      </w:pPr>
      <w:r>
        <w:t xml:space="preserve">Verifie le perimetre (CA/Personne habilitee du SERVICE DE L'AGENT, jamais un service fourni par le client).</w:t>
      </w:r>
    </w:p>
    <w:p>
      <w:pPr>
        <w:pStyle w:val="ListParagraph"/>
        <w:numPr>
          <w:ilvl w:val="0"/>
          <w:numId w:val="1"/>
        </w:numPr>
        <w:spacing w:after="80"/>
      </w:pPr>
      <w:r>
        <w:t xml:space="preserve">Refuse une nouvelle date de debut anterieure ou egale au debut de l'affectation active (RG-MIS-010).</w:t>
      </w:r>
    </w:p>
    <w:p>
      <w:pPr>
        <w:pStyle w:val="ListParagraph"/>
        <w:numPr>
          <w:ilvl w:val="0"/>
          <w:numId w:val="1"/>
        </w:numPr>
        <w:spacing w:after="80"/>
      </w:pPr>
      <w:r>
        <w:t xml:space="preserve">Refuse une reaffectation retroactive sur un jour deja pointe (RG-MIS-011, via PointageRepository#trouverDernierJourPointe).</w:t>
      </w:r>
    </w:p>
    <w:p>
      <w:pPr>
        <w:pStyle w:val="ListParagraph"/>
        <w:numPr>
          <w:ilvl w:val="0"/>
          <w:numId w:val="1"/>
        </w:numPr>
        <w:spacing w:after="80"/>
      </w:pPr>
      <w:r>
        <w:t xml:space="preserve">Ferme l'affectation active (motif referentiel existant NOUVELLE_MISSION, deja seede en base), avec saveAndFlush explicite AVANT l'insertion de la nouvelle ligne - necessaire car l'index unique « une seule affectation ACTIVE par agent » serait sinon transitoirement viole (Hibernate ordonnance par defaut les INSERT avant les UPDATE dans un meme flush).</w:t>
      </w:r>
    </w:p>
    <w:p>
      <w:pPr>
        <w:pStyle w:val="ListParagraph"/>
        <w:numPr>
          <w:ilvl w:val="0"/>
          <w:numId w:val="1"/>
        </w:numPr>
        <w:spacing w:after="80"/>
      </w:pPr>
      <w:r>
        <w:t xml:space="preserve">Cree la nouvelle affectation, chainee via affectationPrecedente, jamais d'ecrasement de l'historique existant.</w:t>
      </w:r>
    </w:p>
    <w:p>
      <w:pPr>
        <w:spacing w:after="120"/>
      </w:pPr>
      <w:r>
        <w:rPr>
          <w:b/>
          <w:bCs/>
        </w:rPr>
        <w:t xml:space="preserve">Interface : </w:t>
      </w:r>
      <w:r>
        <w:t xml:space="preserve">bouton « Reaffecter vers une nouvelle mission » sur chaque affectation ACTIVE (MissionDetailPage.tsx), avec selection de la mission cible (liste sur laquelle la mission courante est exclue) et saisie de la date de debut.</w:t>
      </w:r>
    </w:p>
    <w:p>
      <w:pPr>
        <w:pStyle w:val="Heading2"/>
        <w:spacing w:after="150" w:before="300"/>
      </w:pPr>
      <w:r>
        <w:t xml:space="preserve">3.4 Verification</w:t>
      </w:r>
    </w:p>
    <w:p>
      <w:pPr>
        <w:spacing w:after="120"/>
      </w:pPr>
      <w:r>
        <w:rPr>
          <w:b/>
          <w:bCs/>
        </w:rPr>
        <w:t xml:space="preserve">Tests automatises (ReaffectationMiMissionIT, 7/7) : </w:t>
      </w:r>
      <w:r>
        <w:t xml:space="preserve">scenario exact du brief (scission automatique de la periode), cas 1 (lendemain du debut), cas 5 (agent sans affectation active), cas 6 (periode incoherente), cas 7 (hors perimetre service), et les deux tests de retroactivite (refus sur jour deja pointe / acceptation apres le dernier jour pointe).</w:t>
      </w:r>
    </w:p>
    <w:p>
      <w:pPr>
        <w:spacing w:after="120"/>
      </w:pPr>
      <w:r>
        <w:rPr>
          <w:b/>
          <w:bCs/>
        </w:rPr>
        <w:t xml:space="preserve">Verification en conditions reelles : </w:t>
      </w:r>
      <w:r>
        <w:t xml:space="preserve">reproduction complete dans le navigateur contre la base de developpement reelle - creation d'un agent affecte a une mission, clic sur « Reaffecter vers une nouvelle mission », verification en base que la mission 1 est passee INTERROMPUE avec la date de fin exacte (veille de la nouvelle affectation), que la mission 2 est passee EN_COURS, et que les deux lignes d'affectation sont correctement chainees (affectation_precedente_id).</w:t>
      </w:r>
    </w:p>
    <w:p>
      <w:pPr>
        <w:spacing w:after="120"/>
      </w:pPr>
      <w:r>
        <w:rPr>
          <w:b/>
          <w:bCs/>
        </w:rPr>
        <w:t xml:space="preserve">Bug trouve et corrige pendant cette verification : </w:t>
      </w:r>
      <w:r>
        <w:t xml:space="preserve">la premiere version de l'implementation echouait avec une DataIntegrityViolationException (contrainte d'unicite « une seule affectation ACTIVE par agent ») car Hibernate applique par defaut les INSERT avant les UPDATE au sein d'un meme flush - la nouvelle ligne ACTIVE etait donc inseree avant que l'ancienne ne soit repassee a INTERROMPUE. Corrige par un saveAndFlush explicite force avant l'insertion.</w:t>
      </w:r>
    </w:p>
    <w:p>
      <w:pPr>
        <w:pStyle w:val="Heading1"/>
        <w:spacing w:after="200" w:before="400"/>
      </w:pPr>
      <w:r>
        <w:t xml:space="preserve">4. Suite de tests — resultats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00"/>
      </w:tblGrid>
      <w:tr>
        <w:trPr>
          <w:tblHeader/>
        </w:trPr>
        <w:tc>
          <w:tcPr>
            <w:tcW w:type="dxa" w:w="2600"/>
            <w:shd w:fill="1F3864" w:val="clear"/>
            <w:tcMar>
              <w:top w:type="dxa" w:w="60"/>
              <w:left w:type="dxa" w:w="80"/>
              <w:bottom w:type="dxa" w:w="60"/>
              <w:right w:type="dxa" w:w="80"/>
            </w:tcMar>
          </w:tcPr>
          <w:p>
            <w:r>
              <w:rPr>
                <w:b/>
                <w:bCs/>
                <w:color w:val="FFFFFF"/>
                <w:sz w:val="18"/>
                <w:szCs w:val="18"/>
              </w:rPr>
              <w:t xml:space="preserve">Suite</w:t>
            </w:r>
          </w:p>
        </w:tc>
        <w:tc>
          <w:tcPr>
            <w:tcW w:type="dxa" w:w="1600"/>
            <w:shd w:fill="1F3864" w:val="clear"/>
            <w:tcMar>
              <w:top w:type="dxa" w:w="60"/>
              <w:left w:type="dxa" w:w="80"/>
              <w:bottom w:type="dxa" w:w="60"/>
              <w:right w:type="dxa" w:w="80"/>
            </w:tcMar>
          </w:tcPr>
          <w:p>
            <w:r>
              <w:rPr>
                <w:b/>
                <w:bCs/>
                <w:color w:val="FFFFFF"/>
                <w:sz w:val="18"/>
                <w:szCs w:val="18"/>
              </w:rPr>
              <w:t xml:space="preserve">Resultat</w:t>
            </w:r>
          </w:p>
        </w:tc>
        <w:tc>
          <w:tcPr>
            <w:tcW w:type="dxa" w:w="5100"/>
            <w:shd w:fill="1F3864" w:val="clear"/>
            <w:tcMar>
              <w:top w:type="dxa" w:w="60"/>
              <w:left w:type="dxa" w:w="80"/>
              <w:bottom w:type="dxa" w:w="60"/>
              <w:right w:type="dxa" w:w="80"/>
            </w:tcMar>
          </w:tcPr>
          <w:p>
            <w:r>
              <w:rPr>
                <w:b/>
                <w:bCs/>
                <w:color w:val="FFFFFF"/>
                <w:sz w:val="18"/>
                <w:szCs w:val="18"/>
              </w:rPr>
              <w:t xml:space="preserve">Detail</w:t>
            </w:r>
          </w:p>
        </w:tc>
      </w:tr>
      <w:tr>
        <w:tc>
          <w:tcPr>
            <w:tcW w:type="dxa" w:w="2600"/>
            <w:tcMar>
              <w:top w:type="dxa" w:w="60"/>
              <w:left w:type="dxa" w:w="80"/>
              <w:bottom w:type="dxa" w:w="60"/>
              <w:right w:type="dxa" w:w="80"/>
            </w:tcMar>
          </w:tcPr>
          <w:p>
            <w:r>
              <w:rPr>
                <w:b w:val="false"/>
                <w:bCs w:val="false"/>
                <w:sz w:val="18"/>
                <w:szCs w:val="18"/>
              </w:rPr>
              <w:t xml:space="preserve">Backend (mvn test)</w:t>
            </w:r>
          </w:p>
        </w:tc>
        <w:tc>
          <w:tcPr>
            <w:tcW w:type="dxa" w:w="1600"/>
            <w:tcMar>
              <w:top w:type="dxa" w:w="60"/>
              <w:left w:type="dxa" w:w="80"/>
              <w:bottom w:type="dxa" w:w="60"/>
              <w:right w:type="dxa" w:w="80"/>
            </w:tcMar>
          </w:tcPr>
          <w:p>
            <w:r>
              <w:rPr>
                <w:b/>
                <w:bCs/>
                <w:color w:val="1E7A34"/>
                <w:sz w:val="18"/>
                <w:szCs w:val="18"/>
              </w:rPr>
              <w:t xml:space="preserve">62/62</w:t>
            </w:r>
          </w:p>
        </w:tc>
        <w:tc>
          <w:tcPr>
            <w:tcW w:type="dxa" w:w="5100"/>
            <w:tcMar>
              <w:top w:type="dxa" w:w="60"/>
              <w:left w:type="dxa" w:w="80"/>
              <w:bottom w:type="dxa" w:w="60"/>
              <w:right w:type="dxa" w:w="80"/>
            </w:tcMar>
          </w:tcPr>
          <w:p>
            <w:r>
              <w:rPr>
                <w:b w:val="false"/>
                <w:bCs w:val="false"/>
                <w:sz w:val="18"/>
                <w:szCs w:val="18"/>
              </w:rPr>
              <w:t xml:space="preserve">Base de test recreee integralement avant l'execution ; aucune regression sur les 55 tests preexistants</w:t>
            </w:r>
          </w:p>
        </w:tc>
      </w:tr>
      <w:tr>
        <w:tc>
          <w:tcPr>
            <w:tcW w:type="dxa" w:w="2600"/>
            <w:tcMar>
              <w:top w:type="dxa" w:w="60"/>
              <w:left w:type="dxa" w:w="80"/>
              <w:bottom w:type="dxa" w:w="60"/>
              <w:right w:type="dxa" w:w="80"/>
            </w:tcMar>
          </w:tcPr>
          <w:p>
            <w:r>
              <w:rPr>
                <w:b w:val="false"/>
                <w:bCs w:val="false"/>
                <w:sz w:val="18"/>
                <w:szCs w:val="18"/>
              </w:rPr>
              <w:t xml:space="preserve">  dont ReaffectationMiMissionIT</w:t>
            </w:r>
          </w:p>
        </w:tc>
        <w:tc>
          <w:tcPr>
            <w:tcW w:type="dxa" w:w="1600"/>
            <w:tcMar>
              <w:top w:type="dxa" w:w="60"/>
              <w:left w:type="dxa" w:w="80"/>
              <w:bottom w:type="dxa" w:w="60"/>
              <w:right w:type="dxa" w:w="80"/>
            </w:tcMar>
          </w:tcPr>
          <w:p>
            <w:r>
              <w:rPr>
                <w:b w:val="false"/>
                <w:bCs w:val="false"/>
                <w:color w:val="1E7A34"/>
                <w:sz w:val="18"/>
                <w:szCs w:val="18"/>
              </w:rPr>
              <w:t xml:space="preserve">7/7</w:t>
            </w:r>
          </w:p>
        </w:tc>
        <w:tc>
          <w:tcPr>
            <w:tcW w:type="dxa" w:w="5100"/>
            <w:tcMar>
              <w:top w:type="dxa" w:w="60"/>
              <w:left w:type="dxa" w:w="80"/>
              <w:bottom w:type="dxa" w:w="60"/>
              <w:right w:type="dxa" w:w="80"/>
            </w:tcMar>
          </w:tcPr>
          <w:p>
            <w:r>
              <w:rPr>
                <w:b w:val="false"/>
                <w:bCs w:val="false"/>
                <w:sz w:val="18"/>
                <w:szCs w:val="18"/>
              </w:rPr>
              <w:t xml:space="preserve">Nouveau : scenario exact du brief + cas 1/5/6/7 + retroactivite</w:t>
            </w:r>
          </w:p>
        </w:tc>
      </w:tr>
      <w:tr>
        <w:tc>
          <w:tcPr>
            <w:tcW w:type="dxa" w:w="2600"/>
            <w:tcMar>
              <w:top w:type="dxa" w:w="60"/>
              <w:left w:type="dxa" w:w="80"/>
              <w:bottom w:type="dxa" w:w="60"/>
              <w:right w:type="dxa" w:w="80"/>
            </w:tcMar>
          </w:tcPr>
          <w:p>
            <w:r>
              <w:rPr>
                <w:b w:val="false"/>
                <w:bCs w:val="false"/>
                <w:sz w:val="18"/>
                <w:szCs w:val="18"/>
              </w:rPr>
              <w:t xml:space="preserve">Frontend (vitest)</w:t>
            </w:r>
          </w:p>
        </w:tc>
        <w:tc>
          <w:tcPr>
            <w:tcW w:type="dxa" w:w="1600"/>
            <w:tcMar>
              <w:top w:type="dxa" w:w="60"/>
              <w:left w:type="dxa" w:w="80"/>
              <w:bottom w:type="dxa" w:w="60"/>
              <w:right w:type="dxa" w:w="80"/>
            </w:tcMar>
          </w:tcPr>
          <w:p>
            <w:r>
              <w:rPr>
                <w:b/>
                <w:bCs/>
                <w:color w:val="1E7A34"/>
                <w:sz w:val="18"/>
                <w:szCs w:val="18"/>
              </w:rPr>
              <w:t xml:space="preserve">48/48</w:t>
            </w:r>
          </w:p>
        </w:tc>
        <w:tc>
          <w:tcPr>
            <w:tcW w:type="dxa" w:w="5100"/>
            <w:tcMar>
              <w:top w:type="dxa" w:w="60"/>
              <w:left w:type="dxa" w:w="80"/>
              <w:bottom w:type="dxa" w:w="60"/>
              <w:right w:type="dxa" w:w="80"/>
            </w:tcMar>
          </w:tcPr>
          <w:p>
            <w:r>
              <w:rPr>
                <w:b w:val="false"/>
                <w:bCs w:val="false"/>
                <w:sz w:val="18"/>
                <w:szCs w:val="18"/>
              </w:rPr>
              <w:t xml:space="preserve">Aucune modification requise sur les tests existants</w:t>
            </w:r>
          </w:p>
        </w:tc>
      </w:tr>
      <w:tr>
        <w:tc>
          <w:tcPr>
            <w:tcW w:type="dxa" w:w="2600"/>
            <w:tcMar>
              <w:top w:type="dxa" w:w="60"/>
              <w:left w:type="dxa" w:w="80"/>
              <w:bottom w:type="dxa" w:w="60"/>
              <w:right w:type="dxa" w:w="80"/>
            </w:tcMar>
          </w:tcPr>
          <w:p>
            <w:r>
              <w:rPr>
                <w:b w:val="false"/>
                <w:bCs w:val="false"/>
                <w:sz w:val="18"/>
                <w:szCs w:val="18"/>
              </w:rPr>
              <w:t xml:space="preserve">tsc -b</w:t>
            </w:r>
          </w:p>
        </w:tc>
        <w:tc>
          <w:tcPr>
            <w:tcW w:type="dxa" w:w="1600"/>
            <w:tcMar>
              <w:top w:type="dxa" w:w="60"/>
              <w:left w:type="dxa" w:w="80"/>
              <w:bottom w:type="dxa" w:w="60"/>
              <w:right w:type="dxa" w:w="80"/>
            </w:tcMar>
          </w:tcPr>
          <w:p>
            <w:r>
              <w:rPr>
                <w:b w:val="false"/>
                <w:bCs w:val="false"/>
                <w:color w:val="1E7A34"/>
                <w:sz w:val="18"/>
                <w:szCs w:val="18"/>
              </w:rPr>
              <w:t xml:space="preserve">Propre</w:t>
            </w:r>
          </w:p>
        </w:tc>
        <w:tc>
          <w:tcPr>
            <w:tcW w:type="dxa" w:w="5100"/>
            <w:tcMar>
              <w:top w:type="dxa" w:w="60"/>
              <w:left w:type="dxa" w:w="80"/>
              <w:bottom w:type="dxa" w:w="60"/>
              <w:right w:type="dxa" w:w="80"/>
            </w:tcMar>
          </w:tcPr>
          <w:p>
            <w:r>
              <w:rPr>
                <w:b w:val="false"/>
                <w:bCs w:val="false"/>
                <w:sz w:val="18"/>
                <w:szCs w:val="18"/>
              </w:rPr>
              <w:t xml:space="preserve">Aucune erreur de type apres les changements frontend</w:t>
            </w:r>
          </w:p>
        </w:tc>
      </w:tr>
    </w:tbl>
    <w:p>
      <w:pPr>
        <w:pStyle w:val="Heading1"/>
        <w:spacing w:after="200" w:before="400"/>
      </w:pPr>
      <w:r>
        <w:t xml:space="preserve">5. Points d'attention residuels</w:t>
      </w:r>
    </w:p>
    <w:p>
      <w:pPr>
        <w:pStyle w:val="ListParagraph"/>
        <w:numPr>
          <w:ilvl w:val="0"/>
          <w:numId w:val="1"/>
        </w:numPr>
        <w:spacing w:after="80"/>
      </w:pPr>
      <w:r>
        <w:t xml:space="preserve">Le cycle manuel interrompre()+reaffecter() reste disponible et inchange pour les interruptions « franches » (motif libre, date libre) - le nouveau endpoint ne le remplace pas, il couvre uniquement le cas d'usage « reaffectation immediate vers une nouvelle mission » decrit par le brief.</w:t>
      </w:r>
    </w:p>
    <w:p>
      <w:pPr>
        <w:pStyle w:val="ListParagraph"/>
        <w:numPr>
          <w:ilvl w:val="0"/>
          <w:numId w:val="1"/>
        </w:numPr>
        <w:spacing w:after="80"/>
      </w:pPr>
      <w:r>
        <w:t xml:space="preserve">La contrainte Mission.interrompre() marque toute la mission comme INTERROMPUE des qu'une seule affectation y est interrompue - comportement preexistant, non modifie ici, potentiellement a revisiter si une meme mission peut legitimement accueillir plusieurs agents simultanement (non confirme dans les donnees actuelles).</w:t>
      </w:r>
    </w:p>
    <w:p>
      <w:pPr>
        <w:pStyle w:val="ListParagraph"/>
        <w:numPr>
          <w:ilvl w:val="0"/>
          <w:numId w:val="1"/>
        </w:numPr>
        <w:spacing w:after="80"/>
      </w:pPr>
      <w:r>
        <w:t xml:space="preserve">Selection de la mission cible par simple liste deroulante (pas de recherche/filtre) - suffisant au volume actuel de missions, a reconsiderer si leur nombre grandit significativement (meme remarque que pour la selection d'agent par ID sur cette meme page, deja identifiee comme dette anterieure a ce lot).</w:t>
      </w:r>
    </w:p>
    <w:p>
      <w:pPr>
        <w:pStyle w:val="ListParagraph"/>
        <w:numPr>
          <w:ilvl w:val="0"/>
          <w:numId w:val="1"/>
        </w:numPr>
        <w:spacing w:after="80"/>
      </w:pPr>
      <w:r>
        <w:t xml:space="preserve">Comme pour la mission precedente, le correctif Eclipse (annotation processing jamais configure pour ce projet, cause des crashs MissionMapper repetes) a ete traite en parallele - sans lien fonctionnel avec ce brief, mais necessaire pour permettre les verifications en conditions reelles.</w:t>
      </w:r>
    </w:p>
    <w:p>
      <w:pPr>
        <w:pStyle w:val="ListParagraph"/>
        <w:numPr>
          <w:ilvl w:val="0"/>
          <w:numId w:val="1"/>
        </w:numPr>
        <w:spacing w:after="80"/>
      </w:pPr>
      <w:r>
        <w:t xml:space="preserve">Le support d'acces LAN (CORS multi-origine, Vite sur toutes les interfaces) demande plus tot dans cette session a egalement ete committe - sans lien avec ce brief non plus, regroupe ici par souci de completude du suivi.</w:t>
      </w:r>
    </w:p>
    <w:p>
      <w:pPr>
        <w:pStyle w:val="Heading1"/>
        <w:spacing w:after="200" w:before="400"/>
      </w:pPr>
      <w:r>
        <w:t xml:space="preserve">6. Commits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rPr>
          <w:tblHeader/>
        </w:trPr>
        <w:tc>
          <w:tcPr>
            <w:tcW w:type="dxa" w:w="1600"/>
            <w:shd w:fill="1F3864" w:val="clear"/>
            <w:tcMar>
              <w:top w:type="dxa" w:w="60"/>
              <w:left w:type="dxa" w:w="80"/>
              <w:bottom w:type="dxa" w:w="60"/>
              <w:right w:type="dxa" w:w="80"/>
            </w:tcMar>
          </w:tcPr>
          <w:p>
            <w:r>
              <w:rPr>
                <w:b/>
                <w:bCs/>
                <w:color w:val="FFFFFF"/>
                <w:sz w:val="18"/>
                <w:szCs w:val="18"/>
              </w:rPr>
              <w:t xml:space="preserve">Hash</w:t>
            </w:r>
          </w:p>
        </w:tc>
        <w:tc>
          <w:tcPr>
            <w:tcW w:type="dxa" w:w="7500"/>
            <w:shd w:fill="1F3864" w:val="clear"/>
            <w:tcMar>
              <w:top w:type="dxa" w:w="60"/>
              <w:left w:type="dxa" w:w="80"/>
              <w:bottom w:type="dxa" w:w="60"/>
              <w:right w:type="dxa" w:w="80"/>
            </w:tcMar>
          </w:tcPr>
          <w:p>
            <w:r>
              <w:rPr>
                <w:b/>
                <w:bCs/>
                <w:color w:val="FFFFFF"/>
                <w:sz w:val="18"/>
                <w:szCs w:val="18"/>
              </w:rPr>
              <w:t xml:space="preserve">Objet</w:t>
            </w:r>
          </w:p>
        </w:tc>
      </w:tr>
      <w:tr>
        <w:tc>
          <w:tcPr>
            <w:tcW w:type="dxa" w:w="1600"/>
            <w:tcMar>
              <w:top w:type="dxa" w:w="60"/>
              <w:left w:type="dxa" w:w="80"/>
              <w:bottom w:type="dxa" w:w="60"/>
              <w:right w:type="dxa" w:w="80"/>
            </w:tcMar>
          </w:tcPr>
          <w:p>
            <w:r>
              <w:rPr>
                <w:b w:val="false"/>
                <w:bCs w:val="false"/>
                <w:sz w:val="18"/>
                <w:szCs w:val="18"/>
              </w:rPr>
              <w:t xml:space="preserve">937a7e9</w:t>
            </w:r>
          </w:p>
        </w:tc>
        <w:tc>
          <w:tcPr>
            <w:tcW w:type="dxa" w:w="7500"/>
            <w:tcMar>
              <w:top w:type="dxa" w:w="60"/>
              <w:left w:type="dxa" w:w="80"/>
              <w:bottom w:type="dxa" w:w="60"/>
              <w:right w:type="dxa" w:w="80"/>
            </w:tcMar>
          </w:tcPr>
          <w:p>
            <w:r>
              <w:rPr>
                <w:b w:val="false"/>
                <w:bCs w:val="false"/>
                <w:sz w:val="18"/>
                <w:szCs w:val="18"/>
              </w:rPr>
              <w:t xml:space="preserve">feat: support d'un acces reseau local (LAN) en developpement</w:t>
            </w:r>
          </w:p>
        </w:tc>
      </w:tr>
      <w:tr>
        <w:tc>
          <w:tcPr>
            <w:tcW w:type="dxa" w:w="1600"/>
            <w:tcMar>
              <w:top w:type="dxa" w:w="60"/>
              <w:left w:type="dxa" w:w="80"/>
              <w:bottom w:type="dxa" w:w="60"/>
              <w:right w:type="dxa" w:w="80"/>
            </w:tcMar>
          </w:tcPr>
          <w:p>
            <w:r>
              <w:rPr>
                <w:b w:val="false"/>
                <w:bCs w:val="false"/>
                <w:sz w:val="18"/>
                <w:szCs w:val="18"/>
              </w:rPr>
              <w:t xml:space="preserve">2d4ad87</w:t>
            </w:r>
          </w:p>
        </w:tc>
        <w:tc>
          <w:tcPr>
            <w:tcW w:type="dxa" w:w="7500"/>
            <w:tcMar>
              <w:top w:type="dxa" w:w="60"/>
              <w:left w:type="dxa" w:w="80"/>
              <w:bottom w:type="dxa" w:w="60"/>
              <w:right w:type="dxa" w:w="80"/>
            </w:tcMar>
          </w:tcPr>
          <w:p>
            <w:r>
              <w:rPr>
                <w:b w:val="false"/>
                <w:bCs w:val="false"/>
                <w:sz w:val="18"/>
                <w:szCs w:val="18"/>
              </w:rPr>
              <w:t xml:space="preserve">feat: reaffectation d'un agent vers une nouvelle mission en cours (section 9-13)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3864"/>
      <w:sz w:val="30"/>
      <w:szCs w:val="30"/>
    </w:rPr>
  </w:style>
  <w:style w:type="paragraph" w:styleId="Heading2">
    <w:name w:val="Heading 2"/>
    <w:basedOn w:val="Normal"/>
    <w:next w:val="Normal"/>
    <w:qFormat/>
    <w:pPr>
      <w:spacing w:after="150" w:before="300"/>
    </w:pPr>
    <w:rPr>
      <w:b/>
      <w:bCs/>
      <w:color w:val="2E5395"/>
      <w:sz w:val="26"/>
      <w:szCs w:val="26"/>
    </w:rPr>
  </w:style>
  <w:style w:type="paragraph" w:styleId="Heading3">
    <w:name w:val="Heading 3"/>
    <w:basedOn w:val="Normal"/>
    <w:next w:val="Normal"/>
    <w:qFormat/>
    <w:pPr>
      <w:spacing w:after="100" w:before="200"/>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2026-08-21T06:52:01.822Z</dcterms:created>
  <dcterms:modified xsi:type="dcterms:W3CDTF">2026-08-21T06:52:01.824Z</dcterms:modified>
</cp:coreProperties>
</file>

<file path=docProps/custom.xml><?xml version="1.0" encoding="utf-8"?>
<Properties xmlns="http://schemas.openxmlformats.org/officeDocument/2006/custom-properties" xmlns:vt="http://schemas.openxmlformats.org/officeDocument/2006/docPropsVTypes"/>
</file>