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22"/>
          <w:szCs w:val="22"/>
        </w:rPr>
        <w:t xml:space="preserve">SNEF Cameroun SA — SGBF</w:t>
      </w:r>
    </w:p>
    <w:p>
      <w:pPr>
        <w:spacing w:after="100" w:before="200"/>
        <w:jc w:val="center"/>
      </w:pPr>
      <w:r>
        <w:rPr>
          <w:b/>
          <w:bCs/>
          <w:color w:val="1F3864"/>
          <w:sz w:val="32"/>
          <w:szCs w:val="32"/>
        </w:rPr>
        <w:t xml:space="preserve">Rapport d'évolution — Droits du Chargé d'Affaires et de la Personne habilitée sur les Bons de Sortie et les FIPH</w:t>
      </w:r>
    </w:p>
    <w:p>
      <w:pPr>
        <w:spacing w:after="300"/>
        <w:jc w:val="center"/>
      </w:pPr>
      <w:r>
        <w:rPr>
          <w:i/>
          <w:iCs/>
          <w:sz w:val="22"/>
          <w:szCs w:val="22"/>
        </w:rPr>
        <w:t xml:space="preserve">Visa élargi au service, modèle de période flexible pour la FIPH manuelle, traçabilité de l'origine</w:t>
      </w:r>
    </w:p>
    <w:p>
      <w:pPr>
        <w:spacing w:after="160" w:before="0"/>
      </w:pPr>
      <w:r>
        <w:rPr>
          <w:b w:val="false"/>
          <w:bCs w:val="false"/>
          <w:i/>
          <w:iCs/>
        </w:rPr>
        <w:t xml:space="preserve">Date : 26 août 2026</w:t>
      </w:r>
    </w:p>
    <w:p>
      <w:pPr>
        <w:spacing w:after="160" w:before="0"/>
      </w:pPr>
      <w:r>
        <w:rPr>
          <w:b w:val="false"/>
          <w:bCs w:val="false"/>
          <w:i/>
          <w:iCs/>
        </w:rPr>
        <w:t xml:space="preserve">Périmètre : brief « Évolution des droits du Chargé d'Affaires et de la Personne habilitée sur les Bons de Sortie et les FIPH » (20 sections)</w:t>
      </w:r>
    </w:p>
    <w:p>
      <w:pPr>
        <w:pStyle w:val="Heading1"/>
        <w:spacing w:after="200" w:before="400"/>
      </w:pPr>
      <w:r>
        <w:t xml:space="preserve">1. Contexte et décisions arbitrées avec l'utilisateur</w:t>
      </w:r>
    </w:p>
    <w:p>
      <w:pPr>
        <w:spacing w:after="160" w:before="0"/>
      </w:pPr>
      <w:r>
        <w:rPr>
          <w:b w:val="false"/>
          <w:bCs w:val="false"/>
          <w:i w:val="false"/>
          <w:iCs w:val="false"/>
        </w:rPr>
        <w:t xml:space="preserve">Cette brief demandait d'élargir les droits du Chargé d'Affaires (CA) et de la Personne habilitée (PH) sur le visa des bons de sortie de leur service, de moderniser la création manuelle de FIPH, tout en préservant strictement le périmètre par service, l'ordre du circuit (CA/PH → Responsable → Direction) et la traçabilité de l'origine d'une FIPH. Deux points ont été tranchés explicitement avec l'utilisateur avant toute écriture de code :</w:t>
      </w:r>
    </w:p>
    <w:p>
      <w:pPr>
        <w:pStyle w:val="ListParagraph"/>
        <w:numPr>
          <w:ilvl w:val="0"/>
          <w:numId w:val="1"/>
        </w:numPr>
        <w:spacing w:after="100"/>
      </w:pPr>
      <w:r>
        <w:t xml:space="preserve">Élargir le visa (niveau 1) du bon de sortie aux CA/PH du service, au-delà du seul agent titulaire ? → « Oui, élargir aux CA/PH du service ».</w:t>
      </w:r>
    </w:p>
    <w:p>
      <w:pPr>
        <w:pStyle w:val="ListParagraph"/>
        <w:numPr>
          <w:ilvl w:val="0"/>
          <w:numId w:val="1"/>
        </w:numPr>
        <w:spacing w:after="100"/>
      </w:pPr>
      <w:r>
        <w:t xml:space="preserve">Moderniser la FIPH manuelle vers le même modèle de période flexible que la FIPH issue d'un bon de sortie (date de début libre, date de fin optionnelle) ? → « Oui, même modèle flexible (recommandé) ».</w:t>
      </w:r>
    </w:p>
    <w:p>
      <w:pPr>
        <w:pStyle w:val="Heading1"/>
        <w:spacing w:after="200" w:before="400"/>
      </w:pPr>
      <w:r>
        <w:t xml:space="preserve">2. Visa (niveau 1) élargi au CA/PH du service</w:t>
      </w:r>
    </w:p>
    <w:p>
      <w:pPr>
        <w:spacing w:after="160" w:before="0"/>
      </w:pPr>
      <w:r>
        <w:rPr>
          <w:b w:val="false"/>
          <w:bCs w:val="false"/>
          <w:i w:val="false"/>
          <w:iCs w:val="false"/>
        </w:rPr>
        <w:t xml:space="preserve">BonSortieService.viser() refusait auparavant toute demande venant d'un utilisateur autre que l'agent titulaire (ForbiddenOperationException codée en dur). Le correctif réutilise verifierAutoServiceOuGestionnaire(auteur, agent) — méthode déjà existante et déjà utilisée par valider() (niveau 2) et par la gestion des personnes à bord : titulaire OU gestionnaire (CA/PH) du même service, avec le bypass Super Administrateur déjà en place dans verifierPerimetreGestionnaire. Aucune nouvelle règle de périmètre n'a été introduite ; le visa suit désormais exactement le même périmètre que la validation, ce qui élimine tout risque d'incohérence entre les deux contrôles.</w:t>
      </w:r>
    </w:p>
    <w:p>
      <w:pPr>
        <w:spacing w:after="160" w:before="0"/>
      </w:pPr>
      <w:r>
        <w:rPr>
          <w:b w:val="false"/>
          <w:bCs w:val="false"/>
          <w:i w:val="false"/>
          <w:iCs w:val="false"/>
        </w:rPr>
        <w:t xml:space="preserve">visePar continue d'enregistrer l'auteur réel de l'action (le CA/PH quand ce n'est pas l'agent), ce qui reste cohérent avec le comportement déjà établi de valideParCA.</w:t>
      </w:r>
    </w:p>
    <w:p>
      <w:pPr>
        <w:pStyle w:val="Heading1"/>
        <w:spacing w:after="200" w:before="400"/>
      </w:pPr>
      <w:r>
        <w:t xml:space="preserve">3. FIPH manuelle : modèle de période flexible</w:t>
      </w:r>
    </w:p>
    <w:p>
      <w:pPr>
        <w:spacing w:after="160" w:before="0"/>
      </w:pPr>
      <w:r>
        <w:rPr>
          <w:b w:val="false"/>
          <w:bCs w:val="false"/>
          <w:i w:val="false"/>
          <w:iCs w:val="false"/>
        </w:rPr>
        <w:t xml:space="preserve">CreerFiphManuelleRequest passait auparavant un couple (année, numéro de semaine ISO), contraignant la FIPH manuelle à une semaine calendaire entière. Remplacé par (agentId, dateDebut obligatoire, dateFin optionnelle) — le même modèle que la FIPH générée depuis un bon de sortie (dateFinPeriode nullable, ajustable ensuite via /date-fin, gardée par RG-FIPH-033 avant toute soumission).</w:t>
      </w:r>
    </w:p>
    <w:p>
      <w:pPr>
        <w:spacing w:after="160" w:before="0"/>
      </w:pPr>
      <w:r>
        <w:rPr>
          <w:b w:val="false"/>
          <w:bCs w:val="false"/>
          <w:i w:val="false"/>
          <w:iCs w:val="false"/>
        </w:rPr>
        <w:t xml:space="preserve">FiphService.creerManuelle() a été réécrit en conséquence : RG-FIPH-030 (date de fin non antérieure à la date de début) appliquée dès la création si une date de fin est fournie ; recherche de chevauchement (RG-FIPH-002) traitant une période encore ouverte comme s'étendant jusqu'à une date sentinelle lointaine plutôt que jusqu'à LocalDate.MAX (voir §4). La logique de visa automatique du créateur et de statut SIGNEE, déjà en place pour ce chemin, est inchangée.</w:t>
      </w:r>
    </w:p>
    <w:p>
      <w:pPr>
        <w:spacing w:after="160" w:before="0"/>
      </w:pPr>
      <w:r>
        <w:rPr>
          <w:b w:val="false"/>
          <w:bCs w:val="false"/>
          <w:i w:val="false"/>
          <w:iCs w:val="false"/>
        </w:rPr>
        <w:t xml:space="preserve">Le code mort lundiDeLaSemaineIso() a été supprimé avec ses imports devenus inutiles ; l'import IsoFields est resté nécessaire ailleurs dans la classe (calcul de l'année/semaine ISO stockées sur la FIPH, dérivées de la date de début quelle que soit son origine).</w:t>
      </w:r>
    </w:p>
    <w:p>
      <w:pPr>
        <w:pStyle w:val="Heading1"/>
        <w:spacing w:after="200" w:before="400"/>
      </w:pPr>
      <w:r>
        <w:t xml:space="preserve">4. Bug réel intercepté en cours de vérification</w:t>
      </w:r>
    </w:p>
    <w:p>
      <w:pPr>
        <w:spacing w:after="160" w:before="0"/>
      </w:pPr>
      <w:r>
        <w:rPr>
          <w:b w:val="false"/>
          <w:bCs w:val="false"/>
          <w:i w:val="false"/>
          <w:iCs w:val="false"/>
        </w:rPr>
        <w:t xml:space="preserve">Premier jet : la sentinelle « période encore ouverte » pour la recherche de chevauchement utilisait LocalDate.MAX. La création d'une FIPH manuelle sans date de fin échouait alors systématiquement en 500 — LocalDate.MAX dépasse largement la borne du type DATE de MySQL (9999-12-31), et le pilote JDBC refusait la valeur (Incorrect DATE value). Corrigé en utilisant 9999-12-31 comme sentinelle, dans la limite représentable par la colonne. Détecté par les tests d'intégration ajoutés pour cette évolution (voir §6), jamais poussé au-delà de ce stade.</w:t>
      </w:r>
    </w:p>
    <w:p>
      <w:pPr>
        <w:pStyle w:val="Heading1"/>
        <w:spacing w:after="200" w:before="400"/>
      </w:pPr>
      <w:r>
        <w:t xml:space="preserve">5. Traçabilité de l'origine d'une FIPH (fiche détaillée)</w:t>
      </w:r>
    </w:p>
    <w:p>
      <w:pPr>
        <w:spacing w:after="160" w:before="0"/>
      </w:pPr>
      <w:r>
        <w:rPr>
          <w:b w:val="false"/>
          <w:bCs w:val="false"/>
          <w:i w:val="false"/>
          <w:iCs w:val="false"/>
        </w:rPr>
        <w:t xml:space="preserve">La fiche FIPH (FiphDetailPage.tsx) affichait une mention générique (« Générée depuis un bon de sortie ») sans jamais exposer sa référence, alors que FiphDto.bonSortieId est disponible côté API depuis l'évolution du calcul de période (2026-08-21). Corrigé : la ligne « Origine » affiche désormais un lien direct vers /bons-sortie/{bonSortieId} quand l'origine est BON_SORTIE. Le libellé de la date de début a également été corrigé pour ne plus annoncer, à tort, qu'elle est « issue du bon de sortie » pour une FIPH manuelle — elle y est saisie librement à la création, mais reste non modifiable ensuite dans les deux cas.</w:t>
      </w:r>
    </w:p>
    <w:p>
      <w:pPr>
        <w:pStyle w:val="Heading1"/>
        <w:spacing w:after="200" w:before="400"/>
      </w:pPr>
      <w:r>
        <w:t xml:space="preserve">6. Tests</w:t>
      </w:r>
    </w:p>
    <w:p>
      <w:pPr>
        <w:spacing w:after="160" w:before="0"/>
      </w:pPr>
      <w:r>
        <w:rPr>
          <w:b w:val="false"/>
          <w:bCs w:val="false"/>
          <w:i w:val="false"/>
          <w:iCs w:val="false"/>
        </w:rPr>
        <w:t xml:space="preserve">Nouveau fichier EvolutionDroitsCaPhBonSortieFiphIT (10 tests) : visa positif par un CA et par une PH du même service sur un agent non-titulaire, régression du visa par le titulaire lui-même, refus par un CA d'un autre service, refus par un agent quelconque sans habilitation de gestion ; création manuelle sans date de fin (période ouverte), refus de soumission sans date de fin (RG-FIPH-033), workflow complet niveau 2 → 3 → 4 jusqu'à VALIDEE_DEFINITIVEMENT après définition de la date de fin, refus si date de fin antérieure à la date de début (RG-FIPH-030), et blocage d'un chevauchement ultérieur par une période encore ouverte (RG-FIPH-002).</w:t>
      </w:r>
    </w:p>
    <w:p>
      <w:pPr>
        <w:spacing w:after="160" w:before="0"/>
      </w:pPr>
      <w:r>
        <w:rPr>
          <w:b w:val="false"/>
          <w:bCs w:val="false"/>
          <w:i w:val="false"/>
          <w:iCs w:val="false"/>
        </w:rPr>
        <w:t xml:space="preserve">Deux tests préexistants (EvolutionPerimetreServiceFiphIT, AuthentificationSimpleIT) qui appelaient /api/fiph/manuelle avec l'ancien format (année/numéroSemaine) ont été migrés vers le nouveau DTO plutôt que contournés.</w:t>
      </w:r>
    </w:p>
    <w:p>
      <w:pPr>
        <w:spacing w:after="160" w:before="0"/>
      </w:pPr>
      <w:r>
        <w:rPr>
          <w:b w:val="false"/>
          <w:bCs w:val="false"/>
          <w:i w:val="false"/>
          <w:iCs w:val="false"/>
        </w:rPr>
        <w:t xml:space="preserve">Suite complète du backend relancée après ces changements : aucune régression.</w:t>
      </w:r>
    </w:p>
    <w:p>
      <w:pPr>
        <w:pStyle w:val="Heading1"/>
        <w:spacing w:after="200" w:before="400"/>
      </w:pPr>
      <w:r>
        <w:t xml:space="preserve">7. Vérification live et limites constatées</w:t>
      </w:r>
    </w:p>
    <w:p>
      <w:pPr>
        <w:spacing w:after="160" w:before="0"/>
      </w:pPr>
      <w:r>
        <w:rPr>
          <w:b w:val="false"/>
          <w:bCs w:val="false"/>
          <w:i w:val="false"/>
          <w:iCs w:val="false"/>
        </w:rPr>
        <w:t xml:space="preserve">Le frontend a été vérifié dans le navigateur (connexion réelle en Super Administrateur R.dorn sur la base de développement) : le tableau de bord répond normalement. Deux limites ont empêché une vérification visuelle complète du nouveau formulaire et de la fiche FIPH avec des données réelles :</w:t>
      </w:r>
    </w:p>
    <w:p>
      <w:pPr>
        <w:pStyle w:val="ListParagraph"/>
        <w:numPr>
          <w:ilvl w:val="0"/>
          <w:numId w:val="1"/>
        </w:numPr>
        <w:spacing w:after="100"/>
      </w:pPr>
      <w:r>
        <w:t xml:space="preserve">le backend de développement tourne via un processus Eclipse déjà démarré avant cette évolution — il doit être redémarré pour exposer le nouveau contrat de /api/fiph/manuelle ;</w:t>
      </w:r>
    </w:p>
    <w:p>
      <w:pPr>
        <w:pStyle w:val="ListParagraph"/>
        <w:numPr>
          <w:ilvl w:val="0"/>
          <w:numId w:val="1"/>
        </w:numPr>
        <w:spacing w:after="100"/>
      </w:pPr>
      <w:r>
        <w:t xml:space="preserve">la base de développement a été réinitialisée plus tôt dans la journée et ne contient encore aucun compte Chargé d'Affaires/Personne habilitée ni aucune FIPH, uniquement R.dorn et l'administrateur.</w:t>
      </w:r>
    </w:p>
    <w:p>
      <w:pPr>
        <w:spacing w:after="160" w:before="0"/>
      </w:pPr>
      <w:r>
        <w:rPr>
          <w:b w:val="false"/>
          <w:bCs w:val="false"/>
          <w:i w:val="false"/>
          <w:iCs w:val="false"/>
        </w:rPr>
        <w:t xml:space="preserve">Le comportement métier a néanmoins été vérifié de façon réelle et complète par les tests d'intégration ci-dessus, exécutés au niveau HTTP contre la base MySQL de test (sgbf_test_db), sans mock.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2026-08-26T20:16:52.471Z</dcterms:created>
  <dcterms:modified xsi:type="dcterms:W3CDTF">2026-08-26T20:16:52.473Z</dcterms:modified>
</cp:coreProperties>
</file>

<file path=docProps/custom.xml><?xml version="1.0" encoding="utf-8"?>
<Properties xmlns="http://schemas.openxmlformats.org/officeDocument/2006/custom-properties" xmlns:vt="http://schemas.openxmlformats.org/officeDocument/2006/docPropsVTypes"/>
</file>