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center"/>
      </w:pPr>
      <w:r>
        <w:rPr>
          <w:rFonts w:ascii="Arial" w:cs="Arial" w:eastAsia="Arial" w:hAnsi="Arial"/>
          <w:b/>
          <w:bCs/>
          <w:color w:val="1F4E79"/>
          <w:sz w:val="64"/>
          <w:szCs w:val="64"/>
        </w:rPr>
        <w:t xml:space="preserve">Energy M&amp;V Engine</w:t>
      </w:r>
    </w:p>
    <w:p>
      <w:pPr>
        <w:spacing w:after="40"/>
        <w:jc w:val="center"/>
      </w:pPr>
      <w:r>
        <w:rPr>
          <w:rFonts w:ascii="Arial" w:cs="Arial" w:eastAsia="Arial" w:hAnsi="Arial"/>
          <w:color w:val="595959"/>
          <w:sz w:val="32"/>
          <w:szCs w:val="32"/>
        </w:rPr>
        <w:t xml:space="preserve">Technical Documentation &amp; User Guide</w:t>
      </w:r>
    </w:p>
    <w:p>
      <w:pPr>
        <w:spacing w:after="600"/>
        <w:jc w:val="center"/>
      </w:pPr>
      <w:r>
        <w:rPr>
          <w:color w:val="595959"/>
          <w:sz w:val="22"/>
          <w:szCs w:val="22"/>
        </w:rPr>
        <w:t xml:space="preserve">Version 8.0  •  IPMVP Option C  •  Sigma Computing Python Element</w:t>
      </w:r>
    </w:p>
    <w:p>
      <w:pPr>
        <w:pBdr>
          <w:top w:val="single" w:color="2E6DA4" w:sz="6" w:space="6"/>
        </w:pBdr>
        <w:spacing w:after="0" w:before="200"/>
        <w:jc w:val="center"/>
      </w:pPr>
      <w:r>
        <w:rPr>
          <w:b/>
          <w:bCs/>
          <w:color w:val="1F4E79"/>
          <w:sz w:val="22"/>
          <w:szCs w:val="22"/>
        </w:rPr>
        <w:t xml:space="preserve">Workbook: M&amp;VEngine_MASTER</w:t>
      </w:r>
    </w:p>
    <w:p>
      <w:r>
        <w:br w:type="page"/>
      </w:r>
    </w:p>
    <w:p>
      <w:pPr>
        <w:pStyle w:val="Heading1"/>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Overview</w:t>
      </w:r>
    </w:p>
    <w:p>
      <w:pPr>
        <w:spacing w:after="120" w:before="0" w:line="276"/>
      </w:pPr>
      <w:r>
        <w:t xml:space="preserve">The Energy M&amp;V Engine is a measurement and verification (M&amp;V) tool that quantifies energy savings at building sites by comparing actual metered consumption after an efficiency project against a statistical model of what consumption would have been without it. It implements the IPMVP Option C — Whole-Facility methodology, in which a weather-normalized regression model is fitted to historical (baseline) utility bills and then used to predict consumption during the post-project (reporting) period. The difference between predicted and actual consumption is the avoided usage, which the Engine also converts into avoided cost.</w:t>
      </w:r>
    </w:p>
    <w:p>
      <w:pPr>
        <w:spacing w:after="120" w:before="0" w:line="276"/>
      </w:pPr>
      <w:r>
        <w:t xml:space="preserve">The Engine runs as a Python element inside the Sigma Computing workbook M&amp;VEngine_MASTER. It reads billing data and (optionally) daily weather data directly from Sigma elements, performs all modeling in Python, and writes seven result tables back into the workbook for reporting and dashboarding. The same script can also be run locally against a CSV file for testing or offline analysis.</w:t>
      </w:r>
    </w:p>
    <w:p>
      <w:pPr>
        <w:pStyle w:val="Heading2"/>
      </w:pPr>
      <w:r>
        <w:t xml:space="preserve">1.1 What the Engine does</w:t>
      </w:r>
    </w:p>
    <w:p>
      <w:pPr>
        <w:pStyle w:val="ListParagraph"/>
        <w:numPr>
          <w:ilvl w:val="0"/>
          <w:numId w:val="2"/>
        </w:numPr>
        <w:spacing w:after="60" w:line="276"/>
      </w:pPr>
      <w:r>
        <w:t xml:space="preserve">Cleans and normalizes raw utility billing data, including unit conversion to a common basis (kWh for electricity, therms for gas).</w:t>
      </w:r>
    </w:p>
    <w:p>
      <w:pPr>
        <w:pStyle w:val="ListParagraph"/>
        <w:numPr>
          <w:ilvl w:val="0"/>
          <w:numId w:val="2"/>
        </w:numPr>
        <w:spacing w:after="60" w:line="276"/>
      </w:pPr>
      <w:r>
        <w:t xml:space="preserve">Splits each meter's bills into a baseline period (before the commission date) and a reporting period (on or after it).</w:t>
      </w:r>
    </w:p>
    <w:p>
      <w:pPr>
        <w:pStyle w:val="ListParagraph"/>
        <w:numPr>
          <w:ilvl w:val="0"/>
          <w:numId w:val="2"/>
        </w:numPr>
        <w:spacing w:after="60" w:line="276"/>
      </w:pPr>
      <w:r>
        <w:t xml:space="preserve">Detects and removes outlier bills using statistical fences (IQR for baseline, percent-avoided fences for reporting).</w:t>
      </w:r>
    </w:p>
    <w:p>
      <w:pPr>
        <w:pStyle w:val="ListParagraph"/>
        <w:numPr>
          <w:ilvl w:val="0"/>
          <w:numId w:val="2"/>
        </w:numPr>
        <w:spacing w:after="60" w:line="276"/>
      </w:pPr>
      <w:r>
        <w:t xml:space="preserve">Searches for the best baseline model by evaluating many candidate combinations of baseline bills against seasonal-balance, weather-coverage, and statistical-quality criteria.</w:t>
      </w:r>
    </w:p>
    <w:p>
      <w:pPr>
        <w:pStyle w:val="ListParagraph"/>
        <w:numPr>
          <w:ilvl w:val="0"/>
          <w:numId w:val="2"/>
        </w:numPr>
        <w:spacing w:after="60" w:line="276"/>
      </w:pPr>
      <w:r>
        <w:t xml:space="preserve">Fits a weather-driven linear regression (HDD-only for gas; HDD + CDD for electricity) and grades it against ASHRAE-style quality thresholds (R², CV-RMSE, weather coverage).</w:t>
      </w:r>
    </w:p>
    <w:p>
      <w:pPr>
        <w:pStyle w:val="ListParagraph"/>
        <w:numPr>
          <w:ilvl w:val="0"/>
          <w:numId w:val="2"/>
        </w:numPr>
        <w:spacing w:after="60" w:line="276"/>
      </w:pPr>
      <w:r>
        <w:t xml:space="preserve">Handles multi-meter sites, distinguishing concurrent meters (modeled individually and as a weighted aggregate) from sequential meter replacements (combined into one timeline).</w:t>
      </w:r>
    </w:p>
    <w:p>
      <w:pPr>
        <w:pStyle w:val="ListParagraph"/>
        <w:numPr>
          <w:ilvl w:val="0"/>
          <w:numId w:val="2"/>
        </w:numPr>
        <w:spacing w:after="60" w:line="276"/>
      </w:pPr>
      <w:r>
        <w:t xml:space="preserve">Computes avoided usage and avoided cost per bill and per model, with explicit flags for cases where savings should be excluded or reviewed.</w:t>
      </w:r>
    </w:p>
    <w:p>
      <w:pPr>
        <w:pStyle w:val="Heading2"/>
      </w:pPr>
      <w:r>
        <w:t xml:space="preserve">1.2 Key concepts and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spacing w:after="0" w:line="252"/>
            </w:pPr>
            <w:r>
              <w:rPr>
                <w:b/>
                <w:bCs/>
                <w:color w:val="FFFFFF"/>
                <w:sz w:val="19"/>
                <w:szCs w:val="19"/>
              </w:rPr>
              <w:t xml:space="preserve">Term</w:t>
            </w:r>
          </w:p>
        </w:tc>
        <w:tc>
          <w:tcPr>
            <w:tcW w:type="dxa" w:w="70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spacing w:after="0" w:line="252"/>
            </w:pPr>
            <w:r>
              <w:rPr>
                <w:b/>
                <w:bCs/>
                <w:color w:val="FFFFFF"/>
                <w:sz w:val="19"/>
                <w:szCs w:val="19"/>
              </w:rPr>
              <w:t xml:space="preserve">Meaning</w:t>
            </w:r>
          </w:p>
        </w:tc>
      </w:tr>
      <w:tr>
        <w:tc>
          <w:tcPr>
            <w:tcW w:type="dxa" w:w="2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Baseline period</w:t>
            </w:r>
          </w:p>
        </w:tc>
        <w:tc>
          <w:tcPr>
            <w:tcW w:type="dxa" w:w="7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Bills with a period start date before the meter's commission date. Used to train the model.</w:t>
            </w:r>
          </w:p>
        </w:tc>
      </w:tr>
      <w:tr>
        <w:tc>
          <w:tcPr>
            <w:tcW w:type="dxa" w:w="23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Reporting period</w:t>
            </w:r>
          </w:p>
        </w:tc>
        <w:tc>
          <w:tcPr>
            <w:tcW w:type="dxa" w:w="706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Bills with a period start date on or after the commission date. Where savings are measured.</w:t>
            </w:r>
          </w:p>
        </w:tc>
      </w:tr>
      <w:tr>
        <w:tc>
          <w:tcPr>
            <w:tcW w:type="dxa" w:w="2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HDD / CDD</w:t>
            </w:r>
          </w:p>
        </w:tc>
        <w:tc>
          <w:tcPr>
            <w:tcW w:type="dxa" w:w="7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Heating and Cooling Degree Days — weather measures that drive heating and cooling load. The regression inputs.</w:t>
            </w:r>
          </w:p>
        </w:tc>
      </w:tr>
      <w:tr>
        <w:tc>
          <w:tcPr>
            <w:tcW w:type="dxa" w:w="23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Avoided usage</w:t>
            </w:r>
          </w:p>
        </w:tc>
        <w:tc>
          <w:tcPr>
            <w:tcW w:type="dxa" w:w="706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Predicted consumption (from the baseline model) minus actual consumption during the reporting period.</w:t>
            </w:r>
          </w:p>
        </w:tc>
      </w:tr>
      <w:tr>
        <w:tc>
          <w:tcPr>
            <w:tcW w:type="dxa" w:w="2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R²</w:t>
            </w:r>
          </w:p>
        </w:tc>
        <w:tc>
          <w:tcPr>
            <w:tcW w:type="dxa" w:w="7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Goodness of fit of the regression. Higher is better; thresholds differ for electricity and gas.</w:t>
            </w:r>
          </w:p>
        </w:tc>
      </w:tr>
      <w:tr>
        <w:tc>
          <w:tcPr>
            <w:tcW w:type="dxa" w:w="23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CV-RMSE</w:t>
            </w:r>
          </w:p>
        </w:tc>
        <w:tc>
          <w:tcPr>
            <w:tcW w:type="dxa" w:w="706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Coefficient of variation of the root-mean-square error. A normalized error measure; lower is better.</w:t>
            </w:r>
          </w:p>
        </w:tc>
      </w:tr>
      <w:tr>
        <w:tc>
          <w:tcPr>
            <w:tcW w:type="dxa" w:w="2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Weather coverage</w:t>
            </w:r>
          </w:p>
        </w:tc>
        <w:tc>
          <w:tcPr>
            <w:tcW w:type="dxa" w:w="7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How much of the full baseline weather range the selected baseline bills span. Guards against extrapolation.</w:t>
            </w:r>
          </w:p>
        </w:tc>
      </w:tr>
      <w:tr>
        <w:tc>
          <w:tcPr>
            <w:tcW w:type="dxa" w:w="23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Locked baseline</w:t>
            </w:r>
          </w:p>
        </w:tc>
        <w:tc>
          <w:tcPr>
            <w:tcW w:type="dxa" w:w="706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A pre-selected set of baseline bills (Selected Baseline = 1) reused on re-runs instead of re-optimizing.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2"/>
              <w:bottom w:val="single" w:color="2E6DA4" w:sz="1"/>
              <w:right w:val="single" w:color="2E6DA4" w:sz="1"/>
            </w:tcBorders>
            <w:shd w:fill="EAF1F8" w:val="clear"/>
            <w:tcMar>
              <w:top w:type="dxa" w:w="100"/>
              <w:left w:type="dxa" w:w="160"/>
              <w:bottom w:type="dxa" w:w="100"/>
              <w:right w:type="dxa" w:w="140"/>
            </w:tcMar>
          </w:tcPr>
          <w:p>
            <w:pPr>
              <w:spacing w:after="60" w:line="264"/>
            </w:pPr>
            <w:r>
              <w:rPr>
                <w:b/>
                <w:bCs/>
                <w:color w:val="7A4F00"/>
                <w:sz w:val="19"/>
                <w:szCs w:val="19"/>
              </w:rPr>
              <w:t xml:space="preserve">About this document</w:t>
            </w:r>
          </w:p>
          <w:p>
            <w:pPr>
              <w:spacing w:after="0" w:line="264"/>
            </w:pPr>
            <w:r>
              <w:rPr>
                <w:sz w:val="19"/>
                <w:szCs w:val="19"/>
              </w:rPr>
              <w:t xml:space="preserve">Sections 1–3 are oriented toward users and analysts running the Engine in Sigma. Sections 4–6 document the internal functions for developers and maintainers. The Engine version described here is v8.0 (May 2026).</w:t>
            </w:r>
          </w:p>
        </w:tc>
      </w:tr>
    </w:tbl>
    <w:p>
      <w:r>
        <w:br w:type="page"/>
      </w:r>
    </w:p>
    <w:p>
      <w:pPr>
        <w:pStyle w:val="Heading1"/>
      </w:pPr>
      <w:r>
        <w:t xml:space="preserve">2. User Guide</w:t>
      </w:r>
    </w:p>
    <w:p>
      <w:pPr>
        <w:spacing w:after="120" w:before="0" w:line="276"/>
      </w:pPr>
      <w:r>
        <w:t xml:space="preserve">This section describes how to run the Engine, what inputs it expects, and how to read its outputs. It assumes you are operating the Engine inside the M&amp;VEngine_MASTER Sigma workbook.</w:t>
      </w:r>
    </w:p>
    <w:p>
      <w:pPr>
        <w:pStyle w:val="Heading2"/>
      </w:pPr>
      <w:r>
        <w:t xml:space="preserve">2.1 Inputs</w:t>
      </w:r>
    </w:p>
    <w:p>
      <w:pPr>
        <w:spacing w:after="120" w:before="0" w:line="276"/>
      </w:pPr>
      <w:r>
        <w:t xml:space="preserve">The Engine reads its billing data from a Sigma element (default name Input). Each row is one utility bill for one meter. The columns below are recognized.</w:t>
      </w:r>
    </w:p>
    <w:p>
      <w:pPr>
        <w:pStyle w:val="Heading3"/>
      </w:pPr>
      <w:r>
        <w:t xml:space="preserve">Required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spacing w:after="0" w:line="252"/>
            </w:pPr>
            <w:r>
              <w:rPr>
                <w:b/>
                <w:bCs/>
                <w:color w:val="FFFFFF"/>
                <w:sz w:val="19"/>
                <w:szCs w:val="19"/>
              </w:rPr>
              <w:t xml:space="preserve">Column</w:t>
            </w:r>
          </w:p>
        </w:tc>
        <w:tc>
          <w:tcPr>
            <w:tcW w:type="dxa" w:w="70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spacing w:after="0" w:line="252"/>
            </w:pPr>
            <w:r>
              <w:rPr>
                <w:b/>
                <w:bCs/>
                <w:color w:val="FFFFFF"/>
                <w:sz w:val="19"/>
                <w:szCs w:val="19"/>
              </w:rPr>
              <w:t xml:space="preserve">Description</w:t>
            </w:r>
          </w:p>
        </w:tc>
      </w:tr>
      <w:tr>
        <w:tc>
          <w:tcPr>
            <w:tcW w:type="dxa" w:w="2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Site Name</w:t>
            </w:r>
          </w:p>
        </w:tc>
        <w:tc>
          <w:tcPr>
            <w:tcW w:type="dxa" w:w="7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Identifier for the building/site. Groups bills and meters together.</w:t>
            </w:r>
          </w:p>
        </w:tc>
      </w:tr>
      <w:tr>
        <w:tc>
          <w:tcPr>
            <w:tcW w:type="dxa" w:w="23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Service Type</w:t>
            </w:r>
          </w:p>
        </w:tc>
        <w:tc>
          <w:tcPr>
            <w:tcW w:type="dxa" w:w="706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Determines whether a row is treated as electricity or gas (matched on “gas” / “elec”).</w:t>
            </w:r>
          </w:p>
        </w:tc>
      </w:tr>
      <w:tr>
        <w:tc>
          <w:tcPr>
            <w:tcW w:type="dxa" w:w="2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Period Start Date</w:t>
            </w:r>
          </w:p>
        </w:tc>
        <w:tc>
          <w:tcPr>
            <w:tcW w:type="dxa" w:w="7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Start of the billing period. Used for baseline/reporting split and seasonal balancing.</w:t>
            </w:r>
          </w:p>
        </w:tc>
      </w:tr>
      <w:tr>
        <w:tc>
          <w:tcPr>
            <w:tcW w:type="dxa" w:w="23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Period End Date</w:t>
            </w:r>
          </w:p>
        </w:tc>
        <w:tc>
          <w:tcPr>
            <w:tcW w:type="dxa" w:w="706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End of the billing period. Used to window daily weather into period totals.</w:t>
            </w:r>
          </w:p>
        </w:tc>
      </w:tr>
      <w:tr>
        <w:tc>
          <w:tcPr>
            <w:tcW w:type="dxa" w:w="2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Consumption</w:t>
            </w:r>
          </w:p>
        </w:tc>
        <w:tc>
          <w:tcPr>
            <w:tcW w:type="dxa" w:w="7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Metered usage for the period (converted to a common unit if Consumption Unit is supplied).</w:t>
            </w:r>
          </w:p>
        </w:tc>
      </w:tr>
      <w:tr>
        <w:tc>
          <w:tcPr>
            <w:tcW w:type="dxa" w:w="23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Total Charges</w:t>
            </w:r>
          </w:p>
        </w:tc>
        <w:tc>
          <w:tcPr>
            <w:tcW w:type="dxa" w:w="706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Dollar amount billed. Currency symbols and commas are stripped automatically.</w:t>
            </w:r>
          </w:p>
        </w:tc>
      </w:tr>
      <w:tr>
        <w:tc>
          <w:tcPr>
            <w:tcW w:type="dxa" w:w="2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Commission Date</w:t>
            </w:r>
          </w:p>
        </w:tc>
        <w:tc>
          <w:tcPr>
            <w:tcW w:type="dxa" w:w="7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Project go-live date. Bills before it are baseline; bills on/after are reporting.</w:t>
            </w:r>
          </w:p>
        </w:tc>
      </w:tr>
    </w:tbl>
    <w:p>
      <w:pPr>
        <w:spacing w:after="80"/>
      </w:pPr>
      <w:r>
        <w:t xml:space="preserve"/>
      </w:r>
    </w:p>
    <w:p>
      <w:pPr>
        <w:pStyle w:val="Heading3"/>
      </w:pPr>
      <w:r>
        <w:t xml:space="preserve">Optional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spacing w:after="0" w:line="252"/>
            </w:pPr>
            <w:r>
              <w:rPr>
                <w:b/>
                <w:bCs/>
                <w:color w:val="FFFFFF"/>
                <w:sz w:val="19"/>
                <w:szCs w:val="19"/>
              </w:rPr>
              <w:t xml:space="preserve">Column</w:t>
            </w:r>
          </w:p>
        </w:tc>
        <w:tc>
          <w:tcPr>
            <w:tcW w:type="dxa" w:w="70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spacing w:after="0" w:line="252"/>
            </w:pPr>
            <w:r>
              <w:rPr>
                <w:b/>
                <w:bCs/>
                <w:color w:val="FFFFFF"/>
                <w:sz w:val="19"/>
                <w:szCs w:val="19"/>
              </w:rPr>
              <w:t xml:space="preserve">When used</w:t>
            </w:r>
          </w:p>
        </w:tc>
      </w:tr>
      <w:tr>
        <w:tc>
          <w:tcPr>
            <w:tcW w:type="dxa" w:w="2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WeatherStation</w:t>
            </w:r>
          </w:p>
        </w:tc>
        <w:tc>
          <w:tcPr>
            <w:tcW w:type="dxa" w:w="7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ICAO station ID. Required when the weather source is Sigma; joins bills to daily weather history.</w:t>
            </w:r>
          </w:p>
        </w:tc>
      </w:tr>
      <w:tr>
        <w:tc>
          <w:tcPr>
            <w:tcW w:type="dxa" w:w="23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HDD, CDD</w:t>
            </w:r>
          </w:p>
        </w:tc>
        <w:tc>
          <w:tcPr>
            <w:tcW w:type="dxa" w:w="706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Degree-day values. Required when the weather source is CSV; used as fallback when Sigma misses a row.</w:t>
            </w:r>
          </w:p>
        </w:tc>
      </w:tr>
      <w:tr>
        <w:tc>
          <w:tcPr>
            <w:tcW w:type="dxa" w:w="2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Meter Number</w:t>
            </w:r>
          </w:p>
        </w:tc>
        <w:tc>
          <w:tcPr>
            <w:tcW w:type="dxa" w:w="7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Distinguishes meters within a site. Drives multi-meter handling.</w:t>
            </w:r>
          </w:p>
        </w:tc>
      </w:tr>
      <w:tr>
        <w:tc>
          <w:tcPr>
            <w:tcW w:type="dxa" w:w="23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Consumption Unit</w:t>
            </w:r>
          </w:p>
        </w:tc>
        <w:tc>
          <w:tcPr>
            <w:tcW w:type="dxa" w:w="706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Unit label (e.g. kWh, therms, ccf, mcf, mmbtu) used to convert consumption to a common basis.</w:t>
            </w:r>
          </w:p>
        </w:tc>
      </w:tr>
      <w:tr>
        <w:tc>
          <w:tcPr>
            <w:tcW w:type="dxa" w:w="2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Selected Baseline</w:t>
            </w:r>
          </w:p>
        </w:tc>
        <w:tc>
          <w:tcPr>
            <w:tcW w:type="dxa" w:w="7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Marks pre-chosen baseline bills with a value of 1 to lock the baseline on re-runs.</w:t>
            </w:r>
          </w:p>
        </w:tc>
      </w:tr>
    </w:tbl>
    <w:p>
      <w:pPr>
        <w:spacing w:after="80"/>
      </w:pPr>
      <w:r>
        <w:t xml:space="preserve"/>
      </w:r>
    </w:p>
    <w:p>
      <w:pPr>
        <w:pStyle w:val="Heading2"/>
      </w:pPr>
      <w:r>
        <w:t xml:space="preserve">2.2 Weather data source</w:t>
      </w:r>
    </w:p>
    <w:p>
      <w:pPr>
        <w:spacing w:after="120" w:before="0" w:line="276"/>
      </w:pPr>
      <w:r>
        <w:rPr>
          <w:rFonts w:ascii="Consolas" w:cs="Consolas" w:eastAsia="Consolas" w:hAnsi="Consolas"/>
          <w:sz w:val="19"/>
          <w:szCs w:val="19"/>
        </w:rPr>
        <w:t xml:space="preserve">WEATHER_SOURCE</w:t>
      </w:r>
      <w:r>
        <w:t xml:space="preserve"> (set by the </w:t>
      </w:r>
      <w:r>
        <w:rPr>
          <w:rFonts w:ascii="Consolas" w:cs="Consolas" w:eastAsia="Consolas" w:hAnsi="Consolas"/>
          <w:sz w:val="19"/>
          <w:szCs w:val="19"/>
        </w:rPr>
        <w:t xml:space="preserve">weather-data-toggle</w:t>
      </w:r>
      <w:r>
        <w:t xml:space="preserve"> control value) selects where degree-day data comes from. There are two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spacing w:after="0" w:line="252"/>
            </w:pPr>
            <w:r>
              <w:rPr>
                <w:b/>
                <w:bCs/>
                <w:color w:val="FFFFFF"/>
                <w:sz w:val="19"/>
                <w:szCs w:val="19"/>
              </w:rPr>
              <w:t xml:space="preserve">Mode</w:t>
            </w:r>
          </w:p>
        </w:tc>
        <w:tc>
          <w:tcPr>
            <w:tcW w:type="dxa" w:w="76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spacing w:after="0" w:line="252"/>
            </w:pPr>
            <w:r>
              <w:rPr>
                <w:b/>
                <w:bCs/>
                <w:color w:val="FFFFFF"/>
                <w:sz w:val="19"/>
                <w:szCs w:val="19"/>
              </w:rPr>
              <w:t xml:space="preserve">Behavior</w:t>
            </w:r>
          </w:p>
        </w:tc>
      </w:tr>
      <w:tr>
        <w:tc>
          <w:tcPr>
            <w:tcW w:type="dxa" w:w="17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rFonts w:ascii="Consolas" w:cs="Consolas" w:eastAsia="Consolas" w:hAnsi="Consolas"/>
                <w:b/>
                <w:bCs/>
                <w:sz w:val="19"/>
                <w:szCs w:val="19"/>
              </w:rPr>
              <w:t xml:space="preserve">"sigma"</w:t>
            </w:r>
            <w:r>
              <w:rPr>
                <w:sz w:val="19"/>
                <w:szCs w:val="19"/>
              </w:rPr>
              <w:t xml:space="preserve">  (default)</w:t>
            </w:r>
          </w:p>
        </w:tc>
        <w:tc>
          <w:tcPr>
            <w:tcW w:type="dxa" w:w="76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Daily HDD/CDD are pulled from the SITE_DAILY_WEATHER_HISTORY element and summed to billing-period totals per site, joined on WeatherStation → ICAO Id. CSV HDD/CDD columns are used as a row-level fallback wherever the Sigma lookup misses.</w:t>
            </w:r>
          </w:p>
        </w:tc>
      </w:tr>
      <w:tr>
        <w:tc>
          <w:tcPr>
            <w:tcW w:type="dxa" w:w="17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rFonts w:ascii="Consolas" w:cs="Consolas" w:eastAsia="Consolas" w:hAnsi="Consolas"/>
                <w:b/>
                <w:bCs/>
                <w:sz w:val="19"/>
                <w:szCs w:val="19"/>
              </w:rPr>
              <w:t xml:space="preserve">"csv"</w:t>
            </w:r>
          </w:p>
        </w:tc>
        <w:tc>
          <w:tcPr>
            <w:tcW w:type="dxa" w:w="766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HDD/CDD are taken directly from the input CSV columns. No Sigma weather query is performed.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030" w:sz="1"/>
              <w:left w:val="single" w:color="E0A030" w:sz="12"/>
              <w:bottom w:val="single" w:color="E0A030" w:sz="1"/>
              <w:right w:val="single" w:color="E0A030" w:sz="1"/>
            </w:tcBorders>
            <w:shd w:fill="FFF4E5" w:val="clear"/>
            <w:tcMar>
              <w:top w:type="dxa" w:w="100"/>
              <w:left w:type="dxa" w:w="160"/>
              <w:bottom w:type="dxa" w:w="100"/>
              <w:right w:type="dxa" w:w="140"/>
            </w:tcMar>
          </w:tcPr>
          <w:p>
            <w:pPr>
              <w:spacing w:after="60" w:line="264"/>
            </w:pPr>
            <w:r>
              <w:rPr>
                <w:b/>
                <w:bCs/>
                <w:color w:val="7A4F00"/>
                <w:sz w:val="19"/>
                <w:szCs w:val="19"/>
              </w:rPr>
              <w:t xml:space="preserve">Site exclusion</w:t>
            </w:r>
          </w:p>
          <w:p>
            <w:pPr>
              <w:spacing w:after="0" w:line="264"/>
            </w:pPr>
            <w:r>
              <w:rPr>
                <w:sz w:val="19"/>
                <w:szCs w:val="19"/>
              </w:rPr>
              <w:t xml:space="preserve">If a site has no HDD/CDD value from either source on every one of its rows, the entire site is excluded from all calculations and listed in a warning. Partial coverage is allowed through — the weather-coverage gate handles sparse weather during model selection.</w:t>
            </w:r>
          </w:p>
        </w:tc>
      </w:tr>
    </w:tbl>
    <w:p>
      <w:pPr>
        <w:spacing w:after="80"/>
      </w:pPr>
      <w:r>
        <w:t xml:space="preserve"/>
      </w:r>
    </w:p>
    <w:p>
      <w:pPr>
        <w:pStyle w:val="Heading2"/>
      </w:pPr>
      <w:r>
        <w:t xml:space="preserve">2.3 Running the Engine</w:t>
      </w:r>
    </w:p>
    <w:p>
      <w:pPr>
        <w:spacing w:after="120" w:before="0" w:line="276"/>
      </w:pPr>
      <w:r>
        <w:t xml:space="preserve">There are two entry points, selected automatically by how the script is invoked:</w:t>
      </w:r>
    </w:p>
    <w:p>
      <w:pPr>
        <w:pStyle w:val="ListParagraph"/>
        <w:numPr>
          <w:ilvl w:val="0"/>
          <w:numId w:val="3"/>
        </w:numPr>
        <w:spacing w:after="60" w:line="276"/>
      </w:pPr>
      <w:r>
        <w:rPr>
          <w:b/>
          <w:bCs/>
        </w:rPr>
        <w:t xml:space="preserve">In Sigma </w:t>
      </w:r>
      <w:r>
        <w:t xml:space="preserve">— the workbook runs the script as a Python element. The </w:t>
      </w:r>
      <w:r>
        <w:rPr>
          <w:rFonts w:ascii="Consolas" w:cs="Consolas" w:eastAsia="Consolas" w:hAnsi="Consolas"/>
          <w:sz w:val="19"/>
          <w:szCs w:val="19"/>
        </w:rPr>
        <w:t xml:space="preserve">_sigma_main()</w:t>
      </w:r>
      <w:r>
        <w:t xml:space="preserve"> function reads the input element, assembles weather (if in Sigma mode), runs the analysis, and writes the seven output tables back to the workbook.</w:t>
      </w:r>
    </w:p>
    <w:p>
      <w:pPr>
        <w:pStyle w:val="ListParagraph"/>
        <w:numPr>
          <w:ilvl w:val="0"/>
          <w:numId w:val="3"/>
        </w:numPr>
        <w:spacing w:after="60" w:line="276"/>
      </w:pPr>
      <w:r>
        <w:rPr>
          <w:b/>
          <w:bCs/>
        </w:rPr>
        <w:t xml:space="preserve">Locally </w:t>
      </w:r>
      <w:r>
        <w:t xml:space="preserve">— running the file directly (e.g. </w:t>
      </w:r>
      <w:r>
        <w:rPr>
          <w:rFonts w:ascii="Consolas" w:cs="Consolas" w:eastAsia="Consolas" w:hAnsi="Consolas"/>
          <w:sz w:val="19"/>
          <w:szCs w:val="19"/>
        </w:rPr>
        <w:t xml:space="preserve">python engine.py</w:t>
      </w:r>
      <w:r>
        <w:t xml:space="preserve">) opens a file picker via </w:t>
      </w:r>
      <w:r>
        <w:rPr>
          <w:rFonts w:ascii="Consolas" w:cs="Consolas" w:eastAsia="Consolas" w:hAnsi="Consolas"/>
          <w:sz w:val="19"/>
          <w:szCs w:val="19"/>
        </w:rPr>
        <w:t xml:space="preserve">_local_main()</w:t>
      </w:r>
      <w:r>
        <w:t xml:space="preserve">, analyzes the chosen CSV, and writes an Excel workbook with one sheet per output table.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2"/>
              <w:bottom w:val="single" w:color="2E6DA4" w:sz="1"/>
              <w:right w:val="single" w:color="2E6DA4" w:sz="1"/>
            </w:tcBorders>
            <w:shd w:fill="EAF1F8" w:val="clear"/>
            <w:tcMar>
              <w:top w:type="dxa" w:w="100"/>
              <w:left w:type="dxa" w:w="160"/>
              <w:bottom w:type="dxa" w:w="100"/>
              <w:right w:type="dxa" w:w="140"/>
            </w:tcMar>
          </w:tcPr>
          <w:p>
            <w:pPr>
              <w:spacing w:after="60" w:line="264"/>
            </w:pPr>
            <w:r>
              <w:rPr>
                <w:b/>
                <w:bCs/>
                <w:color w:val="7A4F00"/>
                <w:sz w:val="19"/>
                <w:szCs w:val="19"/>
              </w:rPr>
              <w:t xml:space="preserve">Control values configured in Sigma</w:t>
            </w:r>
          </w:p>
          <w:p>
            <w:pPr>
              <w:spacing w:after="0" w:line="264"/>
            </w:pPr>
            <w:r>
              <w:rPr>
                <w:sz w:val="19"/>
                <w:szCs w:val="19"/>
              </w:rPr>
              <w:t xml:space="preserve">Nearly every threshold is read at runtime from a Sigma control value (e.g. R² thresholds, CV-RMSE ceiling, baseline counts, outlier fences). These are configured in the workbook, not in the script, so behavior can be tuned without code changes. See Section 3 for the full list.</w:t>
            </w:r>
          </w:p>
        </w:tc>
      </w:tr>
    </w:tbl>
    <w:p>
      <w:pPr>
        <w:spacing w:after="80"/>
      </w:pPr>
      <w:r>
        <w:t xml:space="preserve"/>
      </w:r>
    </w:p>
    <w:p>
      <w:pPr>
        <w:pStyle w:val="Heading2"/>
      </w:pPr>
      <w:r>
        <w:t xml:space="preserve">2.4 Outputs</w:t>
      </w:r>
    </w:p>
    <w:p>
      <w:pPr>
        <w:spacing w:after="120" w:before="0" w:line="276"/>
      </w:pPr>
      <w:r>
        <w:t xml:space="preserve">The Engine produces seven tables. In Sigma they are written as named outputs; locally they become sheets in an Excel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spacing w:after="0" w:line="252"/>
            </w:pPr>
            <w:r>
              <w:rPr>
                <w:b/>
                <w:bCs/>
                <w:color w:val="FFFFFF"/>
                <w:sz w:val="19"/>
                <w:szCs w:val="19"/>
              </w:rPr>
              <w:t xml:space="preserve">Output table</w:t>
            </w:r>
          </w:p>
        </w:tc>
        <w:tc>
          <w:tcPr>
            <w:tcW w:type="dxa" w:w="6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spacing w:after="0" w:line="252"/>
            </w:pPr>
            <w:r>
              <w:rPr>
                <w:b/>
                <w:bCs/>
                <w:color w:val="FFFFFF"/>
                <w:sz w:val="19"/>
                <w:szCs w:val="19"/>
              </w:rPr>
              <w:t xml:space="preserve">Contents</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individual_models</w:t>
            </w:r>
          </w:p>
        </w:tc>
        <w:tc>
          <w:tcPr>
            <w:tcW w:type="dxa" w:w="67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One row per individual meter model: equation, coefficients, quality ratings, quarterly bill counts, avoided usage and cost, and status flags.</w:t>
            </w:r>
          </w:p>
        </w:tc>
      </w:tr>
      <w:tr>
        <w:tc>
          <w:tcPr>
            <w:tcW w:type="dxa" w:w="26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aggregated_models</w:t>
            </w:r>
          </w:p>
        </w:tc>
        <w:tc>
          <w:tcPr>
            <w:tcW w:type="dxa" w:w="676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One row per site-level aggregate model (concurrent multi-meter sites only), including weight-risk flags.</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baseline_bills</w:t>
            </w:r>
          </w:p>
        </w:tc>
        <w:tc>
          <w:tcPr>
            <w:tcW w:type="dxa" w:w="67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Every baseline bill, marked as used in the model or excluded as an outlier.</w:t>
            </w:r>
          </w:p>
        </w:tc>
      </w:tr>
      <w:tr>
        <w:tc>
          <w:tcPr>
            <w:tcW w:type="dxa" w:w="26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reporting_bills</w:t>
            </w:r>
          </w:p>
        </w:tc>
        <w:tc>
          <w:tcPr>
            <w:tcW w:type="dxa" w:w="676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Every reporting bill with predicted consumption, avoided usage, percent avoided, and bill-level avoided cost.</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outliers</w:t>
            </w:r>
          </w:p>
        </w:tc>
        <w:tc>
          <w:tcPr>
            <w:tcW w:type="dxa" w:w="67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All bills removed as baseline or reporting outliers, with the reason for each.</w:t>
            </w:r>
          </w:p>
        </w:tc>
      </w:tr>
      <w:tr>
        <w:tc>
          <w:tcPr>
            <w:tcW w:type="dxa" w:w="26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meter_weights</w:t>
            </w:r>
          </w:p>
        </w:tc>
        <w:tc>
          <w:tcPr>
            <w:tcW w:type="dxa" w:w="676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Per-meter baseline-load weights for concurrent multi-meter sites, with coverage and risk flags.</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input_with_baseline</w:t>
            </w:r>
          </w:p>
        </w:tc>
        <w:tc>
          <w:tcPr>
            <w:tcW w:type="dxa" w:w="67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The original input with a clean Selected Baseline column stamped, so selections can be reviewed or re-fed as a locked baseline.</w:t>
            </w:r>
          </w:p>
        </w:tc>
      </w:tr>
    </w:tbl>
    <w:p>
      <w:pPr>
        <w:spacing w:after="80"/>
      </w:pPr>
      <w:r>
        <w:t xml:space="preserve"/>
      </w:r>
    </w:p>
    <w:p>
      <w:pPr>
        <w:pStyle w:val="Heading2"/>
      </w:pPr>
      <w:r>
        <w:t xml:space="preserve">2.5 Reading the quality flags</w:t>
      </w:r>
    </w:p>
    <w:p>
      <w:pPr>
        <w:spacing w:after="120" w:before="0" w:line="276"/>
      </w:pPr>
      <w:r>
        <w:t xml:space="preserve">Each model is graded against three independent gates. A model passes overall only if it passes all three.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rPr>
          <w:tblHeader/>
        </w:trPr>
        <w:tc>
          <w:tcPr>
            <w:tcW w:type="dxa" w:w="1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spacing w:after="0" w:line="252"/>
            </w:pPr>
            <w:r>
              <w:rPr>
                <w:b/>
                <w:bCs/>
                <w:color w:val="FFFFFF"/>
                <w:sz w:val="19"/>
                <w:szCs w:val="19"/>
              </w:rPr>
              <w:t xml:space="preserve">Gate</w:t>
            </w:r>
          </w:p>
        </w:tc>
        <w:tc>
          <w:tcPr>
            <w:tcW w:type="dxa" w:w="3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spacing w:after="0" w:line="252"/>
            </w:pPr>
            <w:r>
              <w:rPr>
                <w:b/>
                <w:bCs/>
                <w:color w:val="FFFFFF"/>
                <w:sz w:val="19"/>
                <w:szCs w:val="19"/>
              </w:rPr>
              <w:t xml:space="preserve">Pass condition</w:t>
            </w:r>
          </w:p>
        </w:tc>
        <w:tc>
          <w:tcPr>
            <w:tcW w:type="dxa" w:w="3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spacing w:after="0" w:line="252"/>
            </w:pPr>
            <w:r>
              <w:rPr>
                <w:b/>
                <w:bCs/>
                <w:color w:val="FFFFFF"/>
                <w:sz w:val="19"/>
                <w:szCs w:val="19"/>
              </w:rPr>
              <w:t xml:space="preserve">Rating bands</w:t>
            </w:r>
          </w:p>
        </w:tc>
      </w:tr>
      <w:tr>
        <w:tc>
          <w:tcPr>
            <w:tcW w:type="dxa" w:w="1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R²</w:t>
            </w:r>
          </w:p>
        </w:tc>
        <w:tc>
          <w:tcPr>
            <w:tcW w:type="dxa" w:w="37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 service-specific threshold (gas and electricity differ)</w:t>
            </w:r>
          </w:p>
        </w:tc>
        <w:tc>
          <w:tcPr>
            <w:tcW w:type="dxa" w:w="37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Excellent ≥0.90 / Good ≥0.75 / Fair ≥0.60 / Poor below</w:t>
            </w:r>
          </w:p>
        </w:tc>
      </w:tr>
      <w:tr>
        <w:tc>
          <w:tcPr>
            <w:tcW w:type="dxa" w:w="19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CV-RMSE</w:t>
            </w:r>
          </w:p>
        </w:tc>
        <w:tc>
          <w:tcPr>
            <w:tcW w:type="dxa" w:w="37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 CV-RMSE threshold</w:t>
            </w:r>
          </w:p>
        </w:tc>
        <w:tc>
          <w:tcPr>
            <w:tcW w:type="dxa" w:w="376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Excellent &lt;10 / Good (ASHRAE Pass) ≤15 / Fair (Fail) ≤25 / Poor above</w:t>
            </w:r>
          </w:p>
        </w:tc>
      </w:tr>
      <w:tr>
        <w:tc>
          <w:tcPr>
            <w:tcW w:type="dxa" w:w="1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Weather coverage</w:t>
            </w:r>
          </w:p>
        </w:tc>
        <w:tc>
          <w:tcPr>
            <w:tcW w:type="dxa" w:w="37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 weather-coverage threshold</w:t>
            </w:r>
          </w:p>
        </w:tc>
        <w:tc>
          <w:tcPr>
            <w:tcW w:type="dxa" w:w="37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Excellent ≥90 / Good ≥75 / Fair ≥60 / Poor below</w:t>
            </w:r>
          </w:p>
        </w:tc>
      </w:tr>
    </w:tbl>
    <w:p>
      <w:pPr>
        <w:spacing w:after="60"/>
      </w:pPr>
      <w:r>
        <w:t xml:space="preserve"/>
      </w:r>
    </w:p>
    <w:p>
      <w:pPr>
        <w:spacing w:after="120" w:before="0" w:line="276"/>
      </w:pPr>
      <w:r>
        <w:rPr>
          <w:b/>
          <w:bCs/>
        </w:rPr>
        <w:t xml:space="preserve">Savings status. </w:t>
      </w:r>
      <w:r>
        <w:t xml:space="preserve">Even a passing model can have its savings excluded — for example when all reporting bills are removed as outliers, or when every clean reporting bill shows negative savings. The </w:t>
      </w:r>
      <w:r>
        <w:rPr>
          <w:rFonts w:ascii="Consolas" w:cs="Consolas" w:eastAsia="Consolas" w:hAnsi="Consolas"/>
          <w:sz w:val="19"/>
          <w:szCs w:val="19"/>
        </w:rPr>
        <w:t xml:space="preserve">Savings Status</w:t>
      </w:r>
      <w:r>
        <w:t xml:space="preserve"> and </w:t>
      </w:r>
      <w:r>
        <w:rPr>
          <w:rFonts w:ascii="Consolas" w:cs="Consolas" w:eastAsia="Consolas" w:hAnsi="Consolas"/>
          <w:sz w:val="19"/>
          <w:szCs w:val="19"/>
        </w:rPr>
        <w:t xml:space="preserve">Savings Exclusion Flag</w:t>
      </w:r>
      <w:r>
        <w:t xml:space="preserve"> columns explain why.</w:t>
      </w:r>
    </w:p>
    <w:p>
      <w:r>
        <w:br w:type="page"/>
      </w:r>
    </w:p>
    <w:p>
      <w:pPr>
        <w:pStyle w:val="Heading1"/>
      </w:pPr>
      <w:r>
        <w:t xml:space="preserve">3. Configuration Reference</w:t>
      </w:r>
    </w:p>
    <w:p>
      <w:pPr>
        <w:spacing w:after="120" w:before="0" w:line="276"/>
      </w:pPr>
      <w:r>
        <w:t xml:space="preserve">All tunable parameters are read from Sigma control values via </w:t>
      </w:r>
      <w:r>
        <w:rPr>
          <w:rFonts w:ascii="Consolas" w:cs="Consolas" w:eastAsia="Consolas" w:hAnsi="Consolas"/>
          <w:sz w:val="19"/>
          <w:szCs w:val="19"/>
        </w:rPr>
        <w:t xml:space="preserve">sigma.get_control_value(...)</w:t>
      </w:r>
      <w:r>
        <w:t xml:space="preserve">. The table below maps each control key to its role in the Engine.</w:t>
      </w:r>
    </w:p>
    <w:p>
      <w:pPr>
        <w:pStyle w:val="Heading2"/>
      </w:pPr>
      <w:r>
        <w:t xml:space="preserve">3.1 Quality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500"/>
        <w:gridCol w:w="3160"/>
      </w:tblGrid>
      <w:tr>
        <w:trPr>
          <w:tblHeader/>
        </w:trPr>
        <w:tc>
          <w:tcPr>
            <w:tcW w:type="dxa" w:w="2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spacing w:after="0" w:line="252"/>
            </w:pPr>
            <w:r>
              <w:rPr>
                <w:b/>
                <w:bCs/>
                <w:color w:val="FFFFFF"/>
                <w:sz w:val="19"/>
                <w:szCs w:val="19"/>
              </w:rPr>
              <w:t xml:space="preserve">Control key</w:t>
            </w:r>
          </w:p>
        </w:tc>
        <w:tc>
          <w:tcPr>
            <w:tcW w:type="dxa" w:w="3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spacing w:after="0" w:line="252"/>
            </w:pPr>
            <w:r>
              <w:rPr>
                <w:b/>
                <w:bCs/>
                <w:color w:val="FFFFFF"/>
                <w:sz w:val="19"/>
                <w:szCs w:val="19"/>
              </w:rPr>
              <w:t xml:space="preserve">Constant</w:t>
            </w:r>
          </w:p>
        </w:tc>
        <w:tc>
          <w:tcPr>
            <w:tcW w:type="dxa" w:w="3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spacing w:after="0" w:line="252"/>
            </w:pPr>
            <w:r>
              <w:rPr>
                <w:b/>
                <w:bCs/>
                <w:color w:val="FFFFFF"/>
                <w:sz w:val="19"/>
                <w:szCs w:val="19"/>
              </w:rPr>
              <w:t xml:space="preserve">Role</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e-r2-thresh</w:t>
            </w:r>
          </w:p>
        </w:tc>
        <w:tc>
          <w:tcPr>
            <w:tcW w:type="dxa" w:w="3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ELEC_R2_THRESHOLD</w:t>
            </w:r>
          </w:p>
        </w:tc>
        <w:tc>
          <w:tcPr>
            <w:tcW w:type="dxa" w:w="31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Minimum R² for an electricity model to pass.</w:t>
            </w:r>
          </w:p>
        </w:tc>
      </w:tr>
      <w:tr>
        <w:tc>
          <w:tcPr>
            <w:tcW w:type="dxa" w:w="27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g-r2-thresh</w:t>
            </w:r>
          </w:p>
        </w:tc>
        <w:tc>
          <w:tcPr>
            <w:tcW w:type="dxa" w:w="35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GAS_R2_THRESHOLD</w:t>
            </w:r>
          </w:p>
        </w:tc>
        <w:tc>
          <w:tcPr>
            <w:tcW w:type="dxa" w:w="316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Minimum R² for a gas model to pass.</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cvrmse-thresh</w:t>
            </w:r>
          </w:p>
        </w:tc>
        <w:tc>
          <w:tcPr>
            <w:tcW w:type="dxa" w:w="3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CVRMSE_THRESHOLD</w:t>
            </w:r>
          </w:p>
        </w:tc>
        <w:tc>
          <w:tcPr>
            <w:tcW w:type="dxa" w:w="31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Maximum CV-RMSE for any model to pass.</w:t>
            </w:r>
          </w:p>
        </w:tc>
      </w:tr>
      <w:tr>
        <w:tc>
          <w:tcPr>
            <w:tcW w:type="dxa" w:w="27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weather-coverage-thresh</w:t>
            </w:r>
          </w:p>
        </w:tc>
        <w:tc>
          <w:tcPr>
            <w:tcW w:type="dxa" w:w="35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WEATHER_COVERAGE_THRESHOLD</w:t>
            </w:r>
          </w:p>
        </w:tc>
        <w:tc>
          <w:tcPr>
            <w:tcW w:type="dxa" w:w="316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Minimum weather coverage percent to pass.</w:t>
            </w:r>
          </w:p>
        </w:tc>
      </w:tr>
    </w:tbl>
    <w:p>
      <w:pPr>
        <w:spacing w:after="80"/>
      </w:pPr>
      <w:r>
        <w:t xml:space="preserve"/>
      </w:r>
    </w:p>
    <w:p>
      <w:pPr>
        <w:pStyle w:val="Heading2"/>
      </w:pPr>
      <w:r>
        <w:t xml:space="preserve">3.2 Baseline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500"/>
        <w:gridCol w:w="3160"/>
      </w:tblGrid>
      <w:tr>
        <w:trPr>
          <w:tblHeader/>
        </w:trPr>
        <w:tc>
          <w:tcPr>
            <w:tcW w:type="dxa" w:w="2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spacing w:after="0" w:line="252"/>
            </w:pPr>
            <w:r>
              <w:rPr>
                <w:b/>
                <w:bCs/>
                <w:color w:val="FFFFFF"/>
                <w:sz w:val="19"/>
                <w:szCs w:val="19"/>
              </w:rPr>
              <w:t xml:space="preserve">Control key</w:t>
            </w:r>
          </w:p>
        </w:tc>
        <w:tc>
          <w:tcPr>
            <w:tcW w:type="dxa" w:w="3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spacing w:after="0" w:line="252"/>
            </w:pPr>
            <w:r>
              <w:rPr>
                <w:b/>
                <w:bCs/>
                <w:color w:val="FFFFFF"/>
                <w:sz w:val="19"/>
                <w:szCs w:val="19"/>
              </w:rPr>
              <w:t xml:space="preserve">Constant</w:t>
            </w:r>
          </w:p>
        </w:tc>
        <w:tc>
          <w:tcPr>
            <w:tcW w:type="dxa" w:w="3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spacing w:after="0" w:line="252"/>
            </w:pPr>
            <w:r>
              <w:rPr>
                <w:b/>
                <w:bCs/>
                <w:color w:val="FFFFFF"/>
                <w:sz w:val="19"/>
                <w:szCs w:val="19"/>
              </w:rPr>
              <w:t xml:space="preserve">Role</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electric-baseline-count</w:t>
            </w:r>
          </w:p>
        </w:tc>
        <w:tc>
          <w:tcPr>
            <w:tcW w:type="dxa" w:w="3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ELEC_BASELINE_COUNT</w:t>
            </w:r>
          </w:p>
        </w:tc>
        <w:tc>
          <w:tcPr>
            <w:tcW w:type="dxa" w:w="31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Number of baseline bills selected for electricity models.</w:t>
            </w:r>
          </w:p>
        </w:tc>
      </w:tr>
      <w:tr>
        <w:tc>
          <w:tcPr>
            <w:tcW w:type="dxa" w:w="27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gas-baseline-count</w:t>
            </w:r>
          </w:p>
        </w:tc>
        <w:tc>
          <w:tcPr>
            <w:tcW w:type="dxa" w:w="35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GAS_BASELINE_COUNT</w:t>
            </w:r>
          </w:p>
        </w:tc>
        <w:tc>
          <w:tcPr>
            <w:tcW w:type="dxa" w:w="316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Number of baseline bills selected for gas models.</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pref-min-per-quarter</w:t>
            </w:r>
          </w:p>
        </w:tc>
        <w:tc>
          <w:tcPr>
            <w:tcW w:type="dxa" w:w="3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PREFERRED_MIN_PER_QUARTER</w:t>
            </w:r>
          </w:p>
        </w:tc>
        <w:tc>
          <w:tcPr>
            <w:tcW w:type="dxa" w:w="31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Preferred minimum bills per calendar quarter (first-pass strategy).</w:t>
            </w:r>
          </w:p>
        </w:tc>
      </w:tr>
      <w:tr>
        <w:tc>
          <w:tcPr>
            <w:tcW w:type="dxa" w:w="27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abs-min-per-quarter</w:t>
            </w:r>
          </w:p>
        </w:tc>
        <w:tc>
          <w:tcPr>
            <w:tcW w:type="dxa" w:w="35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MINIMUM_MIN_PER_QUARTER</w:t>
            </w:r>
          </w:p>
        </w:tc>
        <w:tc>
          <w:tcPr>
            <w:tcW w:type="dxa" w:w="316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Absolute minimum bills per quarter (fallback strategy).</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seasonal-balance-thresh</w:t>
            </w:r>
          </w:p>
        </w:tc>
        <w:tc>
          <w:tcPr>
            <w:tcW w:type="dxa" w:w="3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SEASONAL_BALANCE_THRESHOLD</w:t>
            </w:r>
          </w:p>
        </w:tc>
        <w:tc>
          <w:tcPr>
            <w:tcW w:type="dxa" w:w="31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Min ratio of any quarter's count to the mean quarter count (electricity).</w:t>
            </w:r>
          </w:p>
        </w:tc>
      </w:tr>
      <w:tr>
        <w:tc>
          <w:tcPr>
            <w:tcW w:type="dxa" w:w="27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gas-seasonal-balance-thresh</w:t>
            </w:r>
          </w:p>
        </w:tc>
        <w:tc>
          <w:tcPr>
            <w:tcW w:type="dxa" w:w="35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GAS_SEASONAL_BALANCE_THRESHOLD</w:t>
            </w:r>
          </w:p>
        </w:tc>
        <w:tc>
          <w:tcPr>
            <w:tcW w:type="dxa" w:w="316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Looser balance ratio for gas (heating-only loads have thin summers).</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temporal-cv-ceiling</w:t>
            </w:r>
          </w:p>
        </w:tc>
        <w:tc>
          <w:tcPr>
            <w:tcW w:type="dxa" w:w="3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TEMPORAL_CV_CEILING</w:t>
            </w:r>
          </w:p>
        </w:tc>
        <w:tc>
          <w:tcPr>
            <w:tcW w:type="dxa" w:w="31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Max coefficient of variation across quarterly counts.</w:t>
            </w:r>
          </w:p>
        </w:tc>
      </w:tr>
      <w:tr>
        <w:tc>
          <w:tcPr>
            <w:tcW w:type="dxa" w:w="27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max-combos</w:t>
            </w:r>
          </w:p>
        </w:tc>
        <w:tc>
          <w:tcPr>
            <w:tcW w:type="dxa" w:w="35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MAX_COMBINATIONS</w:t>
            </w:r>
          </w:p>
        </w:tc>
        <w:tc>
          <w:tcPr>
            <w:tcW w:type="dxa" w:w="316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Cap on the number of valid combinations kept per strategy.</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exhaustive-limit</w:t>
            </w:r>
          </w:p>
        </w:tc>
        <w:tc>
          <w:tcPr>
            <w:tcW w:type="dxa" w:w="3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EXHAUSTIVE_LIMIT</w:t>
            </w:r>
          </w:p>
        </w:tc>
        <w:tc>
          <w:tcPr>
            <w:tcW w:type="dxa" w:w="31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Total-combination ceiling below which enumeration is exhaustive (else sampled).</w:t>
            </w:r>
          </w:p>
        </w:tc>
      </w:tr>
    </w:tbl>
    <w:p>
      <w:pPr>
        <w:spacing w:after="80"/>
      </w:pPr>
      <w:r>
        <w:t xml:space="preserve"/>
      </w:r>
    </w:p>
    <w:p>
      <w:pPr>
        <w:pStyle w:val="Heading2"/>
      </w:pPr>
      <w:r>
        <w:t xml:space="preserve">3.3 Multi-meter &amp; weighting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160"/>
      </w:tblGrid>
      <w:tr>
        <w:trPr>
          <w:tblHeader/>
        </w:trPr>
        <w:tc>
          <w:tcPr>
            <w:tcW w:type="dxa" w:w="2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spacing w:after="0" w:line="252"/>
            </w:pPr>
            <w:r>
              <w:rPr>
                <w:b/>
                <w:bCs/>
                <w:color w:val="FFFFFF"/>
                <w:sz w:val="19"/>
                <w:szCs w:val="19"/>
              </w:rPr>
              <w:t xml:space="preserve">Control key</w:t>
            </w:r>
          </w:p>
        </w:tc>
        <w:tc>
          <w:tcPr>
            <w:tcW w:type="dxa" w:w="3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spacing w:after="0" w:line="252"/>
            </w:pPr>
            <w:r>
              <w:rPr>
                <w:b/>
                <w:bCs/>
                <w:color w:val="FFFFFF"/>
                <w:sz w:val="19"/>
                <w:szCs w:val="19"/>
              </w:rPr>
              <w:t xml:space="preserve">Constant</w:t>
            </w:r>
          </w:p>
        </w:tc>
        <w:tc>
          <w:tcPr>
            <w:tcW w:type="dxa" w:w="3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spacing w:after="0" w:line="252"/>
            </w:pPr>
            <w:r>
              <w:rPr>
                <w:b/>
                <w:bCs/>
                <w:color w:val="FFFFFF"/>
                <w:sz w:val="19"/>
                <w:szCs w:val="19"/>
              </w:rPr>
              <w:t xml:space="preserve">Role</w:t>
            </w:r>
          </w:p>
        </w:tc>
      </w:tr>
      <w:tr>
        <w:tc>
          <w:tcPr>
            <w:tcW w:type="dxa" w:w="2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overlap-thresh</w:t>
            </w:r>
          </w:p>
        </w:tc>
        <w:tc>
          <w:tcPr>
            <w:tcW w:type="dxa" w:w="3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OVERLAP_THRESHOLD</w:t>
            </w:r>
          </w:p>
        </w:tc>
        <w:tc>
          <w:tcPr>
            <w:tcW w:type="dxa" w:w="31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Shared periods needed to treat two meters as concurrent.</w:t>
            </w:r>
          </w:p>
        </w:tc>
      </w:tr>
      <w:tr>
        <w:tc>
          <w:tcPr>
            <w:tcW w:type="dxa" w:w="29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weight-review-thresh</w:t>
            </w:r>
          </w:p>
        </w:tc>
        <w:tc>
          <w:tcPr>
            <w:tcW w:type="dxa" w:w="33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WEIGHT_REVIEW_THRESHOLD</w:t>
            </w:r>
          </w:p>
        </w:tc>
        <w:tc>
          <w:tcPr>
            <w:tcW w:type="dxa" w:w="316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Failing-meter load share above which an aggregate is flagged REVIEW.</w:t>
            </w:r>
          </w:p>
        </w:tc>
      </w:tr>
      <w:tr>
        <w:tc>
          <w:tcPr>
            <w:tcW w:type="dxa" w:w="2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weight-high-risk-review-thresh</w:t>
            </w:r>
          </w:p>
        </w:tc>
        <w:tc>
          <w:tcPr>
            <w:tcW w:type="dxa" w:w="3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WEIGHT_HIGH_RISK_THRESHOLD</w:t>
            </w:r>
          </w:p>
        </w:tc>
        <w:tc>
          <w:tcPr>
            <w:tcW w:type="dxa" w:w="31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Failing-meter load share above which an aggregate is flagged HIGH RISK.</w:t>
            </w:r>
          </w:p>
        </w:tc>
      </w:tr>
      <w:tr>
        <w:tc>
          <w:tcPr>
            <w:tcW w:type="dxa" w:w="29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low-coverage-thresh</w:t>
            </w:r>
          </w:p>
        </w:tc>
        <w:tc>
          <w:tcPr>
            <w:tcW w:type="dxa" w:w="33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LOW_COVERAGE_THRESHOLD</w:t>
            </w:r>
          </w:p>
        </w:tc>
        <w:tc>
          <w:tcPr>
            <w:tcW w:type="dxa" w:w="316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Weight below which a passing meter is flagged LOW COVERAGE.</w:t>
            </w:r>
          </w:p>
        </w:tc>
      </w:tr>
    </w:tbl>
    <w:p>
      <w:pPr>
        <w:spacing w:after="80"/>
      </w:pPr>
      <w:r>
        <w:t xml:space="preserve"/>
      </w:r>
    </w:p>
    <w:p>
      <w:pPr>
        <w:pStyle w:val="Heading2"/>
      </w:pPr>
      <w:r>
        <w:t xml:space="preserve">3.4 Outliers, weather &amp;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460"/>
      </w:tblGrid>
      <w:tr>
        <w:trPr>
          <w:tblHeader/>
        </w:trPr>
        <w:tc>
          <w:tcPr>
            <w:tcW w:type="dxa" w:w="2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spacing w:after="0" w:line="252"/>
            </w:pPr>
            <w:r>
              <w:rPr>
                <w:b/>
                <w:bCs/>
                <w:color w:val="FFFFFF"/>
                <w:sz w:val="19"/>
                <w:szCs w:val="19"/>
              </w:rPr>
              <w:t xml:space="preserve">Control key</w:t>
            </w:r>
          </w:p>
        </w:tc>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spacing w:after="0" w:line="252"/>
            </w:pPr>
            <w:r>
              <w:rPr>
                <w:b/>
                <w:bCs/>
                <w:color w:val="FFFFFF"/>
                <w:sz w:val="19"/>
                <w:szCs w:val="19"/>
              </w:rPr>
              <w:t xml:space="preserve">Constant</w:t>
            </w:r>
          </w:p>
        </w:tc>
        <w:tc>
          <w:tcPr>
            <w:tcW w:type="dxa" w:w="34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spacing w:after="0" w:line="252"/>
            </w:pPr>
            <w:r>
              <w:rPr>
                <w:b/>
                <w:bCs/>
                <w:color w:val="FFFFFF"/>
                <w:sz w:val="19"/>
                <w:szCs w:val="19"/>
              </w:rPr>
              <w:t xml:space="preserve">Role</w:t>
            </w:r>
          </w:p>
        </w:tc>
      </w:tr>
      <w:tr>
        <w:tc>
          <w:tcPr>
            <w:tcW w:type="dxa" w:w="2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reporting-outlier-floor</w:t>
            </w:r>
          </w:p>
        </w:tc>
        <w:tc>
          <w:tcPr>
            <w:tcW w:type="dxa" w:w="3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REPORTING_OUTLIER_LOW</w:t>
            </w:r>
          </w:p>
        </w:tc>
        <w:tc>
          <w:tcPr>
            <w:tcW w:type="dxa" w:w="3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Low fence (% avoided). Below it, consumption rose beyond the model's expectation.</w:t>
            </w:r>
          </w:p>
        </w:tc>
      </w:tr>
      <w:tr>
        <w:tc>
          <w:tcPr>
            <w:tcW w:type="dxa" w:w="29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reporting-outlier-ceil</w:t>
            </w:r>
          </w:p>
        </w:tc>
        <w:tc>
          <w:tcPr>
            <w:tcW w:type="dxa" w:w="30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REPORTING_OUTLIER_HIGH</w:t>
            </w:r>
          </w:p>
        </w:tc>
        <w:tc>
          <w:tcPr>
            <w:tcW w:type="dxa" w:w="346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High fence (% avoided). Above it, savings are implausibly large.</w:t>
            </w:r>
          </w:p>
        </w:tc>
      </w:tr>
      <w:tr>
        <w:tc>
          <w:tcPr>
            <w:tcW w:type="dxa" w:w="2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weather-data-toggle</w:t>
            </w:r>
          </w:p>
        </w:tc>
        <w:tc>
          <w:tcPr>
            <w:tcW w:type="dxa" w:w="3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WEATHER_SOURCE</w:t>
            </w:r>
          </w:p>
        </w:tc>
        <w:tc>
          <w:tcPr>
            <w:tcW w:type="dxa" w:w="3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Selects "sigma" or "csv" weather sourcing.</w:t>
            </w:r>
          </w:p>
        </w:tc>
      </w:tr>
      <w:tr>
        <w:tc>
          <w:tcPr>
            <w:tcW w:type="dxa" w:w="29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sigma-input-element</w:t>
            </w:r>
          </w:p>
        </w:tc>
        <w:tc>
          <w:tcPr>
            <w:tcW w:type="dxa" w:w="30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SIGMA_INPUT_ELEMENT</w:t>
            </w:r>
          </w:p>
        </w:tc>
        <w:tc>
          <w:tcPr>
            <w:tcW w:type="dxa" w:w="346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Name of the Sigma element holding billing data (asserted against the literal Input).</w:t>
            </w:r>
          </w:p>
        </w:tc>
      </w:tr>
      <w:tr>
        <w:tc>
          <w:tcPr>
            <w:tcW w:type="dxa" w:w="2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sigma-weather-element</w:t>
            </w:r>
          </w:p>
        </w:tc>
        <w:tc>
          <w:tcPr>
            <w:tcW w:type="dxa" w:w="3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SIGMA_WEATHER_ELEMENT</w:t>
            </w:r>
          </w:p>
        </w:tc>
        <w:tc>
          <w:tcPr>
            <w:tcW w:type="dxa" w:w="3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Name of the Sigma weather element (asserted against the literal Weather).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030" w:sz="1"/>
              <w:left w:val="single" w:color="E0A030" w:sz="12"/>
              <w:bottom w:val="single" w:color="E0A030" w:sz="1"/>
              <w:right w:val="single" w:color="E0A030" w:sz="1"/>
            </w:tcBorders>
            <w:shd w:fill="FFF4E5" w:val="clear"/>
            <w:tcMar>
              <w:top w:type="dxa" w:w="100"/>
              <w:left w:type="dxa" w:w="160"/>
              <w:bottom w:type="dxa" w:w="100"/>
              <w:right w:type="dxa" w:w="140"/>
            </w:tcMar>
          </w:tcPr>
          <w:p>
            <w:pPr>
              <w:spacing w:after="60" w:line="264"/>
            </w:pPr>
            <w:r>
              <w:rPr>
                <w:b/>
                <w:bCs/>
                <w:color w:val="7A4F00"/>
                <w:sz w:val="19"/>
                <w:szCs w:val="19"/>
              </w:rPr>
              <w:t xml:space="preserve">Important: element-name asserts</w:t>
            </w:r>
          </w:p>
          <w:p>
            <w:pPr>
              <w:spacing w:after="0" w:line="264"/>
            </w:pPr>
            <w:r>
              <w:t xml:space="preserve">Sigma requires the element name passed to </w:t>
            </w:r>
            <w:r>
              <w:rPr>
                <w:rFonts w:ascii="Consolas" w:cs="Consolas" w:eastAsia="Consolas" w:hAnsi="Consolas"/>
                <w:sz w:val="19"/>
                <w:szCs w:val="19"/>
              </w:rPr>
              <w:t xml:space="preserve">get_element()</w:t>
            </w:r>
            <w:r>
              <w:t xml:space="preserve"> to be a string literal. The script therefore hard-codes </w:t>
            </w:r>
            <w:r>
              <w:rPr>
                <w:rFonts w:ascii="Consolas" w:cs="Consolas" w:eastAsia="Consolas" w:hAnsi="Consolas"/>
                <w:sz w:val="19"/>
                <w:szCs w:val="19"/>
              </w:rPr>
              <w:t xml:space="preserve">"Input"</w:t>
            </w:r>
            <w:r>
              <w:t xml:space="preserve"> and </w:t>
            </w:r>
            <w:r>
              <w:rPr>
                <w:rFonts w:ascii="Consolas" w:cs="Consolas" w:eastAsia="Consolas" w:hAnsi="Consolas"/>
                <w:sz w:val="19"/>
                <w:szCs w:val="19"/>
              </w:rPr>
              <w:t xml:space="preserve">"Weather"</w:t>
            </w:r>
            <w:r>
              <w:t xml:space="preserve"> in those calls and </w:t>
            </w:r>
            <w:r>
              <w:rPr>
                <w:i/>
                <w:iCs/>
              </w:rPr>
              <w:t xml:space="preserve">asserts</w:t>
            </w:r>
            <w:r>
              <w:t xml:space="preserve"> that the matching control value equals the literal. If you rename an element, update both the control value and the literal together, or the run will fail the assert.</w:t>
            </w:r>
          </w:p>
        </w:tc>
      </w:tr>
    </w:tbl>
    <w:p>
      <w:pPr>
        <w:spacing w:after="80"/>
      </w:pPr>
      <w:r>
        <w:t xml:space="preserve"/>
      </w:r>
    </w:p>
    <w:p>
      <w:pPr>
        <w:pStyle w:val="Heading2"/>
      </w:pPr>
      <w:r>
        <w:t xml:space="preserve">3.5 Unit conversions</w:t>
      </w:r>
    </w:p>
    <w:p>
      <w:pPr>
        <w:spacing w:after="120" w:before="0" w:line="276"/>
      </w:pPr>
      <w:r>
        <w:t xml:space="preserve">Consumption is converted to a common basis using the factors below (applied only when a Consumption Unit column is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spacing w:after="0" w:line="252"/>
            </w:pPr>
            <w:r>
              <w:rPr>
                <w:b/>
                <w:bCs/>
                <w:color w:val="FFFFFF"/>
                <w:sz w:val="19"/>
                <w:szCs w:val="19"/>
              </w:rPr>
              <w:t xml:space="preserve">Unit</w:t>
            </w:r>
          </w:p>
        </w:tc>
        <w:tc>
          <w:tcPr>
            <w:tcW w:type="dxa" w:w="23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spacing w:after="0" w:line="252"/>
            </w:pPr>
            <w:r>
              <w:rPr>
                <w:b/>
                <w:bCs/>
                <w:color w:val="FFFFFF"/>
                <w:sz w:val="19"/>
                <w:szCs w:val="19"/>
              </w:rPr>
              <w:t xml:space="preserve">Factor</w:t>
            </w:r>
          </w:p>
        </w:tc>
        <w:tc>
          <w:tcPr>
            <w:tcW w:type="dxa" w:w="23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spacing w:after="0" w:line="252"/>
            </w:pPr>
            <w:r>
              <w:rPr>
                <w:b/>
                <w:bCs/>
                <w:color w:val="FFFFFF"/>
                <w:sz w:val="19"/>
                <w:szCs w:val="19"/>
              </w:rPr>
              <w:t xml:space="preserve">Unit</w:t>
            </w:r>
          </w:p>
        </w:tc>
        <w:tc>
          <w:tcPr>
            <w:tcW w:type="dxa" w:w="23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spacing w:after="0" w:line="252"/>
            </w:pPr>
            <w:r>
              <w:rPr>
                <w:b/>
                <w:bCs/>
                <w:color w:val="FFFFFF"/>
                <w:sz w:val="19"/>
                <w:szCs w:val="19"/>
              </w:rPr>
              <w:t xml:space="preserve">Factor</w:t>
            </w:r>
          </w:p>
        </w:tc>
      </w:tr>
      <w:tr>
        <w:tc>
          <w:tcPr>
            <w:tcW w:type="dxa" w:w="23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kwh</w:t>
            </w:r>
          </w:p>
        </w:tc>
        <w:tc>
          <w:tcPr>
            <w:tcW w:type="dxa" w:w="23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1.0</w:t>
            </w:r>
          </w:p>
        </w:tc>
        <w:tc>
          <w:tcPr>
            <w:tcW w:type="dxa" w:w="23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therms / therm</w:t>
            </w:r>
          </w:p>
        </w:tc>
        <w:tc>
          <w:tcPr>
            <w:tcW w:type="dxa" w:w="23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1.0</w:t>
            </w:r>
          </w:p>
        </w:tc>
      </w:tr>
      <w:tr>
        <w:tc>
          <w:tcPr>
            <w:tcW w:type="dxa" w:w="234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mwh</w:t>
            </w:r>
          </w:p>
        </w:tc>
        <w:tc>
          <w:tcPr>
            <w:tcW w:type="dxa" w:w="234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1000.0</w:t>
            </w:r>
          </w:p>
        </w:tc>
        <w:tc>
          <w:tcPr>
            <w:tcW w:type="dxa" w:w="234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ccf</w:t>
            </w:r>
          </w:p>
        </w:tc>
        <w:tc>
          <w:tcPr>
            <w:tcW w:type="dxa" w:w="234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1.037</w:t>
            </w:r>
          </w:p>
        </w:tc>
      </w:tr>
      <w:tr>
        <w:tc>
          <w:tcPr>
            <w:tcW w:type="dxa" w:w="23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wh</w:t>
            </w:r>
          </w:p>
        </w:tc>
        <w:tc>
          <w:tcPr>
            <w:tcW w:type="dxa" w:w="23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0.001</w:t>
            </w:r>
          </w:p>
        </w:tc>
        <w:tc>
          <w:tcPr>
            <w:tcW w:type="dxa" w:w="23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mcf</w:t>
            </w:r>
          </w:p>
        </w:tc>
        <w:tc>
          <w:tcPr>
            <w:tcW w:type="dxa" w:w="23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10.37</w:t>
            </w:r>
          </w:p>
        </w:tc>
      </w:tr>
      <w:tr>
        <w:tc>
          <w:tcPr>
            <w:tcW w:type="dxa" w:w="234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
            </w:r>
          </w:p>
        </w:tc>
        <w:tc>
          <w:tcPr>
            <w:tcW w:type="dxa" w:w="234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
            </w:r>
          </w:p>
        </w:tc>
        <w:tc>
          <w:tcPr>
            <w:tcW w:type="dxa" w:w="234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mmbtu</w:t>
            </w:r>
          </w:p>
        </w:tc>
        <w:tc>
          <w:tcPr>
            <w:tcW w:type="dxa" w:w="234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10.0</w:t>
            </w:r>
          </w:p>
        </w:tc>
      </w:tr>
    </w:tbl>
    <w:p>
      <w:r>
        <w:br w:type="page"/>
      </w:r>
    </w:p>
    <w:p>
      <w:pPr>
        <w:pStyle w:val="Heading1"/>
      </w:pPr>
      <w:r>
        <w:t xml:space="preserve">4. Architecture &amp; Processing Pipeline</w:t>
      </w:r>
    </w:p>
    <w:p>
      <w:pPr>
        <w:spacing w:after="120" w:before="0" w:line="276"/>
      </w:pPr>
      <w:r>
        <w:t xml:space="preserve">This section traces how data flows through the Engine from raw bills to output tables. It is the orienting map for the function reference in Sections 5 and 6.</w:t>
      </w:r>
    </w:p>
    <w:p>
      <w:pPr>
        <w:pStyle w:val="Heading2"/>
      </w:pPr>
      <w:r>
        <w:t xml:space="preserve">4.1 High-level flow</w:t>
      </w:r>
    </w:p>
    <w:p>
      <w:pPr>
        <w:pStyle w:val="ListParagraph"/>
        <w:numPr>
          <w:ilvl w:val="0"/>
          <w:numId w:val="4"/>
        </w:numPr>
        <w:spacing w:after="60" w:line="276"/>
      </w:pPr>
      <w:r>
        <w:rPr>
          <w:b/>
          <w:bCs/>
        </w:rPr>
        <w:t xml:space="preserve">Entry. </w:t>
      </w:r>
      <w:r>
        <w:t xml:space="preserve">Sigma or local entry point reads the input billing element/CSV.</w:t>
      </w:r>
    </w:p>
    <w:p>
      <w:pPr>
        <w:pStyle w:val="ListParagraph"/>
        <w:numPr>
          <w:ilvl w:val="0"/>
          <w:numId w:val="4"/>
        </w:numPr>
        <w:spacing w:after="60" w:line="276"/>
      </w:pPr>
      <w:r>
        <w:rPr>
          <w:b/>
          <w:bCs/>
        </w:rPr>
        <w:t xml:space="preserve">Preprocess. </w:t>
      </w:r>
      <w:r>
        <w:t xml:space="preserve">Column names are normalized, dates/numerics parsed, charges cleaned, units converted, and locked-baseline state detected.</w:t>
      </w:r>
    </w:p>
    <w:p>
      <w:pPr>
        <w:pStyle w:val="ListParagraph"/>
        <w:numPr>
          <w:ilvl w:val="0"/>
          <w:numId w:val="4"/>
        </w:numPr>
        <w:spacing w:after="60" w:line="276"/>
      </w:pPr>
      <w:r>
        <w:rPr>
          <w:b/>
          <w:bCs/>
        </w:rPr>
        <w:t xml:space="preserve">Weather assembly (Sigma mode). </w:t>
      </w:r>
      <w:r>
        <w:t xml:space="preserve">Daily weather is fetched, aggregated to billing periods, and merged into the bills with CSV fallback and a Weather Source tag.</w:t>
      </w:r>
    </w:p>
    <w:p>
      <w:pPr>
        <w:pStyle w:val="ListParagraph"/>
        <w:numPr>
          <w:ilvl w:val="0"/>
          <w:numId w:val="4"/>
        </w:numPr>
        <w:spacing w:after="60" w:line="276"/>
      </w:pPr>
      <w:r>
        <w:rPr>
          <w:b/>
          <w:bCs/>
        </w:rPr>
        <w:t xml:space="preserve">Flag inference. </w:t>
      </w:r>
      <w:r>
        <w:t xml:space="preserve">Each bill is marked baseline or reporting relative to the commission date.</w:t>
      </w:r>
    </w:p>
    <w:p>
      <w:pPr>
        <w:pStyle w:val="ListParagraph"/>
        <w:numPr>
          <w:ilvl w:val="0"/>
          <w:numId w:val="4"/>
        </w:numPr>
        <w:spacing w:after="60" w:line="276"/>
      </w:pPr>
      <w:r>
        <w:rPr>
          <w:b/>
          <w:bCs/>
        </w:rPr>
        <w:t xml:space="preserve">Site exclusion. </w:t>
      </w:r>
      <w:r>
        <w:t xml:space="preserve">Sites with no weather from any source are dropped.</w:t>
      </w:r>
    </w:p>
    <w:p>
      <w:pPr>
        <w:pStyle w:val="ListParagraph"/>
        <w:numPr>
          <w:ilvl w:val="0"/>
          <w:numId w:val="4"/>
        </w:numPr>
        <w:spacing w:after="60" w:line="276"/>
      </w:pPr>
      <w:r>
        <w:rPr>
          <w:b/>
          <w:bCs/>
        </w:rPr>
        <w:t xml:space="preserve">Per service / site / meter loop. </w:t>
      </w:r>
      <w:r>
        <w:t xml:space="preserve">For each service type and site, meters are routed (single, sequential, or concurrent) and optimized.</w:t>
      </w:r>
    </w:p>
    <w:p>
      <w:pPr>
        <w:pStyle w:val="ListParagraph"/>
        <w:numPr>
          <w:ilvl w:val="0"/>
          <w:numId w:val="4"/>
        </w:numPr>
        <w:spacing w:after="60" w:line="276"/>
      </w:pPr>
      <w:r>
        <w:rPr>
          <w:b/>
          <w:bCs/>
        </w:rPr>
        <w:t xml:space="preserve">Optimize. </w:t>
      </w:r>
      <w:r>
        <w:t xml:space="preserve">Candidate baseline combinations are filtered and scored; the best model is fitted and graded. Locked baselines bypass the search.</w:t>
      </w:r>
    </w:p>
    <w:p>
      <w:pPr>
        <w:pStyle w:val="ListParagraph"/>
        <w:numPr>
          <w:ilvl w:val="0"/>
          <w:numId w:val="4"/>
        </w:numPr>
        <w:spacing w:after="60" w:line="276"/>
      </w:pPr>
      <w:r>
        <w:rPr>
          <w:b/>
          <w:bCs/>
        </w:rPr>
        <w:t xml:space="preserve">Aggregate &amp; weight. </w:t>
      </w:r>
      <w:r>
        <w:t xml:space="preserve">Concurrent multi-meter sites also get a weighted aggregate model with risk flags.</w:t>
      </w:r>
    </w:p>
    <w:p>
      <w:pPr>
        <w:pStyle w:val="ListParagraph"/>
        <w:numPr>
          <w:ilvl w:val="0"/>
          <w:numId w:val="4"/>
        </w:numPr>
        <w:spacing w:after="60" w:line="276"/>
      </w:pPr>
      <w:r>
        <w:rPr>
          <w:b/>
          <w:bCs/>
        </w:rPr>
        <w:t xml:space="preserve">Build rows &amp; output. </w:t>
      </w:r>
      <w:r>
        <w:t xml:space="preserve">Result, bill, outlier, and weight rows are assembled into the seven output tables.</w:t>
      </w:r>
    </w:p>
    <w:p>
      <w:pPr>
        <w:spacing w:after="80"/>
      </w:pPr>
      <w:r>
        <w:t xml:space="preserve"/>
      </w:r>
    </w:p>
    <w:p>
      <w:pPr>
        <w:pStyle w:val="Heading2"/>
      </w:pPr>
      <w:r>
        <w:t xml:space="preserve">4.2 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spacing w:after="0" w:line="252"/>
            </w:pPr>
            <w:r>
              <w:rPr>
                <w:b/>
                <w:bCs/>
                <w:color w:val="FFFFFF"/>
                <w:sz w:val="19"/>
                <w:szCs w:val="19"/>
              </w:rPr>
              <w:t xml:space="preserve">Group</w:t>
            </w:r>
          </w:p>
        </w:tc>
        <w:tc>
          <w:tcPr>
            <w:tcW w:type="dxa" w:w="7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spacing w:after="0" w:line="252"/>
            </w:pPr>
            <w:r>
              <w:rPr>
                <w:b/>
                <w:bCs/>
                <w:color w:val="FFFFFF"/>
                <w:sz w:val="19"/>
                <w:szCs w:val="19"/>
              </w:rPr>
              <w:t xml:space="preserve">Functions</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Utilities</w:t>
            </w:r>
          </w:p>
        </w:tc>
        <w:tc>
          <w:tcPr>
            <w:tcW w:type="dxa" w:w="71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_is_gas, _calc_cvrmse, _n_choose_k, _random_combos, _safe_df</w:t>
            </w:r>
          </w:p>
        </w:tc>
      </w:tr>
      <w:tr>
        <w:tc>
          <w:tcPr>
            <w:tcW w:type="dxa" w:w="22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Preprocessing</w:t>
            </w:r>
          </w:p>
        </w:tc>
        <w:tc>
          <w:tcPr>
            <w:tcW w:type="dxa" w:w="716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preprocess, _convert_units, infer_flags</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Outlier detection</w:t>
            </w:r>
          </w:p>
        </w:tc>
        <w:tc>
          <w:tcPr>
            <w:tcW w:type="dxa" w:w="71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detect_baseline_outliers, detect_reporting_outliers</w:t>
            </w:r>
          </w:p>
        </w:tc>
      </w:tr>
      <w:tr>
        <w:tc>
          <w:tcPr>
            <w:tcW w:type="dxa" w:w="22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Model fitting</w:t>
            </w:r>
          </w:p>
        </w:tc>
        <w:tc>
          <w:tcPr>
            <w:tcW w:type="dxa" w:w="716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fit_model, _weather_coverage, _seasonal_ok, _is_new_site, _combo_score</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Optimizer</w:t>
            </w:r>
          </w:p>
        </w:tc>
        <w:tc>
          <w:tcPr>
            <w:tcW w:type="dxa" w:w="71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eval_combo, optimize, optimize_from_locked</w:t>
            </w:r>
          </w:p>
        </w:tc>
      </w:tr>
      <w:tr>
        <w:tc>
          <w:tcPr>
            <w:tcW w:type="dxa" w:w="22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Multi-meter</w:t>
            </w:r>
          </w:p>
        </w:tc>
        <w:tc>
          <w:tcPr>
            <w:tcW w:type="dxa" w:w="716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meters_concurrent, aggregate_site, calc_meter_weights, failing_weight_flag, low_coverage_flag</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Row builders</w:t>
            </w:r>
          </w:p>
        </w:tc>
        <w:tc>
          <w:tcPr>
            <w:tcW w:type="dxa" w:w="71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build_result_row, compute_cost_cols, build_bill_row, build_baseline_rows, build_reporting_rows, build_outlier_row, build_meter_weight_rows, build_notes, build_input_with_baseline</w:t>
            </w:r>
          </w:p>
        </w:tc>
      </w:tr>
      <w:tr>
        <w:tc>
          <w:tcPr>
            <w:tcW w:type="dxa" w:w="220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Weather assembly</w:t>
            </w:r>
          </w:p>
        </w:tc>
        <w:tc>
          <w:tcPr>
            <w:tcW w:type="dxa" w:w="7160"/>
            <w:tcBorders>
              <w:top w:val="single" w:color="BFBFBF" w:sz="1"/>
              <w:left w:val="single" w:color="BFBFBF" w:sz="1"/>
              <w:bottom w:val="single" w:color="BFBFBF" w:sz="1"/>
              <w:right w:val="single" w:color="BFBFBF" w:sz="1"/>
            </w:tcBorders>
            <w:shd w:fill="EAF1F8" w:val="clear"/>
            <w:tcMar>
              <w:top w:type="dxa" w:w="70"/>
              <w:left w:type="dxa" w:w="120"/>
              <w:bottom w:type="dxa" w:w="70"/>
              <w:right w:type="dxa" w:w="120"/>
            </w:tcMar>
            <w:vAlign w:val="center"/>
          </w:tcPr>
          <w:p>
            <w:pPr>
              <w:spacing w:after="0" w:line="252"/>
            </w:pPr>
            <w:r>
              <w:rPr>
                <w:sz w:val="19"/>
                <w:szCs w:val="19"/>
              </w:rPr>
              <w:t xml:space="preserve">fetch_sigma_weather, aggregate_weather_to_periods, merge_weather</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Orchestration</w:t>
            </w:r>
          </w:p>
        </w:tc>
        <w:tc>
          <w:tcPr>
            <w:tcW w:type="dxa" w:w="71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sz w:val="19"/>
                <w:szCs w:val="19"/>
              </w:rPr>
              <w:t xml:space="preserve">run_analysis, _sigma_main, _local_main</w:t>
            </w:r>
          </w:p>
        </w:tc>
      </w:tr>
    </w:tbl>
    <w:p>
      <w:r>
        <w:br w:type="page"/>
      </w:r>
    </w:p>
    <w:p>
      <w:pPr>
        <w:pStyle w:val="Heading1"/>
      </w:pPr>
      <w:r>
        <w:t xml:space="preserve">5. Function Reference</w:t>
      </w:r>
    </w:p>
    <w:p>
      <w:pPr>
        <w:spacing w:after="120" w:before="0" w:line="276"/>
      </w:pPr>
      <w:r>
        <w:t xml:space="preserve">Each function is documented with its purpose, key inputs/outputs, and noteworthy behavior. Functions are grouped to match the module map in Section 4.2.</w:t>
      </w:r>
    </w:p>
    <w:p>
      <w:pPr>
        <w:pStyle w:val="Heading2"/>
      </w:pPr>
      <w:r>
        <w:t xml:space="preserve">5.1 Utilities</w:t>
      </w:r>
    </w:p>
    <w:p>
      <w:pPr>
        <w:pStyle w:val="Heading3"/>
      </w:pPr>
      <w:r>
        <w:t xml:space="preserve">_is_gas(service_type)</w:t>
      </w:r>
    </w:p>
    <w:p>
      <w:pPr>
        <w:spacing w:after="120" w:before="0" w:line="276"/>
      </w:pPr>
      <w:r>
        <w:t xml:space="preserve">Returns True when the service type string contains “gas” (case-insensitive). This single predicate drives the gas-vs-electric branching everywhere: number of regressors, R² threshold, baseline count, and seasonal-balance threshold.</w:t>
      </w:r>
    </w:p>
    <w:p>
      <w:pPr>
        <w:pStyle w:val="Heading3"/>
      </w:pPr>
      <w:r>
        <w:t xml:space="preserve">_calc_cvrmse(actual, predicted)</w:t>
      </w:r>
    </w:p>
    <w:p>
      <w:pPr>
        <w:spacing w:after="120" w:before="0" w:line="276"/>
      </w:pPr>
      <w:r>
        <w:t xml:space="preserve">Computes the coefficient of variation of RMSE as a percentage of the mean actual value. Returns a sentinel of 999.0 when the mean is zero, so a degenerate series fails the CV-RMSE gate rather than dividing by zero.</w:t>
      </w:r>
    </w:p>
    <w:p>
      <w:pPr>
        <w:pStyle w:val="Heading3"/>
      </w:pPr>
      <w:r>
        <w:t xml:space="preserve">_n_choose_k(n, k)</w:t>
      </w:r>
    </w:p>
    <w:p>
      <w:pPr>
        <w:spacing w:after="120" w:before="0" w:line="276"/>
      </w:pPr>
      <w:r>
        <w:t xml:space="preserve">Integer combination count used to decide whether to enumerate baseline combinations exhaustively or sample them. Returns 0 when k exceeds n.</w:t>
      </w:r>
    </w:p>
    <w:p>
      <w:pPr>
        <w:pStyle w:val="Heading3"/>
      </w:pPr>
      <w:r>
        <w:t xml:space="preserve">_random_combos(n, k, count)</w:t>
      </w:r>
    </w:p>
    <w:p>
      <w:pPr>
        <w:spacing w:after="120" w:before="0" w:line="276"/>
      </w:pPr>
      <w:r>
        <w:t xml:space="preserve">Generator yielding up to count distinct random k-combinations of n items, used when the exhaustive space is too large.</w:t>
      </w:r>
    </w:p>
    <w:p>
      <w:pPr>
        <w:pStyle w:val="ListParagraph"/>
        <w:numPr>
          <w:ilvl w:val="0"/>
          <w:numId w:val="2"/>
        </w:numPr>
        <w:spacing w:after="60" w:line="276"/>
      </w:pPr>
      <w:r>
        <w:rPr>
          <w:b/>
          <w:bCs/>
        </w:rPr>
        <w:t xml:space="preserve">Note: </w:t>
      </w:r>
      <w:r>
        <w:t xml:space="preserve">the inline comment claims a fixed seed for reproducibility, but </w:t>
      </w:r>
      <w:r>
        <w:rPr>
          <w:rFonts w:ascii="Consolas" w:cs="Consolas" w:eastAsia="Consolas" w:hAnsi="Consolas"/>
          <w:sz w:val="19"/>
          <w:szCs w:val="19"/>
        </w:rPr>
        <w:t xml:space="preserve">np.random.default_rng()</w:t>
      </w:r>
      <w:r>
        <w:t xml:space="preserve"> is called with no seed, so sampled runs are not deterministic. Flag for maintainers if reproducibility is required.</w:t>
      </w:r>
    </w:p>
    <w:p>
      <w:pPr>
        <w:pStyle w:val="Heading3"/>
      </w:pPr>
      <w:r>
        <w:t xml:space="preserve">_safe_df(rows, schema_key)</w:t>
      </w:r>
    </w:p>
    <w:p>
      <w:pPr>
        <w:spacing w:after="120" w:before="0" w:line="276"/>
      </w:pPr>
      <w:r>
        <w:t xml:space="preserve">Builds a DataFrame from a list of row dicts, falling back to an empty frame with the correct schema columns when there are no rows. For the outliers schema it also reorders/filters columns to the canonical set.</w:t>
      </w:r>
    </w:p>
    <w:p>
      <w:pPr>
        <w:pStyle w:val="Heading2"/>
      </w:pPr>
      <w:r>
        <w:t xml:space="preserve">5.2 Preprocessing</w:t>
      </w:r>
    </w:p>
    <w:p>
      <w:pPr>
        <w:pStyle w:val="Heading3"/>
      </w:pPr>
      <w:r>
        <w:t xml:space="preserve">preprocess(df)</w:t>
      </w:r>
    </w:p>
    <w:p>
      <w:pPr>
        <w:spacing w:after="120" w:before="0" w:line="276"/>
      </w:pPr>
      <w:r>
        <w:t xml:space="preserve">Normalizes the raw input into a working DataFrame. Strips and underscores column names, parses dates as UTC then drops the timezone, coerces HDD/CDD/Consumption to numeric, strips currency formatting from Total Charges, converts units, and normalizes Selected Baseline to “1” or blank.</w:t>
      </w:r>
    </w:p>
    <w:p>
      <w:pPr>
        <w:pStyle w:val="ListParagraph"/>
        <w:numPr>
          <w:ilvl w:val="0"/>
          <w:numId w:val="2"/>
        </w:numPr>
        <w:spacing w:after="60" w:line="276"/>
      </w:pPr>
      <w:r>
        <w:t xml:space="preserve">Returns a tuple: (processed_df, df_original, has_locked). df_original keeps the original column formatting for the input_with_baseline output.</w:t>
      </w:r>
    </w:p>
    <w:p>
      <w:pPr>
        <w:pStyle w:val="ListParagraph"/>
        <w:numPr>
          <w:ilvl w:val="0"/>
          <w:numId w:val="2"/>
        </w:numPr>
        <w:spacing w:after="60" w:line="276"/>
      </w:pPr>
      <w:r>
        <w:t xml:space="preserve">Emits warnings about missing or NaN HDD/CDD columns. (Note: the warning text for a missing column under </w:t>
      </w:r>
      <w:r>
        <w:rPr>
          <w:rFonts w:ascii="Consolas" w:cs="Consolas" w:eastAsia="Consolas" w:hAnsi="Consolas"/>
          <w:sz w:val="19"/>
          <w:szCs w:val="19"/>
        </w:rPr>
        <w:t xml:space="preserve">WEATHER_SOURCE == "sigma"</w:t>
      </w:r>
      <w:r>
        <w:t xml:space="preserve"> mentions “csv” and reads as if the branches are swapped — cosmetic only; it does not affect logic.)</w:t>
      </w:r>
    </w:p>
    <w:p>
      <w:pPr>
        <w:pStyle w:val="Heading3"/>
      </w:pPr>
      <w:r>
        <w:t xml:space="preserve">_convert_units(df)</w:t>
      </w:r>
    </w:p>
    <w:p>
      <w:pPr>
        <w:spacing w:after="120" w:before="0" w:line="276"/>
      </w:pPr>
      <w:r>
        <w:t xml:space="preserve">Multiplies Consumption by the factor for each Consumption Unit group (see Section 3.5). No-ops when the column is absent or the factor is 1.0.</w:t>
      </w:r>
    </w:p>
    <w:p>
      <w:pPr>
        <w:pStyle w:val="Heading3"/>
      </w:pPr>
      <w:r>
        <w:t xml:space="preserve">infer_flags(df)</w:t>
      </w:r>
    </w:p>
    <w:p>
      <w:pPr>
        <w:spacing w:after="120" w:before="0" w:line="276"/>
      </w:pPr>
      <w:r>
        <w:t xml:space="preserve">Adds Baseline_Bill and Reporting_Bill indicator columns by comparing each bill's period start date to the commission date. Raises ValueError if the commission date column is missing or entirely empty, since the baseline/reporting split cannot otherwise be made.</w:t>
      </w:r>
    </w:p>
    <w:p>
      <w:pPr>
        <w:pStyle w:val="Heading2"/>
      </w:pPr>
      <w:r>
        <w:t xml:space="preserve">5.3 Outlier detection</w:t>
      </w:r>
    </w:p>
    <w:p>
      <w:pPr>
        <w:pStyle w:val="Heading3"/>
      </w:pPr>
      <w:r>
        <w:t xml:space="preserve">detect_baseline_outliers(bills)</w:t>
      </w:r>
    </w:p>
    <w:p>
      <w:pPr>
        <w:spacing w:after="120" w:before="0" w:line="276"/>
      </w:pPr>
      <w:r>
        <w:t xml:space="preserve">Flags baseline outliers in two ways: any negative consumption is always an outlier, and (when at least four non-negative bills exist) the standard 1.5×IQR fences identify too-low and too-high bills. Returns the cleaned bills and a frame of the removed rows with reasons.</w:t>
      </w:r>
    </w:p>
    <w:p>
      <w:pPr>
        <w:pStyle w:val="Heading3"/>
      </w:pPr>
      <w:r>
        <w:t xml:space="preserve">detect_reporting_outliers(model, bills, is_gas)</w:t>
      </w:r>
    </w:p>
    <w:p>
      <w:pPr>
        <w:spacing w:after="120" w:before="0" w:line="276"/>
      </w:pPr>
      <w:r>
        <w:t xml:space="preserve">Predicts each reporting bill with the fitted model and computes percent avoided. Bills outside the low/high percent-avoided fences (REPORTING_OUTLIER_LOW / HIGH) are removed as reporting outliers with a descriptive reason. Returns (clean, outliers).</w:t>
      </w:r>
    </w:p>
    <w:p>
      <w:pPr>
        <w:pStyle w:val="Heading2"/>
      </w:pPr>
      <w:r>
        <w:t xml:space="preserve">5.4 Model fitting &amp; scoring</w:t>
      </w:r>
    </w:p>
    <w:p>
      <w:pPr>
        <w:pStyle w:val="Heading3"/>
      </w:pPr>
      <w:r>
        <w:t xml:space="preserve">fit_model(baseline, is_gas)</w:t>
      </w:r>
    </w:p>
    <w:p>
      <w:pPr>
        <w:spacing w:after="120" w:before="0" w:line="276"/>
      </w:pPr>
      <w:r>
        <w:t xml:space="preserve">Fits an ordinary least-squares linear regression. Gas uses HDD only; electricity uses HDD and CDD. Returns the model plus its in-sample R² and CV-RMSE.</w:t>
      </w:r>
    </w:p>
    <w:p>
      <w:pPr>
        <w:pStyle w:val="Heading3"/>
      </w:pPr>
      <w:r>
        <w:t xml:space="preserve">_weather_coverage(selected, all_baseline)</w:t>
      </w:r>
    </w:p>
    <w:p>
      <w:pPr>
        <w:spacing w:after="120" w:before="0" w:line="276"/>
      </w:pPr>
      <w:r>
        <w:t xml:space="preserve">Measures how much of the full baseline HDD and CDD range the selected bills span, as a percentage, and returns the average plus the per-axis values. Guards against models trained on too narrow a weather band. Returns 100% for an axis with zero range.</w:t>
      </w:r>
    </w:p>
    <w:p>
      <w:pPr>
        <w:pStyle w:val="Heading3"/>
      </w:pPr>
      <w:r>
        <w:t xml:space="preserve">_seasonal_ok(selected, min_per_q, balance_threshold)</w:t>
      </w:r>
    </w:p>
    <w:p>
      <w:pPr>
        <w:spacing w:after="120" w:before="0" w:line="276"/>
      </w:pPr>
      <w:r>
        <w:t xml:space="preserve">Two-part seasonal gate: every quarter must meet a minimum bill count, and no quarter may fall below balance_threshold of the mean quarter count. The balance gate catches skewed distributions (e.g. [1,4,2,1]) that a coefficient-of-variation check alone can miss. Gas uses the looser GAS_SEASONAL_BALANCE_THRESHOLD.</w:t>
      </w:r>
    </w:p>
    <w:p>
      <w:pPr>
        <w:pStyle w:val="Heading3"/>
      </w:pPr>
      <w:r>
        <w:t xml:space="preserve">_is_new_site(baseline_bills)</w:t>
      </w:r>
    </w:p>
    <w:p>
      <w:pPr>
        <w:spacing w:after="120" w:before="0" w:line="276"/>
      </w:pPr>
      <w:r>
        <w:t xml:space="preserve">Returns True when the baseline spans less than 12 months (or has no parseable dates). New sites get a different scoring formula that omits the temporal-CV term.</w:t>
      </w:r>
    </w:p>
    <w:p>
      <w:pPr>
        <w:pStyle w:val="Heading3"/>
      </w:pPr>
      <w:r>
        <w:t xml:space="preserve">_combo_score(r2, temporal_cv, pct_avoided, reporting_count, max_reporting, is_new)</w:t>
      </w:r>
    </w:p>
    <w:p>
      <w:pPr>
        <w:spacing w:after="120" w:before="0" w:line="276"/>
      </w:pPr>
      <w:r>
        <w:t xml:space="preserve">Weighted composite score (higher is better) used to rank candidate baseline combinations.</w:t>
      </w:r>
    </w:p>
    <w:p>
      <w:pPr>
        <w:pStyle w:val="ListParagraph"/>
        <w:numPr>
          <w:ilvl w:val="0"/>
          <w:numId w:val="2"/>
        </w:numPr>
        <w:spacing w:after="60" w:line="276"/>
      </w:pPr>
      <w:r>
        <w:rPr>
          <w:rFonts w:ascii="Consolas" w:cs="Consolas" w:eastAsia="Consolas" w:hAnsi="Consolas"/>
          <w:sz w:val="19"/>
          <w:szCs w:val="19"/>
        </w:rPr>
        <w:t xml:space="preserve">Normal: 0.45·R² + 0.30·CV_inv + 0.15·pct + 0.10·rep_frac</w:t>
      </w:r>
    </w:p>
    <w:p>
      <w:pPr>
        <w:pStyle w:val="ListParagraph"/>
        <w:numPr>
          <w:ilvl w:val="0"/>
          <w:numId w:val="2"/>
        </w:numPr>
        <w:spacing w:after="60" w:line="276"/>
      </w:pPr>
      <w:r>
        <w:rPr>
          <w:rFonts w:ascii="Consolas" w:cs="Consolas" w:eastAsia="Consolas" w:hAnsi="Consolas"/>
          <w:sz w:val="19"/>
          <w:szCs w:val="19"/>
        </w:rPr>
        <w:t xml:space="preserve">New site: 0.75·R² + 0.15·pct + 0.10·rep_frac  (CV omitted)</w:t>
      </w:r>
    </w:p>
    <w:p>
      <w:pPr>
        <w:pStyle w:val="ListParagraph"/>
        <w:numPr>
          <w:ilvl w:val="0"/>
          <w:numId w:val="2"/>
        </w:numPr>
        <w:spacing w:after="60" w:line="276"/>
      </w:pPr>
      <w:r>
        <w:t xml:space="preserve">All component terms are normalized to roughly 0–1 before weighting; percent avoided is clamped to a [-10, 40] band.</w:t>
      </w:r>
    </w:p>
    <w:p>
      <w:r>
        <w:br w:type="page"/>
      </w:r>
    </w:p>
    <w:p>
      <w:pPr>
        <w:pStyle w:val="Heading2"/>
      </w:pPr>
      <w:r>
        <w:t xml:space="preserve">5.5 Optimizer</w:t>
      </w:r>
    </w:p>
    <w:p>
      <w:pPr>
        <w:pStyle w:val="Heading3"/>
      </w:pPr>
      <w:r>
        <w:t xml:space="preserve">eval_combo(idx_list, baseline_pool, reporting_bills, all_baseline, r2_thresh, is_gas)</w:t>
      </w:r>
    </w:p>
    <w:p>
      <w:pPr>
        <w:spacing w:after="120" w:before="0" w:line="276"/>
      </w:pPr>
      <w:r>
        <w:t xml:space="preserve">Evaluates a single candidate baseline combination end-to-end: fits the model, computes weather coverage and temporal CV, cleans reporting outliers, predicts reporting consumption, and computes avoided usage/percent. Returns a rich result dict including the model, the selected and clean-reporting frames, the equation string, all quality metrics, pass/fail booleans, and quarterly bill counts.</w:t>
      </w:r>
    </w:p>
    <w:p>
      <w:pPr>
        <w:pStyle w:val="Heading3"/>
      </w:pPr>
      <w:r>
        <w:t xml:space="preserve">optimize(site_id, service_type, bills, baseline_count, r2_thresh)</w:t>
      </w:r>
    </w:p>
    <w:p>
      <w:pPr>
        <w:spacing w:after="120" w:before="0" w:line="276"/>
      </w:pPr>
      <w:r>
        <w:t xml:space="preserve">The core search. Splits bills into baseline and reporting, removes baseline outliers, and — if enough clean baseline bills remain — searches combinations for the best model.</w:t>
      </w:r>
    </w:p>
    <w:p>
      <w:pPr>
        <w:pStyle w:val="ListParagraph"/>
        <w:numPr>
          <w:ilvl w:val="0"/>
          <w:numId w:val="2"/>
        </w:numPr>
        <w:spacing w:after="60" w:line="276"/>
      </w:pPr>
      <w:r>
        <w:t xml:space="preserve">Enumerates combinations exhaustively when the count is at or below EXHAUSTIVE_LIMIT, otherwise samples randomly.</w:t>
      </w:r>
    </w:p>
    <w:p>
      <w:pPr>
        <w:pStyle w:val="ListParagraph"/>
        <w:numPr>
          <w:ilvl w:val="0"/>
          <w:numId w:val="2"/>
        </w:numPr>
        <w:spacing w:after="60" w:line="276"/>
      </w:pPr>
      <w:r>
        <w:t xml:space="preserve">Each candidate must pass the seasonal gate and weather-coverage minimum; non-new sites also face the temporal-CV ceiling.</w:t>
      </w:r>
    </w:p>
    <w:p>
      <w:pPr>
        <w:pStyle w:val="ListParagraph"/>
        <w:numPr>
          <w:ilvl w:val="0"/>
          <w:numId w:val="2"/>
        </w:numPr>
        <w:spacing w:after="60" w:line="276"/>
      </w:pPr>
      <w:r>
        <w:t xml:space="preserve">If the CV ceiling filters out everything (non-new sites), it is relaxed in a second pass and the result is tagged CV Ceiling Relaxed.</w:t>
      </w:r>
    </w:p>
    <w:p>
      <w:pPr>
        <w:pStyle w:val="ListParagraph"/>
        <w:numPr>
          <w:ilvl w:val="0"/>
          <w:numId w:val="2"/>
        </w:numPr>
        <w:spacing w:after="60" w:line="276"/>
      </w:pPr>
      <w:r>
        <w:t xml:space="preserve">Among valid combinations it tracks three buckets — passing with positive savings, passing with non-positive savings, and failing — and prefers a passing positive-savings model. If a higher-scoring non-positive passing model existed, it is recorded in the result for transparency.</w:t>
      </w:r>
    </w:p>
    <w:p>
      <w:pPr>
        <w:pStyle w:val="ListParagraph"/>
        <w:numPr>
          <w:ilvl w:val="0"/>
          <w:numId w:val="2"/>
        </w:numPr>
        <w:spacing w:after="60" w:line="276"/>
      </w:pPr>
      <w:r>
        <w:t xml:space="preserve">Runs a preferred per-quarter strategy first; if that yields nothing, retries with the looser minimum-per-quarter strategy. Returns (result, baseline_outliers, reporting_outliers).</w:t>
      </w:r>
    </w:p>
    <w:p>
      <w:pPr>
        <w:pStyle w:val="Heading3"/>
      </w:pPr>
      <w:r>
        <w:t xml:space="preserve">optimize_from_locked(site_id, service_type, bills, r2_thresh)</w:t>
      </w:r>
    </w:p>
    <w:p>
      <w:pPr>
        <w:spacing w:after="120" w:before="0" w:line="276"/>
      </w:pPr>
      <w:r>
        <w:t xml:space="preserve">Reconstructs a model directly from pre-selected baseline bills (Selected Baseline = 1) without searching. Used on re-runs so analysts can lock a chosen baseline. Computes the same metrics and reporting outputs as the optimizer and labels the strategy “Locked (pre-selected)”.</w:t>
      </w:r>
    </w:p>
    <w:p>
      <w:pPr>
        <w:pStyle w:val="Heading2"/>
      </w:pPr>
      <w:r>
        <w:t xml:space="preserve">5.6 Multi-meter handling</w:t>
      </w:r>
    </w:p>
    <w:p>
      <w:pPr>
        <w:pStyle w:val="Heading3"/>
      </w:pPr>
      <w:r>
        <w:t xml:space="preserve">meters_concurrent(site_data)</w:t>
      </w:r>
    </w:p>
    <w:p>
      <w:pPr>
        <w:spacing w:after="120" w:before="0" w:line="276"/>
      </w:pPr>
      <w:r>
        <w:t xml:space="preserve">Returns True if any two meters at a site share at least OVERLAP_THRESHOLD billing-period start dates, indicating they ran at the same time (rather than one replacing another).</w:t>
      </w:r>
    </w:p>
    <w:p>
      <w:pPr>
        <w:pStyle w:val="Heading3"/>
      </w:pPr>
      <w:r>
        <w:t xml:space="preserve">aggregate_site(site_data)</w:t>
      </w:r>
    </w:p>
    <w:p>
      <w:pPr>
        <w:spacing w:after="120" w:before="0" w:line="276"/>
      </w:pPr>
      <w:r>
        <w:t xml:space="preserve">Sums consumption and charges across meters per billing period to produce a single AGGREGATED meter timeline, carrying through weather, flags, and commission date.</w:t>
      </w:r>
    </w:p>
    <w:p>
      <w:pPr>
        <w:pStyle w:val="Heading3"/>
      </w:pPr>
      <w:r>
        <w:t xml:space="preserve">calc_meter_weights(site_data, meter_nums)</w:t>
      </w:r>
    </w:p>
    <w:p>
      <w:pPr>
        <w:spacing w:after="120" w:before="0" w:line="276"/>
      </w:pPr>
      <w:r>
        <w:t xml:space="preserve">Computes each meter's share of total baseline consumption. When total baseline load is zero, weights are split evenly. These weights drive coverage and risk flags.</w:t>
      </w:r>
    </w:p>
    <w:p>
      <w:pPr>
        <w:pStyle w:val="Heading3"/>
      </w:pPr>
      <w:r>
        <w:t xml:space="preserve">failing_weight_flag(meter_weights, ind_results)</w:t>
      </w:r>
    </w:p>
    <w:p>
      <w:pPr>
        <w:spacing w:after="120" w:before="0" w:line="276"/>
      </w:pPr>
      <w:r>
        <w:t xml:space="preserve">Sums the baseline-load weight of meters whose individual models fail quality. Returns HIGH RISK above the high-risk threshold, REVIEW above the review threshold, otherwise OK — with an explanatory note naming the failing meters and their combined share.</w:t>
      </w:r>
    </w:p>
    <w:p>
      <w:pPr>
        <w:pStyle w:val="Heading3"/>
      </w:pPr>
      <w:r>
        <w:t xml:space="preserve">low_coverage_flag(weight, passes_quality)</w:t>
      </w:r>
    </w:p>
    <w:p>
      <w:pPr>
        <w:spacing w:after="120" w:before="0" w:line="276"/>
      </w:pPr>
      <w:r>
        <w:t xml:space="preserve">Flags a passing meter whose weight is below LOW_COVERAGE_THRESHOLD as LOW COVERAGE, indicating it verifies only a small slice of site load.</w:t>
      </w:r>
    </w:p>
    <w:p>
      <w:r>
        <w:br w:type="page"/>
      </w:r>
    </w:p>
    <w:p>
      <w:pPr>
        <w:pStyle w:val="Heading2"/>
      </w:pPr>
      <w:r>
        <w:t xml:space="preserve">5.7 Row builders</w:t>
      </w:r>
    </w:p>
    <w:p>
      <w:pPr>
        <w:pStyle w:val="Heading3"/>
      </w:pPr>
      <w:r>
        <w:t xml:space="preserve">build_result_row(...)</w:t>
      </w:r>
    </w:p>
    <w:p>
      <w:pPr>
        <w:spacing w:after="120" w:before="0" w:line="276"/>
      </w:pPr>
      <w:r>
        <w:t xml:space="preserve">Assembles a single model row for individual_models / aggregated_models: ratings for R², CV-RMSE, and weather coverage; pass/fail booleans; quarterly counts; avoided usage and percent; notes (sequential-meter and savings-selection annotations); and the cost columns from compute_cost_cols.</w:t>
      </w:r>
    </w:p>
    <w:p>
      <w:pPr>
        <w:pStyle w:val="Heading3"/>
      </w:pPr>
      <w:r>
        <w:t xml:space="preserve">compute_cost_cols(res)</w:t>
      </w:r>
    </w:p>
    <w:p>
      <w:pPr>
        <w:spacing w:after="120" w:before="0" w:line="276"/>
      </w:pPr>
      <w:r>
        <w:t xml:space="preserve">Derives the dollar figures: a measured rate (charges ÷ consumption), modeled and actual cost, avoided cost, and average monthly avoided cost.</w:t>
      </w:r>
    </w:p>
    <w:p>
      <w:pPr>
        <w:pStyle w:val="ListParagraph"/>
        <w:numPr>
          <w:ilvl w:val="0"/>
          <w:numId w:val="2"/>
        </w:numPr>
        <w:spacing w:after="60" w:line="276"/>
      </w:pPr>
      <w:r>
        <w:t xml:space="preserve">Returns an EXCLUDED savings status when there is no model or all reporting bills were removed as outliers.</w:t>
      </w:r>
    </w:p>
    <w:p>
      <w:pPr>
        <w:pStyle w:val="ListParagraph"/>
        <w:numPr>
          <w:ilvl w:val="0"/>
          <w:numId w:val="2"/>
        </w:numPr>
        <w:spacing w:after="60" w:line="276"/>
      </w:pPr>
      <w:r>
        <w:t xml:space="preserve">Returns an excluded status when every clean reporting bill shows negative savings, so spurious “negative savings” do not flow into reporting.</w:t>
      </w:r>
    </w:p>
    <w:p>
      <w:pPr>
        <w:pStyle w:val="Heading3"/>
      </w:pPr>
      <w:r>
        <w:t xml:space="preserve">build_bill_row(r, site, meter_num, service_type, period_type, status)</w:t>
      </w:r>
    </w:p>
    <w:p>
      <w:pPr>
        <w:spacing w:after="120" w:before="0" w:line="276"/>
      </w:pPr>
      <w:r>
        <w:t xml:space="preserve">Creates a base bill row (used by both baseline and reporting builders) with identifiers, dates, weather, consumption, charges, and placeholders for the prediction columns.</w:t>
      </w:r>
    </w:p>
    <w:p>
      <w:pPr>
        <w:pStyle w:val="Heading3"/>
      </w:pPr>
      <w:r>
        <w:t xml:space="preserve">build_baseline_rows(res, site, meter_num, service_type)</w:t>
      </w:r>
    </w:p>
    <w:p>
      <w:pPr>
        <w:spacing w:after="120" w:before="0" w:line="276"/>
      </w:pPr>
      <w:r>
        <w:t xml:space="preserve">Emits one row per selected baseline bill (marked Used in Model, Selected Baseline = 1) plus rows for baseline outliers labeled with their exclusion reason.</w:t>
      </w:r>
    </w:p>
    <w:p>
      <w:pPr>
        <w:pStyle w:val="Heading3"/>
      </w:pPr>
      <w:r>
        <w:t xml:space="preserve">build_reporting_rows(res, site, meter_num, service_type, model_passes, savings_status)</w:t>
      </w:r>
    </w:p>
    <w:p>
      <w:pPr>
        <w:spacing w:after="120" w:before="0" w:line="276"/>
      </w:pPr>
      <w:r>
        <w:t xml:space="preserve">Emits one row per reporting bill — clean bills as Used in Savings and outliers as Excluded — each with predicted consumption, avoided usage, percent avoided, bill avoided cost, and the model's quality metrics for context.</w:t>
      </w:r>
    </w:p>
    <w:p>
      <w:pPr>
        <w:pStyle w:val="Heading3"/>
      </w:pPr>
      <w:r>
        <w:t xml:space="preserve">build_outlier_row(o, site, meter_num, service_type)</w:t>
      </w:r>
    </w:p>
    <w:p>
      <w:pPr>
        <w:spacing w:after="120" w:before="0" w:line="276"/>
      </w:pPr>
      <w:r>
        <w:t xml:space="preserve">Normalizes an outlier record (from either underscore or spaced column naming) into the canonical outliers schema.</w:t>
      </w:r>
    </w:p>
    <w:p>
      <w:pPr>
        <w:pStyle w:val="Heading3"/>
      </w:pPr>
      <w:r>
        <w:t xml:space="preserve">build_meter_weight_rows(...)</w:t>
      </w:r>
    </w:p>
    <w:p>
      <w:pPr>
        <w:spacing w:after="120" w:before="0" w:line="276"/>
      </w:pPr>
      <w:r>
        <w:t xml:space="preserve">Builds the meter_weights rows for a concurrent site: each meter's baseline consumption, weight percent, weight source, individual-model quality, and coverage/aggregate flags.</w:t>
      </w:r>
    </w:p>
    <w:p>
      <w:pPr>
        <w:pStyle w:val="Heading3"/>
      </w:pPr>
      <w:r>
        <w:t xml:space="preserve">build_notes(ind_results, agg_res, meter_count)</w:t>
      </w:r>
    </w:p>
    <w:p>
      <w:pPr>
        <w:spacing w:after="120" w:before="0" w:line="276"/>
      </w:pPr>
      <w:r>
        <w:t xml:space="preserve">Composes a human-readable summary of how many individual meters pass vs. the aggregate, with average individual and aggregate R² and savings.</w:t>
      </w:r>
    </w:p>
    <w:p>
      <w:pPr>
        <w:pStyle w:val="Heading3"/>
      </w:pPr>
      <w:r>
        <w:t xml:space="preserve">build_input_with_baseline(df_original, selected_baseline_keys)</w:t>
      </w:r>
    </w:p>
    <w:p>
      <w:pPr>
        <w:spacing w:after="120" w:before="0" w:line="276"/>
      </w:pPr>
      <w:r>
        <w:t xml:space="preserve">Returns the original input with a clean Selected Baseline column stamped. Preserves previously locked “1” marks on re-upload and adds this run's selections, matching on (site, meter, period start). Blank meters are normalized to “N/A” and aggregate selections are matched accordingly.</w:t>
      </w:r>
    </w:p>
    <w:p>
      <w:r>
        <w:br w:type="page"/>
      </w:r>
    </w:p>
    <w:p>
      <w:pPr>
        <w:pStyle w:val="Heading1"/>
      </w:pPr>
      <w:r>
        <w:t xml:space="preserve">6. Sigma Integration</w:t>
      </w:r>
    </w:p>
    <w:p>
      <w:pPr>
        <w:spacing w:after="120" w:before="0" w:line="276"/>
      </w:pPr>
      <w:r>
        <w:t xml:space="preserve">This section covers the functions that connect the Engine to the M&amp;VEngine_MASTER workbook: weather assembly, the orchestrator, and the entry points.</w:t>
      </w:r>
    </w:p>
    <w:p>
      <w:pPr>
        <w:pStyle w:val="Heading2"/>
      </w:pPr>
      <w:r>
        <w:t xml:space="preserve">6.1 Weather assembly</w:t>
      </w:r>
    </w:p>
    <w:p>
      <w:pPr>
        <w:pStyle w:val="Heading3"/>
      </w:pPr>
      <w:r>
        <w:t xml:space="preserve">fetch_sigma_weather()</w:t>
      </w:r>
    </w:p>
    <w:p>
      <w:pPr>
        <w:spacing w:after="120" w:before="0" w:line="276"/>
      </w:pPr>
      <w:r>
        <w:t xml:space="preserve">Reads the weather element (literal name “Weather”, asserted against SIGMA_WEATHER_ELEMENT) and returns daily rows. Sigma returns opaque column IDs, so the function renames the four needed columns (Icao Id, Date Valid Std, Hdd Lt 65 F, Cdd Gt 65 F) via a fixed ID map, normalizes types, and returns an empty frame (triggering full CSV fallback) if the element is missing, empty, or lacks expected columns after rename.</w:t>
      </w:r>
    </w:p>
    <w:p>
      <w:pPr>
        <w:pStyle w:val="Heading3"/>
      </w:pPr>
      <w:r>
        <w:t xml:space="preserve">aggregate_weather_to_periods(daily_df, billing_df)</w:t>
      </w:r>
    </w:p>
    <w:p>
      <w:pPr>
        <w:spacing w:after="120" w:before="0" w:line="276"/>
      </w:pPr>
      <w:r>
        <w:t xml:space="preserve">For each unique (site, station, period) key, sums daily HDD/CDD where the daily date falls within the period window [start, end). Joins on WeatherStation → Icao Id. Periods with no daily coverage produce NaN, and the result is keyed on Site_Name so it can merge back to billing.</w:t>
      </w:r>
    </w:p>
    <w:p>
      <w:pPr>
        <w:pStyle w:val="Heading3"/>
      </w:pPr>
      <w:r>
        <w:t xml:space="preserve">merge_weather(billing_df, weather_df)</w:t>
      </w:r>
    </w:p>
    <w:p>
      <w:pPr>
        <w:spacing w:after="120" w:before="0" w:line="276"/>
      </w:pPr>
      <w:r>
        <w:t xml:space="preserve">Merges Sigma-sourced HDD/CDD into the bills on (site, period start).</w:t>
      </w:r>
    </w:p>
    <w:p>
      <w:pPr>
        <w:pStyle w:val="ListParagraph"/>
        <w:numPr>
          <w:ilvl w:val="0"/>
          <w:numId w:val="2"/>
        </w:numPr>
        <w:spacing w:after="60" w:line="276"/>
      </w:pPr>
      <w:r>
        <w:t xml:space="preserve">Resolution order per row: Sigma value when present, else the CSV value, else NaN.</w:t>
      </w:r>
    </w:p>
    <w:p>
      <w:pPr>
        <w:pStyle w:val="ListParagraph"/>
        <w:numPr>
          <w:ilvl w:val="0"/>
          <w:numId w:val="2"/>
        </w:numPr>
        <w:spacing w:after="60" w:line="276"/>
      </w:pPr>
      <w:r>
        <w:t xml:space="preserve">Adds a Weather Source column tagging each row as Sigma, CSV, or No Data, and prints a resolution summary plus a warning for any No Data rows.</w:t>
      </w:r>
    </w:p>
    <w:p>
      <w:pPr>
        <w:pStyle w:val="Heading2"/>
      </w:pPr>
      <w:r>
        <w:t xml:space="preserve">6.2 Orchestration &amp; entry points</w:t>
      </w:r>
    </w:p>
    <w:p>
      <w:pPr>
        <w:pStyle w:val="Heading3"/>
      </w:pPr>
      <w:r>
        <w:t xml:space="preserve">run_analysis(df, already_preprocessed, df_original, has_locked)</w:t>
      </w:r>
    </w:p>
    <w:p>
      <w:pPr>
        <w:spacing w:after="120" w:before="0" w:line="276"/>
      </w:pPr>
      <w:r>
        <w:t xml:space="preserve">The main driver. Optionally preprocesses and infers flags, excludes weather-less sites, then loops over each service type and site. It routes meters (single, sequential aggregate, or concurrent per-meter), optimizes or reconstructs each model, builds all row sets, computes meter weights and the aggregate model for concurrent sites, and returns the dictionary of seven output DataFrames (with a run timestamp on individual_models).</w:t>
      </w:r>
    </w:p>
    <w:p>
      <w:pPr>
        <w:pStyle w:val="ListParagraph"/>
        <w:numPr>
          <w:ilvl w:val="0"/>
          <w:numId w:val="2"/>
        </w:numPr>
        <w:spacing w:after="60" w:line="276"/>
      </w:pPr>
      <w:r>
        <w:rPr>
          <w:b/>
          <w:bCs/>
        </w:rPr>
        <w:t xml:space="preserve">Meter routing: </w:t>
      </w:r>
      <w:r>
        <w:t xml:space="preserve">no meter → single model; multiple non-concurrent meters → one combined (sequential) timeline; multiple concurrent meters → per-meter models plus a weighted aggregate.</w:t>
      </w:r>
    </w:p>
    <w:p>
      <w:pPr>
        <w:pStyle w:val="Heading3"/>
      </w:pPr>
      <w:r>
        <w:t xml:space="preserve">_sigma_main()</w:t>
      </w:r>
    </w:p>
    <w:p>
      <w:pPr>
        <w:spacing w:after="120" w:before="0" w:line="276"/>
      </w:pPr>
      <w:r>
        <w:t xml:space="preserve">Sigma entry point. In CSV mode it reads the raw upload element and runs the analysis directly. In Sigma mode it reads the Input element, preprocesses, fetches and merges weather, runs the analysis with the preprocessed flag set, and writes all seven outputs back via sigma.output(...).</w:t>
      </w:r>
    </w:p>
    <w:p>
      <w:pPr>
        <w:pStyle w:val="Heading3"/>
      </w:pPr>
      <w:r>
        <w:t xml:space="preserve">_local_main()</w:t>
      </w:r>
    </w:p>
    <w:p>
      <w:pPr>
        <w:spacing w:after="120" w:before="0" w:line="276"/>
      </w:pPr>
      <w:r>
        <w:t xml:space="preserve">Local entry point. Opens a file dialog, reads the chosen CSV, runs the analysis, and writes an Excel workbook with one sheet per output table next to the source file. Invoked only when the script is run as __main__; otherwise _sigma_main() runs.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2"/>
              <w:bottom w:val="single" w:color="2E6DA4" w:sz="1"/>
              <w:right w:val="single" w:color="2E6DA4" w:sz="1"/>
            </w:tcBorders>
            <w:shd w:fill="EAF1F8" w:val="clear"/>
            <w:tcMar>
              <w:top w:type="dxa" w:w="100"/>
              <w:left w:type="dxa" w:w="160"/>
              <w:bottom w:type="dxa" w:w="100"/>
              <w:right w:type="dxa" w:w="140"/>
            </w:tcMar>
          </w:tcPr>
          <w:p>
            <w:pPr>
              <w:spacing w:after="60" w:line="264"/>
            </w:pPr>
            <w:r>
              <w:rPr>
                <w:b/>
                <w:bCs/>
                <w:color w:val="7A4F00"/>
                <w:sz w:val="19"/>
                <w:szCs w:val="19"/>
              </w:rPr>
              <w:t xml:space="preserve">Maintainer notes</w:t>
            </w:r>
          </w:p>
          <w:p>
            <w:pPr>
              <w:spacing w:after="60" w:line="264"/>
            </w:pPr>
            <w:r>
              <w:rPr>
                <w:b/>
                <w:bCs/>
              </w:rPr>
              <w:t xml:space="preserve">Weather column IDs. </w:t>
            </w:r>
            <w:r>
              <w:t xml:space="preserve">The opaque-ID map in </w:t>
            </w:r>
            <w:r>
              <w:rPr>
                <w:rFonts w:ascii="Consolas" w:cs="Consolas" w:eastAsia="Consolas" w:hAnsi="Consolas"/>
                <w:sz w:val="19"/>
                <w:szCs w:val="19"/>
              </w:rPr>
              <w:t xml:space="preserve">fetch_sigma_weather()</w:t>
            </w:r>
            <w:r>
              <w:t xml:space="preserve"> is tied to a specific Weather element schema. If that element is rebuilt, the IDs will change and the rename will silently miss — the function then falls back to CSV for all rows. Re-capture the IDs when the element changes.</w:t>
            </w:r>
          </w:p>
          <w:p>
            <w:pPr>
              <w:spacing w:after="60" w:line="264"/>
            </w:pPr>
            <w:r>
              <w:rPr>
                <w:b/>
                <w:bCs/>
              </w:rPr>
              <w:t xml:space="preserve">Random-combo seeding. </w:t>
            </w:r>
            <w:r>
              <w:t xml:space="preserve">As noted in 5.1, sampled (non-exhaustive) optimization runs are not currently reproducible despite the comment; set a seed if deterministic output is required.</w:t>
            </w:r>
          </w:p>
          <w:p>
            <w:pPr>
              <w:spacing w:after="0" w:line="264"/>
            </w:pPr>
            <w:r>
              <w:rPr>
                <w:b/>
                <w:bCs/>
              </w:rPr>
              <w:t xml:space="preserve">Element renames. </w:t>
            </w:r>
            <w:r>
              <w:t xml:space="preserve">Keep the </w:t>
            </w:r>
            <w:r>
              <w:rPr>
                <w:rFonts w:ascii="Consolas" w:cs="Consolas" w:eastAsia="Consolas" w:hAnsi="Consolas"/>
                <w:sz w:val="19"/>
                <w:szCs w:val="19"/>
              </w:rPr>
              <w:t xml:space="preserve">sigma-input-element</w:t>
            </w:r>
            <w:r>
              <w:t xml:space="preserve"> / </w:t>
            </w:r>
            <w:r>
              <w:rPr>
                <w:rFonts w:ascii="Consolas" w:cs="Consolas" w:eastAsia="Consolas" w:hAnsi="Consolas"/>
                <w:sz w:val="19"/>
                <w:szCs w:val="19"/>
              </w:rPr>
              <w:t xml:space="preserve">sigma-weather-element</w:t>
            </w:r>
            <w:r>
              <w:t xml:space="preserve"> control values in sync with the string literals in the </w:t>
            </w:r>
            <w:r>
              <w:rPr>
                <w:rFonts w:ascii="Consolas" w:cs="Consolas" w:eastAsia="Consolas" w:hAnsi="Consolas"/>
                <w:sz w:val="19"/>
                <w:szCs w:val="19"/>
              </w:rPr>
              <w:t xml:space="preserve">get_element()</w:t>
            </w:r>
            <w:r>
              <w:t xml:space="preserve"> calls, or the runtime asserts will fail.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spacing w:after="0"/>
    </w:pPr>
    <w:r>
      <w:rPr>
        <w:color w:val="595959"/>
        <w:sz w:val="16"/>
        <w:szCs w:val="16"/>
      </w:rPr>
      <w:t xml:space="preserve">Energy M&amp;V Engine v8.0</w:t>
    </w:r>
    <w:r>
      <w:rPr>
        <w:color w:val="595959"/>
        <w:sz w:val="16"/>
        <w:szCs w:val="16"/>
      </w:rPr>
      <w:t xml:space="preserve">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DA4" w:sz="6" w:space="4"/>
      </w:pBdr>
      <w:spacing w:after="200" w:before="320"/>
      <w:outlineLvl w:val="0"/>
    </w:pPr>
    <w:rPr>
      <w:rFonts w:ascii="Arial" w:cs="Arial" w:eastAsia="Arial" w:hAnsi="Arial"/>
      <w:b/>
      <w:bCs/>
      <w:color w:val="1F4E79"/>
      <w:sz w:val="34"/>
      <w:szCs w:val="34"/>
    </w:rPr>
  </w:style>
  <w:style w:type="paragraph" w:styleId="Heading2">
    <w:name w:val="Heading 2"/>
    <w:basedOn w:val="Normal"/>
    <w:next w:val="Normal"/>
    <w:qFormat/>
    <w:pPr>
      <w:spacing w:after="140" w:before="260"/>
      <w:outlineLvl w:val="1"/>
    </w:pPr>
    <w:rPr>
      <w:rFonts w:ascii="Arial" w:cs="Arial" w:eastAsia="Arial" w:hAnsi="Arial"/>
      <w:b/>
      <w:bCs/>
      <w:color w:val="2E6DA4"/>
      <w:sz w:val="27"/>
      <w:szCs w:val="27"/>
    </w:rPr>
  </w:style>
  <w:style w:type="paragraph" w:styleId="Heading3">
    <w:name w:val="Heading 3"/>
    <w:basedOn w:val="Normal"/>
    <w:next w:val="Normal"/>
    <w:qFormat/>
    <w:pPr>
      <w:spacing w:after="80" w:before="200"/>
      <w:outlineLvl w:val="2"/>
    </w:pPr>
    <w:rPr>
      <w:rFonts w:ascii="Consolas" w:cs="Consolas" w:eastAsia="Consolas" w:hAnsi="Consolas"/>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Energy M&amp;V Engine — Documentation</dc:title>
  <dc:creator>Claude</dc:creator>
  <cp:lastModifiedBy>Un-named</cp:lastModifiedBy>
  <cp:revision>1</cp:revision>
  <dcterms:created xsi:type="dcterms:W3CDTF">2026-06-08T18:02:34.051Z</dcterms:created>
  <dcterms:modified xsi:type="dcterms:W3CDTF">2026-06-08T18:02:34.051Z</dcterms:modified>
</cp:coreProperties>
</file>

<file path=docProps/custom.xml><?xml version="1.0" encoding="utf-8"?>
<Properties xmlns="http://schemas.openxmlformats.org/officeDocument/2006/custom-properties" xmlns:vt="http://schemas.openxmlformats.org/officeDocument/2006/docPropsVTypes"/>
</file>