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br/>
        <w:t xml:space="preserve">Dla: </w:t>
      </w:r>
    </w:p>
    <w:p>
      <w:r>
        <w:rPr>
          <w:sz w:val="20"/>
        </w:rPr>
        <w:t xml:space="preserve">Zgłaszający: </w:t>
        <w:br/>
        <w:br/>
      </w:r>
    </w:p>
    <w:p>
      <w:pPr>
        <w:jc w:val="both"/>
      </w:pPr>
      <w:r>
        <w:rPr>
          <w:sz w:val="20"/>
        </w:rPr>
        <w:tab/>
        <w:t>Zespół Serwisu IT przesyła informacje dot. stanu technicznego sprzętu dostarczonego w styczniu 2026 roku do serwisu:</w:t>
      </w:r>
    </w:p>
    <w:p>
      <w:pPr>
        <w:pStyle w:val="ListNumber"/>
        <w:ind w:left="1080"/>
        <w:jc w:val="both"/>
      </w:pPr>
      <w:r>
        <w:rPr>
          <w:sz w:val="20"/>
        </w:rPr>
        <w:t xml:space="preserve">  o numerach: inw. , ID 123, SAP  z 2000 roku. Po sprawdzeniu stwierdzono, że sprzęt jest sprawny technicznie i posiada standardowe ślady użytkowania. Parametry sprzętu:</w:t>
      </w:r>
    </w:p>
    <w:p>
      <w:pPr>
        <w:pStyle w:val="ListBullet"/>
        <w:ind w:left="1440"/>
      </w:pPr>
      <w:r>
        <w:rPr>
          <w:sz w:val="20"/>
        </w:rPr>
        <w:t xml:space="preserve">Procesor: </w:t>
      </w:r>
    </w:p>
    <w:p>
      <w:pPr>
        <w:pStyle w:val="ListBullet"/>
        <w:ind w:left="1440"/>
      </w:pPr>
      <w:r>
        <w:rPr>
          <w:sz w:val="20"/>
        </w:rPr>
        <w:t>Grafika: Zintegrowana</w:t>
      </w:r>
    </w:p>
    <w:p>
      <w:pPr>
        <w:pStyle w:val="ListBullet"/>
        <w:ind w:left="1440"/>
      </w:pPr>
      <w:r>
        <w:rPr>
          <w:sz w:val="20"/>
        </w:rPr>
        <w:t xml:space="preserve">Pamięć RAM: </w:t>
      </w:r>
    </w:p>
    <w:p>
      <w:pPr>
        <w:pStyle w:val="ListBullet"/>
        <w:ind w:left="1440"/>
      </w:pPr>
      <w:r>
        <w:rPr>
          <w:sz w:val="20"/>
        </w:rPr>
        <w:t xml:space="preserve">Dysk Twardy: </w:t>
      </w:r>
    </w:p>
    <w:p>
      <w:pPr>
        <w:pStyle w:val="ListBullet"/>
        <w:ind w:left="1440"/>
      </w:pPr>
      <w:r>
        <w:rPr>
          <w:sz w:val="20"/>
        </w:rPr>
        <w:t xml:space="preserve">System operacyjny: </w:t>
      </w:r>
    </w:p>
    <w:p>
      <w:pPr>
        <w:jc w:val="both"/>
      </w:pPr>
      <w:r>
        <w:rPr>
          <w:sz w:val="20"/>
        </w:rPr>
        <w:tab/>
        <w:t>Sprzęt zostaje zakwalifikowany do likwidacji ze względu na niewspierany przez Microsoft system operacyjny, podzespoły, które nie pozwalając na komfortową pracę użytkownika z obecnie wykorzystywanymi aplikacjami w Grupie Azoty S.A.. Dysk twardy został wymontowany oraz wyczyszczono jego zawartość. Proszę rozpocząć procedurę likwidacji sprzętu.</w:t>
      </w:r>
    </w:p>
    <w:p>
      <w:r>
        <w:rPr>
          <w:sz w:val="20"/>
        </w:rPr>
        <w:br/>
        <w:t xml:space="preserve">Opinię sporządził: </w:t>
      </w:r>
    </w:p>
    <w:p>
      <w:r>
        <w:rPr>
          <w:sz w:val="20"/>
        </w:rPr>
        <w:tab/>
        <w:tab/>
        <w:tab/>
        <w:tab/>
        <w:tab/>
        <w:tab/>
        <w:tab/>
        <w:tab/>
        <w:t>Z poważaniem,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96"/>
      <w:gridCol w:w="3296"/>
      <w:gridCol w:w="3296"/>
    </w:tblGrid>
    <w:tr>
      <w:tc>
        <w:tcPr>
          <w:tcW w:type="dxa" w:w="4961"/>
          <w:tcBorders>
            <w:top w:val="single" w:sz="6" w:space="0" w:color="000000"/>
          </w:tcBorders>
        </w:tcPr>
        <w:p>
          <w:r>
            <w:rPr>
              <w:b w:val="0"/>
              <w:sz w:val="18"/>
            </w:rPr>
            <w:t>Grupa Azoty S.A.</w:t>
          </w:r>
          <w:r>
            <w:rPr>
              <w:b w:val="0"/>
              <w:sz w:val="16"/>
            </w:rPr>
            <w:br/>
            <w:t>Departament Korporacyjny Informatyki/Zespół Serwisu IT</w:t>
          </w:r>
        </w:p>
      </w:tc>
      <w:tc>
        <w:tcPr>
          <w:tcW w:type="dxa" w:w="2177"/>
          <w:tcBorders>
            <w:top w:val="single" w:sz="6" w:space="0" w:color="000000"/>
          </w:tcBorders>
        </w:tcPr>
        <w:p/>
      </w:tc>
      <w:tc>
        <w:tcPr>
          <w:tcW w:type="dxa" w:w="2750"/>
          <w:tcBorders>
            <w:top w:val="single" w:sz="6" w:space="0" w:color="000000"/>
          </w:tcBorders>
        </w:tcPr>
        <w:p>
          <w:pPr>
            <w:jc w:val="right"/>
          </w:pPr>
          <w:r>
            <w:rPr>
              <w:sz w:val="18"/>
            </w:rPr>
            <w:t xml:space="preserve">Strona </w:t>
            <w:fldChar w:fldCharType="begin"/>
            <w:instrText>PAGE</w:instrText>
            <w:fldChar w:fldCharType="separate"/>
            <w:fldChar w:fldCharType="end"/>
          </w:r>
          <w:r>
            <w:rPr>
              <w:sz w:val="18"/>
            </w:rPr>
            <w:t xml:space="preserve"> z </w:t>
          </w:r>
          <w:r>
            <w:rPr>
              <w:sz w:val="18"/>
            </w:rPr>
            <w:fldChar w:fldCharType="begin"/>
            <w:instrText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327"/>
      <w:gridCol w:w="6378"/>
      <w:gridCol w:w="1843"/>
    </w:tblGrid>
    <w:tr>
      <w:tc>
        <w:tcPr>
          <w:tcW w:type="dxa" w:w="1327"/>
        </w:tcPr>
        <w:p>
          <w:r>
            <w:drawing>
              <wp:inline xmlns:a="http://schemas.openxmlformats.org/drawingml/2006/main" xmlns:pic="http://schemas.openxmlformats.org/drawingml/2006/picture">
                <wp:extent cx="6768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8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8"/>
        </w:tcPr>
        <w:p>
          <w:pPr>
            <w:jc w:val="center"/>
          </w:pPr>
          <w:r>
            <w:rPr>
              <w:b/>
              <w:sz w:val="28"/>
            </w:rPr>
            <w:t>Opinia dot. stanu technicznego sprzętu komputerowego nr /2026</w:t>
          </w:r>
        </w:p>
      </w:tc>
      <w:tc>
        <w:tcPr>
          <w:tcW w:type="dxa" w:w="1843"/>
        </w:tcPr>
        <w:p>
          <w:pPr>
            <w:jc w:val="right"/>
          </w:pPr>
          <w:r>
            <w:rPr>
              <w:b w:val="0"/>
              <w:sz w:val="20"/>
            </w:rPr>
            <w:br/>
            <w:br/>
            <w:br/>
            <w:t>Data: 14.01.2026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rebuchet MS" w:hAnsi="Trebuchet M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