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4C" w:rsidRDefault="002E0F52">
      <w:r>
        <w:rPr>
          <w:rFonts w:hint="eastAsia"/>
        </w:rPr>
        <w:tab/>
      </w:r>
      <w:r>
        <w:rPr>
          <w:rFonts w:hint="eastAsia"/>
        </w:rPr>
        <w:t>习近平总书记绿水青山就是金山银山的两山理论包含了三重内涵：一，“既要绿水青山，又要金山银山”。两山理论指出，“绿水青山”和“金山银山”之间并非两者不可调和的对立关系，生态文明与经济建设是可以兼顾的。二，“宁要绿水青山，不要金山银山”。两山理论同时指出，绿水青山胜于金山银山，所谓留得青山在不怕没柴烧</w:t>
      </w:r>
      <w:r w:rsidR="00C03360">
        <w:rPr>
          <w:rFonts w:hint="eastAsia"/>
        </w:rPr>
        <w:t>。经济发展应建立在不破坏生态文明的条件之下，将绿水青山作为约束性前提，再来考虑如何增长经济。在无法做到兼顾的条件下，应当以生态文明优先。三，“绿水青山就是金山银山”</w:t>
      </w:r>
      <w:r w:rsidR="00962C82">
        <w:rPr>
          <w:rFonts w:hint="eastAsia"/>
        </w:rPr>
        <w:t>，两山理论指出了其实绿水青山与金山银山是可以相互转换的，就浅层来说，绿水青山是金山银山的物质资源，生态资源为经济发展与建设提供了基础保障。另一方面，绿水青山本身便是人类文明最重要的财富之一。没有了绿水青山，又何来金山银山，绿水青山就是金山银山，诠释了生态经济化和经济生态化的有机统一。</w:t>
      </w:r>
      <w:bookmarkStart w:id="0" w:name="_GoBack"/>
      <w:bookmarkEnd w:id="0"/>
    </w:p>
    <w:sectPr w:rsidR="0016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52"/>
    <w:rsid w:val="0016214C"/>
    <w:rsid w:val="002E0F52"/>
    <w:rsid w:val="00962C82"/>
    <w:rsid w:val="00C03360"/>
    <w:rsid w:val="00D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48E3-7680-4D66-A4B6-B02CDD4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2021-04-14T16:24:00Z</dcterms:created>
  <dcterms:modified xsi:type="dcterms:W3CDTF">2021-04-14T16:24:00Z</dcterms:modified>
</cp:coreProperties>
</file>