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### </w:t>
      </w:r>
      <w:proofErr w:type="spellStart"/>
      <w:r w:rsidRPr="000F4240">
        <w:rPr>
          <w:lang w:val="en-US"/>
        </w:rPr>
        <w:t>Tokenomics</w:t>
      </w:r>
      <w:proofErr w:type="spellEnd"/>
      <w:r w:rsidRPr="000F4240">
        <w:rPr>
          <w:lang w:val="en-US"/>
        </w:rPr>
        <w:t xml:space="preserve"> of the ///M3GA Project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**Total Token Supply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4 trillion M3GA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#### Token Distribution: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1. **ICO (Initial Coin Offering):**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**Amount of Tokens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1,200,000,000,000 M3GA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**Percentage of Total Supply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30%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**Description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Tokens allocated for the initial coin offering aimed at raising capital from public investors. These funds will be utilized for financing the development and marketing initiatives of the project.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2. **Development and Marketing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**Amount of Tokens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1,600,000,000,000 M3GA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**Percentage of Total Supply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40%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**Description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Tokens allocated for the ongoing development of the project and marketing efforts, including promoting the project and attracting new users.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3. **Development Team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**Amount of Tokens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600,000,000,000 M3GA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**Percentage of Total Supply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15%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**Description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Tokens intended for the development team will be issued with a vesting schedule and a cliff to ensure long-term motivation and retention of key team members.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4. **Reserve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**Amount of Tokens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400,000,000,000 M3GA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**Percentage of Total Supply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10%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lastRenderedPageBreak/>
        <w:t xml:space="preserve">   - **Description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Reserve tokens for future use in necessary operational, strategic, or contingency needs.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5. **Bounties and Airdrops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**Amount of Tokens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200,000,000,000 M3GA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**Percentage of Total Supply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5%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 xml:space="preserve">   - **Description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Tokens for marketing campaigns, bounties, and airdrops designed to stimulate the community and attract new users.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#### Use of Funds: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**Research and Development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50% of the funds raised during the ICO will be allocated to the development of new technologies and enhancement of existing protocols.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**Software Development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30% of the funds will be used to hire experienced developers.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**Security and Audit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 xml:space="preserve">* 10% of the funds will be directed towards ensuring </w:t>
      </w:r>
      <w:proofErr w:type="spellStart"/>
      <w:r w:rsidRPr="000F4240">
        <w:rPr>
          <w:lang w:val="en-US"/>
        </w:rPr>
        <w:t>blockchain</w:t>
      </w:r>
      <w:proofErr w:type="spellEnd"/>
      <w:r w:rsidRPr="000F4240">
        <w:rPr>
          <w:lang w:val="en-US"/>
        </w:rPr>
        <w:t xml:space="preserve"> security and conducting code audits to detect and eliminate potential vulnerabilities.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**Community and Partnerships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5% of the funds will be invested in developing the community and seeking strategic partners.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**Education and Outreach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The remaining 5% will be allocated to organizing educational events and campaigns to raise awareness about the benefits of the project.</w:t>
      </w:r>
    </w:p>
    <w:p w:rsidR="000F4240" w:rsidRPr="000F4240" w:rsidRDefault="000F4240" w:rsidP="000F4240">
      <w:pPr>
        <w:rPr>
          <w:lang w:val="en-US"/>
        </w:rPr>
      </w:pP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#### Unlock Schedule Post-TGE: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**At TGE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5% of the total tokens will be unlocked immediately to provide initial liquidity.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**Cliff Period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There is a 3-month cliff following TGE during which no additional tokens will be unlocked.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**At TGE + 1 Month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Post-cliff, 5% of the tokens will be unlocked.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**At TGE + 2 Months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An additional 5% of the tokens will be unlocked.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**At TGE + 3 Months</w:t>
      </w:r>
      <w:proofErr w:type="gramStart"/>
      <w:r w:rsidRPr="000F4240">
        <w:rPr>
          <w:lang w:val="en-US"/>
        </w:rPr>
        <w:t>:*</w:t>
      </w:r>
      <w:proofErr w:type="gramEnd"/>
      <w:r w:rsidRPr="000F4240">
        <w:rPr>
          <w:lang w:val="en-US"/>
        </w:rPr>
        <w:t>* Further 15% of the tokens will be unlocked, totaling 25% of the tokens unlocked by the end of the third month.</w:t>
      </w:r>
    </w:p>
    <w:p w:rsidR="000F4240" w:rsidRPr="000F4240" w:rsidRDefault="000F4240" w:rsidP="000F4240">
      <w:pPr>
        <w:rPr>
          <w:lang w:val="en-US"/>
        </w:rPr>
      </w:pPr>
      <w:r w:rsidRPr="000F4240">
        <w:rPr>
          <w:lang w:val="en-US"/>
        </w:rPr>
        <w:t>- **Vesting Period:** After the initial 25% unlock, the remaining tokens will vest linearly over 24 months, ensuring a gradual distribution to prevent market flooding and to maintain a vested interest from all parties.</w:t>
      </w:r>
    </w:p>
    <w:p w:rsidR="000F4240" w:rsidRPr="000F4240" w:rsidRDefault="000F4240" w:rsidP="000F4240">
      <w:pPr>
        <w:rPr>
          <w:lang w:val="en-US"/>
        </w:rPr>
      </w:pPr>
    </w:p>
    <w:p w:rsidR="00D71C4E" w:rsidRPr="000F4240" w:rsidRDefault="000F4240" w:rsidP="000F4240">
      <w:pPr>
        <w:rPr>
          <w:lang w:val="en-US"/>
        </w:rPr>
      </w:pPr>
    </w:p>
    <w:sectPr w:rsidR="00D71C4E" w:rsidRPr="000F4240" w:rsidSect="006F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F4240"/>
    <w:rsid w:val="000F4240"/>
    <w:rsid w:val="002C68E5"/>
    <w:rsid w:val="00585772"/>
    <w:rsid w:val="006F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Igals</dc:creator>
  <cp:lastModifiedBy>Markus Igals</cp:lastModifiedBy>
  <cp:revision>1</cp:revision>
  <dcterms:created xsi:type="dcterms:W3CDTF">2024-05-07T07:32:00Z</dcterms:created>
  <dcterms:modified xsi:type="dcterms:W3CDTF">2024-05-07T07:34:00Z</dcterms:modified>
</cp:coreProperties>
</file>