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chl5r5t9th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Дослідження способів роботи з медіаданими</w:t>
        <w:br w:type="textWrapping"/>
      </w: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Ознайомитися з можливостями Android для обробки аудіо- та відеофайлів.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a8lu4yw7ld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Хід роботи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Реалізовано Android-додаток, який дозволяє відтворювати аудіо- та відеофайли, що зберігаються у внутрішньому сховищі пристрою.</w:t>
        <w:br w:type="textWrapping"/>
        <w:t xml:space="preserve"> Для реалізації використано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 modules expo-video ( Для програвання та відтворення відео) expo-image-picker ( для доступу до system UI), expo-document-picker ( для доступу до файлової системи ) та expo-audio ( для програвання аудіо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8o1en0y4oum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Висновки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Отримано практичні навички роботи з медіа інструментами Android. Реалізовано базову функціональність програвання аудіо та відео з внутрішнього сховища.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