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3864"/>
          <w:sz w:val="56"/>
          <w:szCs w:val="56"/>
        </w:rPr>
        <w:t xml:space="preserve">读懂股指涨跌的真相</w:t>
      </w:r>
    </w:p>
    <w:p>
      <w:pPr>
        <w:spacing w:after="0" w:before="120"/>
        <w:jc w:val="center"/>
      </w:pPr>
      <w:r>
        <w:rPr>
          <w:color w:val="595959"/>
          <w:sz w:val="30"/>
          <w:szCs w:val="30"/>
        </w:rPr>
        <w:t xml:space="preserve">从连续复利到 A 股长期表现评估</w:t>
      </w:r>
    </w:p>
    <w:p>
      <w:pPr>
        <w:spacing w:after="0" w:before="600"/>
        <w:jc w:val="center"/>
      </w:pPr>
      <w:r>
        <w:rPr>
          <w:i/>
          <w:iCs/>
          <w:color w:val="595959"/>
          <w:sz w:val="22"/>
          <w:szCs w:val="22"/>
        </w:rPr>
        <w:t xml:space="preserve">一次对话的完整梳理</w:t>
      </w:r>
    </w:p>
    <w:p>
      <w:pPr>
        <w:spacing w:after="0" w:before="2400"/>
        <w:jc w:val="center"/>
      </w:pPr>
      <w:r>
        <w:rPr>
          <w:color w:val="595959"/>
          <w:sz w:val="20"/>
          <w:szCs w:val="20"/>
        </w:rPr>
        <w:t xml:space="preserve">整理日期：2026年5月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　连续复利：度量涨跌的数学基础</w:t>
      </w:r>
    </w:p>
    <w:p>
      <w:pPr>
        <w:spacing w:after="140" w:line="288"/>
      </w:pPr>
      <w:r>
        <w:rPr>
          <w:b/>
          <w:bCs/>
        </w:rPr>
        <w:t xml:space="preserve">这一章是整份文档的工具箱。</w:t>
      </w:r>
      <w:r>
        <w:t xml:space="preserve">后面所有对股指涨跌的分析，用的都是这一章里的一个核心公式。把它讲透，后面的结论才站得稳。</w:t>
      </w:r>
    </w:p>
    <w:p>
      <w:pPr>
        <w:pStyle w:val="Heading2"/>
      </w:pPr>
      <w:r>
        <w:t xml:space="preserve">1.1　从普通复利到连续复利</w:t>
      </w:r>
    </w:p>
    <w:p>
      <w:pPr>
        <w:spacing w:after="140" w:line="288"/>
      </w:pPr>
      <w:r>
        <w:t xml:space="preserve">复利的本质是“利滚利”。如果本金 A、年利率 r，一年计息 m 次，n 年后的终值是 A·(1 + r/m)^(mn)。当计息频率 m 不断加密、直到“每时每刻都在计息”，就得到连续复利——这正是讨论的起点那张幻灯片所展示的内容。</w:t>
      </w:r>
    </w:p>
    <w:p>
      <w:pPr>
        <w:spacing w:after="140" w:line="288"/>
      </w:pPr>
      <w:r>
        <w:t xml:space="preserve">当 m 趋向无穷大时，这个极限收敛到一个简洁的指数形式：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276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连续复利终值公式：  Sₜ = S₀ · e^(r·n)</w:t>
            </w:r>
          </w:p>
          <w:p>
            <w:pPr>
              <w:spacing w:after="0" w:line="276"/>
            </w:pPr>
            <w:r>
              <w:rPr>
                <w:color w:val="595959"/>
                <w:sz w:val="18"/>
                <w:szCs w:val="18"/>
              </w:rPr>
              <w:t xml:space="preserve">（A 为本金/初值，r 为连续复利利率，n 为年数，e≈2.71828）</w:t>
            </w:r>
          </w:p>
        </w:tc>
      </w:tr>
    </w:tbl>
    <w:p>
      <w:pPr>
        <w:pStyle w:val="Heading2"/>
      </w:pPr>
      <w:r>
        <w:t xml:space="preserve">1.2　幻灯片里的两个公式</w:t>
      </w:r>
    </w:p>
    <w:p>
      <w:pPr>
        <w:spacing w:after="140" w:line="288"/>
      </w:pPr>
      <w:r>
        <w:t xml:space="preserve">对话从下面这张幻灯片开始。它给出了连续复利的终值公式，以及连续复利与普通（按期）复利之间的换算关系：</w:t>
      </w:r>
    </w:p>
    <w:p>
      <w:pPr>
        <w:spacing w:after="80" w:before="80"/>
        <w:jc w:val="center"/>
      </w:pPr>
      <w:r>
        <w:drawing>
          <wp:inline distT="0" distB="0" distL="0" distR="0">
            <wp:extent cx="41148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图 1：对话起点——连续复利终值公式与换算公式</w:t>
      </w:r>
    </w:p>
    <w:p>
      <w:pPr>
        <w:spacing w:after="140" w:line="288"/>
      </w:pPr>
      <w:r>
        <w:rPr>
          <w:b/>
          <w:bCs/>
        </w:rPr>
        <w:t xml:space="preserve">两个换算公式的用途：</w:t>
      </w:r>
      <w:r>
        <w:t xml:space="preserve">把市场上不同计息方式的报价利率，统一换算成连续复利，方便代入模型：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由按期利率求连续利率： </w:t>
      </w:r>
      <w:r>
        <w:t xml:space="preserve">r = m · ln(1 + r_m / 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由连续利率求按期利率： </w:t>
      </w:r>
      <w:r>
        <w:t xml:space="preserve">r_m = m · (e^(r/m) − 1)</w:t>
      </w:r>
    </w:p>
    <w:p>
      <w:pPr>
        <w:spacing w:after="140" w:line="288"/>
      </w:pPr>
      <w:r>
        <w:t xml:space="preserve">这一步看似只是“换个写法”，但它让所有利率都能在同一把尺子下比较，是后面跨市场比较的前提。</w:t>
      </w:r>
    </w:p>
    <w:p>
      <w:pPr>
        <w:pStyle w:val="Heading2"/>
      </w:pPr>
      <w:r>
        <w:t xml:space="preserve">1.3　核心用途：把“涨跌幅”定义成对数收益率</w:t>
      </w:r>
    </w:p>
    <w:p>
      <w:pPr>
        <w:spacing w:after="140" w:line="288"/>
      </w:pPr>
      <w:r>
        <w:t xml:space="preserve">在股票涨跌的语境里，连续复利最重要的作用，是把价格从 S₀ 变到 Sₜ 的这段涨跌，用终值公式反解出来：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864"/>
                <w:sz w:val="23"/>
                <w:szCs w:val="23"/>
              </w:rPr>
              <w:t xml:space="preserve">r = ln( Sₜ / S₀ )    ——  这就是“对数收益率（连续复利收益率）”</w:t>
            </w:r>
          </w:p>
        </w:tc>
      </w:tr>
    </w:tbl>
    <w:p>
      <w:pPr>
        <w:spacing w:after="140" w:line="288"/>
      </w:pPr>
      <w:r>
        <w:t xml:space="preserve">它与日常说的简单收益率 (Sₜ − S₀)/S₀ 不同。金融工程里普遍偏爱对数收益率，原因有三：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时间可加性。</w:t>
      </w:r>
      <w:r>
        <w:t xml:space="preserve">逐日的对数收益率可以直接相加，等于整段时间的对数收益率；简单收益率只能相乘，处理多期时麻烦得多。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涨跌对称。</w:t>
      </w:r>
      <w:r>
        <w:t xml:space="preserve">先涨后跌同样幅度，用对数收益率是对称的；而且因为 e^(r·n) 恒大于 0，它天然隐含了“股价不会变成负数”这一现实约束。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便于建模。</w:t>
      </w:r>
      <w:r>
        <w:t xml:space="preserve">主流股价模型（几何布朗运动，也是 Black-Scholes 期权定价的基础）假设连续复利收益率服从正态分布，于是股价服从对数正态分布。连续复利是“长”在模型里的。</w:t>
      </w:r>
    </w:p>
    <w:p>
      <w:pPr>
        <w:pStyle w:val="Heading2"/>
      </w:pPr>
      <w:r>
        <w:t xml:space="preserve">1.4　本文最关键的一步：年化连续复利</w:t>
      </w:r>
    </w:p>
    <w:p>
      <w:pPr>
        <w:spacing w:after="140" w:line="288"/>
      </w:pPr>
      <w:r>
        <w:t xml:space="preserve">把上面的对数收益率除以年数 n，就得到</w:t>
      </w:r>
      <w:r>
        <w:rPr>
          <w:b/>
          <w:bCs/>
        </w:rPr>
        <w:t xml:space="preserve">年化连续复利收益率</w:t>
      </w:r>
      <w:r>
        <w:t xml:space="preserve">，这是贯穿全文、用来“去掉障眼法”的核心工具：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年化连续复利：  r = (1/n) · ln( Sₜ / S₀ )</w:t>
            </w:r>
          </w:p>
        </w:tc>
      </w:tr>
    </w:tbl>
    <w:p>
      <w:pPr>
        <w:spacing w:after="140" w:line="288"/>
      </w:pPr>
      <w:r>
        <w:rPr>
          <w:b/>
          <w:bCs/>
        </w:rPr>
        <w:t xml:space="preserve">为什么它能看清真相？</w:t>
      </w:r>
      <w:r>
        <w:t xml:space="preserve"> 注意这个式子里，终点 Sₜ（今天的点位）是客观的、谁也改不了；唯一能被人“挑选”的是分母 S₀，也就是起点。这意味着——任何“从某年至今涨/跌了百分之多少”的统计，最大的操纵空间就在于选哪一年做起点。这把钥匙打开了第二、三章的全部分析。</w:t>
      </w:r>
    </w:p>
    <w:p>
      <w:r>
        <w:br w:type="page"/>
      </w:r>
    </w:p>
    <w:p>
      <w:pPr>
        <w:pStyle w:val="Heading1"/>
      </w:pPr>
      <w:r>
        <w:t xml:space="preserve">第二章　一张“各国股指对比图”的解剖</w:t>
      </w:r>
    </w:p>
    <w:p>
      <w:pPr>
        <w:spacing w:after="140" w:line="288"/>
      </w:pPr>
      <w:r>
        <w:t xml:space="preserve">对话的第二张图是一张在社交媒体流传的对比图，标题为“世界主要大盘指数 2007 年至今涨跌幅”。它把中国上证指数标为 −35%，而美国纳斯达克 +500%、印度 +390% 等等，视觉冲击力很强。</w:t>
      </w:r>
    </w:p>
    <w:p>
      <w:pPr>
        <w:spacing w:after="80" w:before="80"/>
        <w:jc w:val="center"/>
      </w:pPr>
      <w:r>
        <w:drawing>
          <wp:inline distT="0" distB="0" distL="0" distR="0">
            <wp:extent cx="257175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图 2：被解剖的“各国股指对比图”</w:t>
      </w:r>
    </w:p>
    <w:p>
      <w:pPr>
        <w:pStyle w:val="Heading2"/>
      </w:pPr>
      <w:r>
        <w:t xml:space="preserve">2.1　数字基本属实，但起点是精心挑选的</w:t>
      </w:r>
    </w:p>
    <w:p>
      <w:pPr>
        <w:spacing w:after="140" w:line="288"/>
      </w:pPr>
      <w:r>
        <w:t xml:space="preserve">先承认：上证从 2007 年高点算确实是负的。2007 年 10 月上证冲到历史最高 6124 点，当时整体市盈率高达 50–70 倍，是一轮极端泡沫的顶峰。把统计起点钉在一个市场有史以来最贵的那一天，几乎能保证后面怎么算都难看。</w:t>
      </w:r>
    </w:p>
    <w:p>
      <w:pPr>
        <w:spacing w:after="140" w:line="288"/>
      </w:pPr>
      <w:r>
        <w:t xml:space="preserve">用第一章的年化连续复利换个起点，结论立刻反转（终点都取现值约 4100 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上证的起点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累计涨跌幅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年化连续复利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2007 年 10 月（历史大顶）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−33%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−2.2%/年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2007 年初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+50%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正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2005 年千点底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+300%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+6.7%/年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1990 年上市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+4000%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约 +10%/年</w:t>
            </w:r>
          </w:p>
        </w:tc>
      </w:tr>
    </w:tbl>
    <w:p>
      <w:pPr>
        <w:spacing w:after="140" w:line="288"/>
      </w:pPr>
      <w:r>
        <w:t xml:space="preserve">2007 年 10 月这个起点，几乎是中国市场所有可能起点里最差的一个。</w:t>
      </w:r>
    </w:p>
    <w:p>
      <w:pPr>
        <w:pStyle w:val="Heading2"/>
      </w:pPr>
      <w:r>
        <w:t xml:space="preserve">2.2　四种叠加在一起的手法</w:t>
      </w:r>
    </w:p>
    <w:p>
      <w:pPr>
        <w:spacing w:after="140" w:line="288"/>
      </w:pPr>
      <w:r>
        <w:t xml:space="preserve">这张图之所以失真，是四种选择叠加的结果，每一种都朝着“让 A 股最难看”的方向：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挑泡沫顶做基期。</w:t>
      </w:r>
      <w:r>
        <w:t xml:space="preserve">2007 对中国是历史绝顶，对纳斯达克只是危机前的普通高位——同一年份，对不同市场意义完全不同。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用累计而非年化。</w:t>
      </w:r>
      <w:r>
        <w:t xml:space="preserve">“18 年累计 −35% vs +500%”比“年化 −2% vs +10%”要耸人听闻得多。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口径不统一（含不含分红）。</w:t>
      </w:r>
      <w:r>
        <w:t xml:space="preserve">图中德国 DAX 是少见的全收益指数（含分红再投资），而上证是纯价格指数（不含分红）。拿含分红的去比不含分红的，先天就高一截。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成分不可比。</w:t>
      </w:r>
      <w:r>
        <w:t xml:space="preserve">纳斯达克偏科技、吃满 AI 浪潮，上证权重压在银行能源等传统行业，结构差异本身就解释了大部分差距。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2D2D"/>
              </w:rPr>
              <w:t xml:space="preserve">结论：是不是“故意抹黑”？</w:t>
            </w:r>
          </w:p>
          <w:p>
            <w:pPr>
              <w:spacing w:after="80" w:line="276"/>
            </w:pPr>
            <w:r>
              <w:t xml:space="preserve">这是一张被精心挑过角度的真数据——既不能简单说成造假，也绝不能当成客观结论。是恶意、偷懒还是博眼球，从一张图看不出来，不必替任何一方下结论。</w:t>
            </w:r>
          </w:p>
          <w:p>
            <w:pPr>
              <w:spacing w:after="0" w:line="276"/>
            </w:pPr>
            <w:r>
              <w:t xml:space="preserve">但也要诚实承认另一面：A 股长期跑输（2007 泡沫、IPO 扩容稀释、牛短熊长、散户主导的高波动等）是真实存在、值得正视的问题。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第三章　上证指数 1990–2026 的连续复利评估</w:t>
      </w:r>
    </w:p>
    <w:p>
      <w:pPr>
        <w:spacing w:after="140" w:line="288"/>
      </w:pPr>
      <w:r>
        <w:t xml:space="preserve">基于第一章的工具，对上证做了一份分年代的评估，核心是把“−35%”拆开，看清它到底由什么构成。</w:t>
      </w:r>
    </w:p>
    <w:p>
      <w:pPr>
        <w:pStyle w:val="Heading2"/>
      </w:pPr>
      <w:r>
        <w:t xml:space="preserve">3.1　基期决定一切</w:t>
      </w:r>
    </w:p>
    <w:p>
      <w:pPr>
        <w:spacing w:after="140" w:line="288"/>
      </w:pPr>
      <w:r>
        <w:t xml:space="preserve">终点固定在今天约 4100 点，只换起点，年化连续复利的真实分布如下。36 个年末起点里绝大多数为正，只有 2000、2007、2015 三个泡沫顶附近为负：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起点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年化连续复利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1990 上市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+9.8%/年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2008 危机底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+4.7%/年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2000 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+2.7%/年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2015 杠杆牛顶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+1.4%/年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2007 历史大顶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−1.4 ~ −2.2%/年</w:t>
            </w:r>
          </w:p>
        </w:tc>
      </w:tr>
    </w:tbl>
    <w:p>
      <w:pPr>
        <w:pStyle w:val="Heading2"/>
      </w:pPr>
      <w:r>
        <w:t xml:space="preserve">3.2　−35% 几乎全是“估值泡沫破灭”，不是企业不赚钱</w:t>
      </w:r>
    </w:p>
    <w:p>
      <w:pPr>
        <w:spacing w:after="140" w:line="288"/>
      </w:pPr>
      <w:r>
        <w:t xml:space="preserve">把 2007 顶到今天的指数变化用连续复利拆开，这是整份评估最关键的一步：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企业盈利：</w:t>
      </w:r>
      <w:r>
        <w:t xml:space="preserve">年化约 +4.7%（公司实打实在成长，盈利涨了约 2.4 倍）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市盈率：</w:t>
      </w:r>
      <w:r>
        <w:t xml:space="preserve">从约 50 倍压到约 14 倍，年化约 −6.8%（纯粹是泡沫回归）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两者相抵：</w:t>
      </w:r>
      <w:r>
        <w:t xml:space="preserve">价格年化约 −2.2%，正好对上 −35% 的累计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再加分红：</w:t>
      </w:r>
      <w:r>
        <w:t xml:space="preserve">每年约 2%，含分红总回报年化约 −0.15%，基本打平</w:t>
      </w:r>
    </w:p>
    <w:p>
      <w:pPr>
        <w:spacing w:after="140" w:line="288"/>
      </w:pPr>
      <w:r>
        <w:t xml:space="preserve">换言之，“−35%”的锅几乎全在</w:t>
      </w:r>
      <w:r>
        <w:rPr>
          <w:b/>
          <w:bCs/>
        </w:rPr>
        <w:t xml:space="preserve">“2007 年买在 50 倍市盈率的天价”</w:t>
      </w:r>
      <w:r>
        <w:t xml:space="preserve">，而不是“公司没成长”。这是用连续复利分解后才看得清的真相。</w:t>
      </w:r>
    </w:p>
    <w:p>
      <w:pPr>
        <w:pStyle w:val="Heading2"/>
      </w:pPr>
      <w:r>
        <w:t xml:space="preserve">3.3　经济与股权财富其实涨了几十倍</w:t>
      </w:r>
    </w:p>
    <w:p>
      <w:pPr>
        <w:spacing w:after="140" w:line="288"/>
      </w:pPr>
      <w:r>
        <w:t xml:space="preserve">1990 到 2025：名义 GDP 约 ×74，A 股总市值从不足百亿涨到约 130 万亿，上市公司从约 10 家增至约 5400 家，而上证综指只 ×40。中国经济的股权价值增长，主要体现为“更多公司 + 更大市值”，而非“更高的指数点位”；上证综指作为价格指数、又受新股高价纳入等编制问题拖累，系统性低估了整体回报。</w:t>
      </w:r>
    </w:p>
    <w:p>
      <w:r>
        <w:br w:type="page"/>
      </w:r>
    </w:p>
    <w:p>
      <w:pPr>
        <w:pStyle w:val="Heading1"/>
      </w:pPr>
      <w:r>
        <w:t xml:space="preserve">第四章　换一把更准的尺子：A500、沪深300 与指数选择</w:t>
      </w:r>
    </w:p>
    <w:p>
      <w:pPr>
        <w:spacing w:after="140" w:line="288"/>
      </w:pPr>
      <w:r>
        <w:t xml:space="preserve">对话中讨论到一个重要观点：研究 A 股不应只盯着上证综指，更专业的标尺是沪深300 和中证500/A500。这个方向是对的，但也有边界。</w:t>
      </w:r>
    </w:p>
    <w:p>
      <w:pPr>
        <w:pStyle w:val="Heading2"/>
      </w:pPr>
      <w:r>
        <w:t xml:space="preserve">4.1　上证综指的编制硬伤（换尺子的理由）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按总股本加权，而非自由流通股本——中石油等限售大盘股权重虚高，散户实际买不到那么多。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2020 年前新股上市第 11 天即高位纳入，A 股新股常被爆炒，等于系统性“高买”。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长期把 ST、亏损股也计入。</w:t>
      </w:r>
    </w:p>
    <w:p>
      <w:pPr>
        <w:spacing w:after="140" w:line="288"/>
      </w:pPr>
      <w:r>
        <w:t xml:space="preserve">这些问题严重到上交所在 2020 年 7 月做了发布以来首次大修订（剔除 ST、延迟新股纳入、纳入科创板）。编制方自己都承认上证综指失真。</w:t>
      </w:r>
    </w:p>
    <w:p>
      <w:pPr>
        <w:pStyle w:val="Heading2"/>
      </w:pPr>
      <w:r>
        <w:t xml:space="preserve">4.2　几个关键指数的对标关系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100"/>
        <w:gridCol w:w="9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代码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发布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成份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对标/定位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沪深300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000300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大盘蓝筹，类标普500（市值版）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中证500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000905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中盘成长，类标普中盘400/罗素2000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中证A500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000510.CSI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行业均衡，中国版标普500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中证A100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000984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各行业最大龙头，类标普100/道指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创业板指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399006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成长科技，中国版纳斯达克100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科创50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000688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硬科技，半导体含量高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2D2D"/>
              </w:rPr>
              <w:t xml:space="preserve">两个容易踩的坑</w:t>
            </w:r>
          </w:p>
          <w:p>
            <w:pPr>
              <w:spacing w:after="80" w:line="276"/>
            </w:pPr>
            <w:r>
              <w:rPr>
                <w:b/>
                <w:bCs/>
              </w:rPr>
              <w:t xml:space="preserve">① 代码撞号：</w:t>
            </w:r>
            <w:r>
              <w:t xml:space="preserve">指数代码与股票代码是两套体系。中证A500 指数是 000510.CSI，但在行情软件里敲 000510 会跳到沪市股票“新金路”。能交易的是各家的 A500 ETF（六位产品代码，各不相同）。</w:t>
            </w:r>
          </w:p>
          <w:p>
            <w:pPr>
              <w:spacing w:after="0" w:line="276"/>
            </w:pPr>
            <w:r>
              <w:rPr>
                <w:b/>
                <w:bCs/>
              </w:rPr>
              <w:t xml:space="preserve">② 名字误导：</w:t>
            </w:r>
            <w:r>
              <w:t xml:space="preserve">中证500 不对标标普500——前者是中盘、后者是大盘。中证500（中盘，第301–800名）与中证A500（大盘行业龙头）数字像但定位相反。</w:t>
            </w:r>
          </w:p>
        </w:tc>
      </w:tr>
    </w:tbl>
    <w:p>
      <w:pPr>
        <w:pStyle w:val="Heading2"/>
      </w:pPr>
      <w:r>
        <w:t xml:space="preserve">4.3　新指数的“回测陷阱”</w:t>
      </w:r>
    </w:p>
    <w:p>
      <w:pPr>
        <w:spacing w:after="140" w:line="288"/>
      </w:pPr>
      <w:r>
        <w:rPr>
          <w:b/>
          <w:bCs/>
        </w:rPr>
        <w:t xml:space="preserve">这是第四章最重要的一条。</w:t>
      </w:r>
      <w:r>
        <w:t xml:space="preserve">中证A500、A100、科创50 等都是近年才发布的新指数，基日却回溯到很早（A500 基日 2004 年底，2024 年才发布）。发布之前的曲线全是事后用今天的选股规则反推出来的回测，天然偏向“后来胜出的公司”，存在幸存者偏差。</w:t>
      </w:r>
    </w:p>
    <w:p>
      <w:pPr>
        <w:spacing w:after="140" w:line="288"/>
      </w:pPr>
      <w:r>
        <w:t xml:space="preserve">证据：自 2004 年末基日到 2025 年底，A500 累计约 +459%、沪深300 约 +362%，A500“跑赢”约 97 个百分点。但二者基日相同、且 A500 这段几乎全是回测，这份超额很大程度就是“用今天的赢家回看过去”刷出来的水分，不能当作 A500 未来也会跑赢的证据。真正干净可比的，是 2024 年 9 月 A500 发布之后的实盘走势。</w:t>
      </w:r>
    </w:p>
    <w:p>
      <w:pPr>
        <w:pStyle w:val="Heading2"/>
      </w:pPr>
      <w:r>
        <w:t xml:space="preserve">4.4　换尺子之后的结论</w:t>
      </w:r>
    </w:p>
    <w:p>
      <w:pPr>
        <w:spacing w:after="140" w:line="288"/>
      </w:pPr>
      <w:r>
        <w:t xml:space="preserve">统一用价格指数口径，现代段（2005 至今）的年化连续复利：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自基日累计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年化连续复利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数据性质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1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中证A500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1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+459%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1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1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2024.9后真实/前回测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沪深300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+362%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2005起真实，最可比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上证综指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+229%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全程真实但编制失真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第四章小结</w:t>
            </w:r>
          </w:p>
          <w:p>
            <w:pPr>
              <w:spacing w:after="80" w:line="276"/>
            </w:pPr>
            <w:r>
              <w:t xml:space="preserve">用对的尺子（沪深300/A500、自由流通加权、可比基期），A 股核心资产长期年化（价格口径）约 7–8%，含分红更高，与名义 GDP 增速大体匹配，并不弱。</w:t>
            </w:r>
          </w:p>
          <w:p>
            <w:pPr>
              <w:spacing w:after="0" w:line="276"/>
            </w:pPr>
            <w:r>
              <w:t xml:space="preserve">朋友“别只盯上证、去看 A500/沪深300”的方向正确；但“永远别碰上证”过头了——研究 1990–2005 这段长河，沪深300/A500 当时还不存在，上证是唯一可用的尺子。正确做法是分工：2005 年后用 A500/沪深300（且看含分红的全收益版），2005 年前那段用上证并标注失真。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第五章　路线A 实测：公平校正后，各国到底涨了多少</w:t>
      </w:r>
    </w:p>
    <w:p>
      <w:pPr>
        <w:spacing w:after="140" w:line="288"/>
      </w:pPr>
      <w:r>
        <w:t xml:space="preserve">前四章把</w:t>
      </w:r>
      <w:r>
        <w:rPr>
          <w:b/>
          <w:bCs/>
        </w:rPr>
        <w:t xml:space="preserve">方法</w:t>
      </w:r>
      <w:r>
        <w:t xml:space="preserve">讲清了，这一章做一次</w:t>
      </w:r>
      <w:r>
        <w:rPr>
          <w:b/>
          <w:bCs/>
        </w:rPr>
        <w:t xml:space="preserve">实测</w:t>
      </w:r>
      <w:r>
        <w:t xml:space="preserve">：把那张图的口径全部校正——统一用“2007年底→2026年5月、价格指数、本币”，并把每个国家换成与中国上证“同类型”的指数（去掉选样水分与分红水分）。结果如下图。</w:t>
      </w:r>
    </w:p>
    <w:p>
      <w:pPr>
        <w:spacing w:after="80" w:before="80"/>
        <w:jc w:val="center"/>
      </w:pPr>
      <w:r>
        <w:drawing>
          <wp:inline distT="0" distB="0" distL="0" distR="0">
            <wp:extent cx="44577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图 3：路线A 公平校正后，各国年化连续复利（柱末为同期累计涨幅）</w:t>
      </w:r>
    </w:p>
    <w:p>
      <w:pPr>
        <w:pStyle w:val="Heading2"/>
      </w:pPr>
      <w:r>
        <w:t xml:space="preserve">5.1　两类效应必须分开看</w:t>
      </w:r>
    </w:p>
    <w:p>
      <w:pPr>
        <w:spacing w:after="140" w:line="288"/>
      </w:pPr>
      <w:r>
        <w:t xml:space="preserve">看这张图最容易犯的错，是把两件本质不同的事混为一谈。数字相对原图发生变化，其实有</w:t>
      </w:r>
      <w:r>
        <w:rPr>
          <w:b/>
          <w:bCs/>
        </w:rPr>
        <w:t xml:space="preserve">两类完全不同的原因</w:t>
      </w:r>
      <w:r>
        <w:t xml:space="preserve">：</w:t>
      </w:r>
    </w:p>
    <w:p>
      <w:pPr>
        <w:spacing w:after="140" w:line="288"/>
      </w:pPr>
      <w:r>
        <w:rPr>
          <w:b/>
          <w:bCs/>
        </w:rPr>
        <w:t xml:space="preserve">第一类·公平性修正（这才是“揭穿不公平”）。</w:t>
      </w:r>
      <w:r>
        <w:t xml:space="preserve">只有中国、日本、德国主要受这一类影响。日本从原图日经225 的 +290% 降到 TOPIX 的约 +165%——日经225 是“挑225只 + 按股价加权”的怪算法，换成宽基、自由流通的 TOPIX 后，选样水分被挤掉。德国从含分红的 +250% 换成纯价格版后大幅缩水——分红水分最夸张。中国则是“基期从泡沫顶挪到年底 + 上证换成自由流通的沪深300”两步叠加，从 −35% 回到约 −8%。</w:t>
      </w:r>
    </w:p>
    <w:p>
      <w:pPr>
        <w:spacing w:after="140" w:line="288"/>
      </w:pPr>
      <w:r>
        <w:rPr>
          <w:b/>
          <w:bCs/>
        </w:rPr>
        <w:t xml:space="preserve">第二类·纯时效（与公平无关）。</w:t>
      </w:r>
      <w:r>
        <w:t xml:space="preserve">美国、韩国、印度的柱子比原图还高，不是因为做了任何修正，而是原图本身已经过时——算到 2026年5月，这一两年又涨了一大截，韩国 KOSPI 尤其夸张（现已约 8476 点，而原图 +190% 对应约 5500 点）。这一类不是“揭穿”，只是“数据更新”。</w:t>
      </w:r>
    </w:p>
    <w:p>
      <w:pPr>
        <w:pStyle w:val="Heading2"/>
      </w:pPr>
      <w:r>
        <w:t xml:space="preserve">5.2　诚实的三层结论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那张图确实做了手脚。</w:t>
      </w:r>
      <w:r>
        <w:t xml:space="preserve">通过“挑泡沫顶基期 + 给中国用失真的上证 + 混入含分红的德国 + 用过时数据”做大反差，这些都是真实的操纵或失真。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校正后，−35% 这个耸人听闻的数字消失了。</w:t>
      </w:r>
      <w:r>
        <w:t xml:space="preserve">统一口径后中国约为年化 −0.4%、累计 −8%。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但中国仍是这批里垫底的，这一点抹不掉。</w:t>
      </w:r>
      <w:r>
        <w:t xml:space="preserve">年化微负，而别国都是正的。如第三章所分解，这主要是 2007年50倍市盈率的估值泡沫回归 + A股自身问题。换指数、换基期能还原真相、挤掉别人的水分，但改变不了“A股长期确实跑输”这一事实。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2D2D"/>
              </w:rPr>
              <w:t xml:space="preserve">数据可信度说明（诚实标注）</w:t>
            </w:r>
          </w:p>
          <w:p>
            <w:pPr>
              <w:spacing w:after="80" w:line="276"/>
            </w:pPr>
            <w:r>
              <w:t xml:space="preserve">德国 DAX 价格版那根为灰色——其 2007 年底基准未取得干净数据，柱值为估算（故标“?”）。</w:t>
            </w:r>
          </w:p>
          <w:p>
            <w:pPr>
              <w:spacing w:after="80" w:line="276"/>
            </w:pPr>
            <w:r>
              <w:t xml:space="preserve">印度 NIFTY 500、澳洲 All Ords 的 2007 基准为常用近似值（浅蓝）；美、日、韩为公认历史收盘值（深蓝）。</w:t>
            </w:r>
          </w:p>
          <w:p>
            <w:pPr>
              <w:spacing w:after="0" w:line="276"/>
            </w:pPr>
            <w:r>
              <w:t xml:space="preserve">英国 FTSE 全股未取得可靠数据，未纳入；中国以沪深300 代替中证800（走势相近，但其 2007 基准亦未精确锁定）。这些待专业数据源（Wind/彭博）补全后可换为精确值。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第六章　方法论清单：如何合理评估一国股指</w:t>
      </w:r>
    </w:p>
    <w:p>
      <w:pPr>
        <w:spacing w:after="140" w:line="288"/>
      </w:pPr>
      <w:r>
        <w:t xml:space="preserve">把全文的经验浓缩成一份检查表。看到任何“从某年至今涨跌 X%”的对比图，都可以拿它逐条核对：</w:t>
      </w:r>
    </w:p>
    <w:p>
      <w:pPr>
        <w:spacing w:after="20" w:before="60"/>
      </w:pPr>
      <w:r>
        <w:rPr>
          <w:b/>
          <w:bCs/>
          <w:color w:val="1F3864"/>
          <w:sz w:val="21"/>
          <w:szCs w:val="21"/>
        </w:rPr>
        <w:t xml:space="preserve">1. 可比基期</w:t>
      </w:r>
    </w:p>
    <w:p>
      <w:pPr>
        <w:spacing w:after="100" w:line="276"/>
      </w:pPr>
      <w:r>
        <w:rPr>
          <w:sz w:val="20"/>
          <w:szCs w:val="20"/>
        </w:rPr>
        <w:t xml:space="preserve">别钉在某市场的泡沫顶。2007 对中国是历史大顶、对纳指只是普通高位。取多个基期或足够长的全程，稀释单点敏感性。</w:t>
      </w:r>
    </w:p>
    <w:p>
      <w:pPr>
        <w:spacing w:after="20" w:before="60"/>
      </w:pPr>
      <w:r>
        <w:rPr>
          <w:b/>
          <w:bCs/>
          <w:color w:val="1F3864"/>
          <w:sz w:val="21"/>
          <w:szCs w:val="21"/>
        </w:rPr>
        <w:t xml:space="preserve">2. 年化而非累计</w:t>
      </w:r>
    </w:p>
    <w:p>
      <w:pPr>
        <w:spacing w:after="100" w:line="276"/>
      </w:pPr>
      <w:r>
        <w:rPr>
          <w:sz w:val="20"/>
          <w:szCs w:val="20"/>
        </w:rPr>
        <w:t xml:space="preserve">统一用 r=(1/n)·ln(Sₜ/S₀) 年化。把“累计 −35% vs +500%”还原成“年化 −2% vs +10%”，去掉放大镜。</w:t>
      </w:r>
    </w:p>
    <w:p>
      <w:pPr>
        <w:spacing w:after="20" w:before="60"/>
      </w:pPr>
      <w:r>
        <w:rPr>
          <w:b/>
          <w:bCs/>
          <w:color w:val="1F3864"/>
          <w:sz w:val="21"/>
          <w:szCs w:val="21"/>
        </w:rPr>
        <w:t xml:space="preserve">3. 口径统一</w:t>
      </w:r>
    </w:p>
    <w:p>
      <w:pPr>
        <w:spacing w:after="100" w:line="276"/>
      </w:pPr>
      <w:r>
        <w:rPr>
          <w:sz w:val="20"/>
          <w:szCs w:val="20"/>
        </w:rPr>
        <w:t xml:space="preserve">要么全用价格指数，要么全用含分红的全收益指数。切忌拿含分红的 DAX 比不含分红的上证。</w:t>
      </w:r>
    </w:p>
    <w:p>
      <w:pPr>
        <w:spacing w:after="20" w:before="60"/>
      </w:pPr>
      <w:r>
        <w:rPr>
          <w:b/>
          <w:bCs/>
          <w:color w:val="1F3864"/>
          <w:sz w:val="21"/>
          <w:szCs w:val="21"/>
        </w:rPr>
        <w:t xml:space="preserve">4. 货币统一</w:t>
      </w:r>
    </w:p>
    <w:p>
      <w:pPr>
        <w:spacing w:after="100" w:line="276"/>
      </w:pPr>
      <w:r>
        <w:rPr>
          <w:sz w:val="20"/>
          <w:szCs w:val="20"/>
        </w:rPr>
        <w:t xml:space="preserve">要么全用本币，要么全折成同一货币（如美元）。汇率会改变排序，需注明。</w:t>
      </w:r>
    </w:p>
    <w:p>
      <w:pPr>
        <w:spacing w:after="20" w:before="60"/>
      </w:pPr>
      <w:r>
        <w:rPr>
          <w:b/>
          <w:bCs/>
          <w:color w:val="1F3864"/>
          <w:sz w:val="21"/>
          <w:szCs w:val="21"/>
        </w:rPr>
        <w:t xml:space="preserve">5. 成分可比</w:t>
      </w:r>
    </w:p>
    <w:p>
      <w:pPr>
        <w:spacing w:after="100" w:line="276"/>
      </w:pPr>
      <w:r>
        <w:rPr>
          <w:sz w:val="20"/>
          <w:szCs w:val="20"/>
        </w:rPr>
        <w:t xml:space="preserve">宽基对宽基。行业结构差异（科技 vs 银行能源）本身解释大部分差距。</w:t>
      </w:r>
    </w:p>
    <w:p>
      <w:pPr>
        <w:spacing w:after="20" w:before="60"/>
      </w:pPr>
      <w:r>
        <w:rPr>
          <w:b/>
          <w:bCs/>
          <w:color w:val="1F3864"/>
          <w:sz w:val="21"/>
          <w:szCs w:val="21"/>
        </w:rPr>
        <w:t xml:space="preserve">6. 标注估值起点</w:t>
      </w:r>
    </w:p>
    <w:p>
      <w:pPr>
        <w:spacing w:after="100" w:line="276"/>
      </w:pPr>
      <w:r>
        <w:rPr>
          <w:sz w:val="20"/>
          <w:szCs w:val="20"/>
        </w:rPr>
        <w:t xml:space="preserve">拆出盈利 vs 估值：很多“跌幅”其实是高估值回归，而非基本面崩塌。</w:t>
      </w:r>
    </w:p>
    <w:p>
      <w:pPr>
        <w:spacing w:after="20" w:before="60"/>
      </w:pPr>
      <w:r>
        <w:rPr>
          <w:b/>
          <w:bCs/>
          <w:color w:val="1F3864"/>
          <w:sz w:val="21"/>
          <w:szCs w:val="21"/>
        </w:rPr>
        <w:t xml:space="preserve">7. 当心回测</w:t>
      </w:r>
    </w:p>
    <w:p>
      <w:pPr>
        <w:spacing w:after="100" w:line="276"/>
      </w:pPr>
      <w:r>
        <w:rPr>
          <w:sz w:val="20"/>
          <w:szCs w:val="20"/>
        </w:rPr>
        <w:t xml:space="preserve">新指数发布前的曲线多为事后回测，带幸存者偏差，不能当真实业绩。用一条真实存在的老指数（如沪深300）交叉验证。</w:t>
      </w:r>
    </w:p>
    <w:p>
      <w:pPr>
        <w:spacing w:after="20" w:before="60"/>
      </w:pPr>
      <w:r>
        <w:rPr>
          <w:b/>
          <w:bCs/>
          <w:color w:val="1F3864"/>
          <w:sz w:val="21"/>
          <w:szCs w:val="21"/>
        </w:rPr>
        <w:t xml:space="preserve">8. 诚实两面</w:t>
      </w:r>
    </w:p>
    <w:p>
      <w:pPr>
        <w:spacing w:after="100" w:line="276"/>
      </w:pPr>
      <w:r>
        <w:rPr>
          <w:sz w:val="20"/>
          <w:szCs w:val="20"/>
        </w:rPr>
        <w:t xml:space="preserve">既呈现长期年化并不弱的事实，也承认牛短熊长、扩容稀释等真实问题。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一句话总结</w:t>
            </w:r>
          </w:p>
          <w:p>
            <w:pPr>
              <w:spacing w:after="0" w:line="276"/>
            </w:pPr>
            <w:r>
              <w:rPr>
                <w:b/>
                <w:bCs/>
                <w:color w:val="1F3864"/>
              </w:rPr>
              <w:t xml:space="preserve">看到任何“从某年至今涨跌 X%”的图，第一反应应该是问两件事：为什么偏偏从这一年算？这些指数算的是同一种东西吗？这两个问题往往就能还原出真相。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4A7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6ab32e8e8721df729b8ff3a393ce3a311b7e00a.png"/><Relationship Id="rId9" Type="http://schemas.openxmlformats.org/officeDocument/2006/relationships/image" Target="media/7f208b2e88e08f5df48244b929f2ac616be3c43c.jpg"/><Relationship Id="rId10" Type="http://schemas.openxmlformats.org/officeDocument/2006/relationships/image" Target="media/f27252a4da1b93822876afa200d97388d1a5974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读懂股指涨跌的真相</dc:title>
  <dc:creator>Claude</dc:creator>
  <cp:lastModifiedBy>Un-named</cp:lastModifiedBy>
  <cp:revision>1</cp:revision>
  <dcterms:created xsi:type="dcterms:W3CDTF">2026-05-31T01:47:03.830Z</dcterms:created>
  <dcterms:modified xsi:type="dcterms:W3CDTF">2026-05-31T01:47:03.830Z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