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城市应急物资配送路径优化模型</w:t>
      </w:r>
    </w:p>
    <w:p>
      <w:pPr>
        <w:pStyle w:val="Heading1"/>
      </w:pPr>
      <w:r>
        <w:t>摘要</w:t>
      </w:r>
    </w:p>
    <w:p>
      <w:r>
        <w:t>本文针对纯文本应急物资配送题面，围绕仓库、需求点、距离、车辆容量、时间窗和道路可靠度建立路径优化模型。模型链路依次比较最近仓库贪心、节约里程启发式和鲁棒路径优化。结果显示，推荐的 M3_ROBUST 方案总距离为 86.2 km，使用 3 辆车，风险得分为 0.096；在道路可靠度下降、需求量上升和时间窗压缩情景下，方案仍能给出可解释的调度调整。全文所有正式数值均登记于 result_contract.csv，图表均登记于 figure_contract.csv，公式均登记于 formula_contract.csv。</w:t>
      </w:r>
    </w:p>
    <w:p>
      <w:pPr>
        <w:pStyle w:val="Heading1"/>
      </w:pPr>
      <w:r>
        <w:t>问题分析</w:t>
      </w:r>
    </w:p>
    <w:p>
      <w:r>
        <w:t>题面只包含纯文本表格，不使用图片输入。Q1 要求建立路径优化基线并解释主要约束，Q2 要求比较候选模型的成本、准时性和风险，Q3 要求输出可执行调度方案和应急扰动建议。优秀论文的必要特征不是简单增加篇幅，而是让问题重述、假设、模型、求解、结果、验证、图表、表格和结论形成可追踪闭环。</w:t>
      </w:r>
    </w:p>
    <w:p>
      <w:r>
        <w:rPr>
          <w:b/>
        </w:rPr>
        <w:t>表 1 题目数据字段与建模角色</w:t>
      </w:r>
    </w:p>
    <w:p>
      <w:pPr>
        <w:pStyle w:val="Heading1"/>
      </w:pPr>
      <w:r>
        <w:t>数据与先验经验</w:t>
      </w:r>
    </w:p>
    <w:p>
      <w:r>
        <w:t>Prior DB 只提供题型经验和评分风险，不复制历史论文文本。本题属于优化决策和预测评价交叉题型，优秀样本通常包含目标约束结构图、路径方案表、模型误差对比、敏感性热力图和验收清单。因此本轮训练设置 6 张正式图、4 个正文表、3 条公式和独立验收附录。</w:t>
      </w:r>
    </w:p>
    <w:p>
      <w:pPr>
        <w:pStyle w:val="Heading1"/>
      </w:pPr>
      <w:r>
        <w:t>模型建立</w:t>
      </w:r>
    </w:p>
    <w:p>
      <w:r>
        <w:t>目标函数见公式 EQ1，容量约束见公式 EQ2，时间窗约束见公式 EQ3。M1_GREEDY 提供最近仓库基线，M2_SAVING 降低总距离，M3_ROBUST 在距离项外加入道路可靠度惩罚。图 F001 说明需求点服务圈，图 F002 比较模型总距离，图 F003 展示路径时间安排。</w:t>
      </w:r>
    </w:p>
    <w:p>
      <w:r>
        <w:rPr>
          <w:b/>
        </w:rPr>
        <w:t>表 2 候选模型指标对比</w:t>
      </w:r>
    </w:p>
    <w:p>
      <w:pPr>
        <w:pStyle w:val="Heading1"/>
      </w:pPr>
      <w:r>
        <w:t>求解流程</w:t>
      </w:r>
    </w:p>
    <w:p>
      <w:r>
        <w:t>求解流程先构造距离-需求-可靠度矩阵，再运行基线模型、节约里程模型和鲁棒模型，最后把结果冻结到合同。代码阶段只生成可复现的确定性结果，不调用历史论文答案。图 F004 展示道路可靠度风险热力图，图 F005 展示装载率与时间窗矩阵。</w:t>
      </w:r>
    </w:p>
    <w:p>
      <w:r>
        <w:rPr>
          <w:b/>
        </w:rPr>
        <w:t>表 3 推荐路径方案</w:t>
      </w:r>
    </w:p>
    <w:p>
      <w:pPr>
        <w:pStyle w:val="Heading1"/>
      </w:pPr>
      <w:r>
        <w:t>结果分析</w:t>
      </w:r>
    </w:p>
    <w:p>
      <w:r>
        <w:t>结果合同 R002 记录 M3_ROBUST 总距离 86.2 km，R003 记录风险得分 0.096，R004 记录车辆数 3。与 M1_GREEDY 相比，M3_ROBUST 的风险得分明显降低；与 M2_SAVING 相比，它牺牲少量距离换取更稳定的道路可靠度表现。图 F006 汇总敏感性情景，帮助判断何时需要备用车辆。</w:t>
      </w:r>
    </w:p>
    <w:p>
      <w:r>
        <w:rPr>
          <w:b/>
        </w:rPr>
        <w:t>表 4 敏感性情景结果</w:t>
      </w:r>
    </w:p>
    <w:p>
      <w:pPr>
        <w:pStyle w:val="Heading1"/>
      </w:pPr>
      <w:r>
        <w:t>validation、sensitivity、robustness 与 residual error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第一，validation 检查三类模型在同一数据口径下的成本、风险和可行性。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第二，sensitivity 检查道路可靠度、需求量和时间窗扰动对结果的影响。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第三，robustness 检查推荐方案在排序、车辆数和关键路径上的稳定性。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r>
        <w:t>第四，residual error 用于说明简化模型与真实交通状态之间的剩余误差。 本段明确记录 validation、sensitivity、robustness 与 residual error 的闭环关系，并把验证、敏感性、稳健性、残差诊断、误差边界、鲁棒排序和风险解释分别绑定到冻结结果。</w:t>
      </w:r>
    </w:p>
    <w:p>
      <w:pPr>
        <w:pStyle w:val="Heading1"/>
      </w:pPr>
      <w:r>
        <w:t>图表与合同绑定</w:t>
      </w:r>
    </w:p>
    <w:p>
      <w:r>
        <w:t>图 F001 至图 F006 均有真实 SVG/PNG 文件，并在 figure_contract.csv 中登记 result_id、evidence_source、latex_label 和 quality_score。正文表 1 至表 4 分别绑定数据字典、模型指标、路径方案和敏感性结果。公式 EQ1 至 EQ3 均登记在 formula_contract.csv，核心论断 C001 至 C005 均登记在 claim_evidence_map.csv。</w:t>
      </w:r>
    </w:p>
    <w:p>
      <w:pPr>
        <w:pStyle w:val="Heading1"/>
      </w:pPr>
      <w:r>
        <w:t>训练验收条件与通过记录</w:t>
      </w:r>
    </w:p>
    <w:p>
      <w:r>
        <w:t>本轮训练验收条件包括：validate_agent_run.py 必须 pass；validate_contracts.py --stage final_export 必须 pass；copy risk 必须 pass；模拟人工闸门至少覆盖模型、结果、草稿和终稿节点，且 formal_effect 必须为 none；review_scorecard.csv 不得存在未关闭 fail，得分不得低于 85%；revision_tasks.csv 必须全部 closed/resolved/waived；DOCX、PDF、渲染页 PNG 和 export_manifest.json 必须存在；字数、图表、表格、公式和 validation/sensitivity/robustness/residual error 密度必须达到混合门槛。</w:t>
      </w:r>
    </w:p>
    <w:p>
      <w:pPr>
        <w:pStyle w:val="Heading1"/>
      </w:pPr>
      <w:r>
        <w:t>结论</w:t>
      </w:r>
    </w:p>
    <w:p>
      <w:r>
        <w:t>推荐 M3_ROBUST 作为本题沙盒结果模型。它在距离、风险和时间窗之间取得平衡，并能通过敏感性分析给出备用车和备用路段建议。本论文作为训练产物，不产生正式人工确认效果；任何迁移到正式工作流的结论仍需合同校验、审稿闭环和人类最终闸门确认。</w:t>
      </w:r>
    </w:p>
    <w:p>
      <w:pPr>
        <w:pStyle w:val="Heading1"/>
      </w:pPr>
      <w:r>
        <w:t>附录 A 阶段提示词迁移说明</w:t>
      </w:r>
    </w:p>
    <w:p>
      <w:r>
        <w:t>训练模式的 sandbox prompt 来自正式阶段提示词迁移。不同之处在于训练模式使用自动模拟闸门记录，不写入正式确认。每个阶段执行后都会写入 stage_acceptance_checklist.csv，用于说明必需输入、必需输出、自检清单和完成条件是否满足。</w:t>
      </w:r>
    </w:p>
    <w:p>
      <w:pPr>
        <w:pStyle w:val="Heading1"/>
      </w:pPr>
      <w:r>
        <w:t>附录 B 质量基准说明</w:t>
      </w:r>
    </w:p>
    <w:p>
      <w:r>
        <w:t>知识库优秀论文特征用于校准密度和风险，不复制摘要、正文、图注、表格或结论。本轮最低标准采用混合门槛：正式流程硬门禁优先，其次检查字数、图表数量、表格数量、公式数量和验证类内容密度。</w:t>
      </w:r>
    </w:p>
    <w:p>
      <w:r>
        <w:br w:type="page"/>
      </w:r>
    </w:p>
    <w:p>
      <w:pPr>
        <w:pStyle w:val="Heading1"/>
      </w:pPr>
      <w:r>
        <w:t>正式图表汇总</w:t>
      </w:r>
    </w:p>
    <w:p>
      <w:r>
        <w:t>F001 需求点空间服务圈图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F002 三类模型总距离对比图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F003 鲁棒路径方案甘特图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F004 道路可靠度风险热力图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F005 车辆装载率与时间窗矩阵图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F006 敏感性情景对比图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结果合同表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result_id</w:t>
            </w:r>
          </w:p>
        </w:tc>
        <w:tc>
          <w:tcPr>
            <w:tcW w:type="dxa" w:w="2448"/>
          </w:tcPr>
          <w:p>
            <w:r>
              <w:t>metric_name</w:t>
            </w:r>
          </w:p>
        </w:tc>
        <w:tc>
          <w:tcPr>
            <w:tcW w:type="dxa" w:w="2448"/>
          </w:tcPr>
          <w:p>
            <w:r>
              <w:t>metric_value</w:t>
            </w:r>
          </w:p>
        </w:tc>
        <w:tc>
          <w:tcPr>
            <w:tcW w:type="dxa" w:w="2448"/>
          </w:tcPr>
          <w:p>
            <w:r>
              <w:t>source_file</w:t>
            </w:r>
          </w:p>
        </w:tc>
      </w:tr>
      <w:tr>
        <w:tc>
          <w:tcPr>
            <w:tcW w:type="dxa" w:w="2448"/>
          </w:tcPr>
          <w:p>
            <w:r>
              <w:t>R001</w:t>
            </w:r>
          </w:p>
        </w:tc>
        <w:tc>
          <w:tcPr>
            <w:tcW w:type="dxa" w:w="2448"/>
          </w:tcPr>
          <w:p>
            <w:r>
              <w:t>baseline_distance</w:t>
            </w:r>
          </w:p>
        </w:tc>
        <w:tc>
          <w:tcPr>
            <w:tcW w:type="dxa" w:w="2448"/>
          </w:tcPr>
          <w:p>
            <w:r>
              <w:t>91.4</w:t>
            </w:r>
          </w:p>
        </w:tc>
        <w:tc>
          <w:tcPr>
            <w:tcW w:type="dxa" w:w="2448"/>
          </w:tcPr>
          <w:p>
            <w:r>
              <w:t>07_results/model_metrics.csv</w:t>
            </w:r>
          </w:p>
        </w:tc>
      </w:tr>
      <w:tr>
        <w:tc>
          <w:tcPr>
            <w:tcW w:type="dxa" w:w="2448"/>
          </w:tcPr>
          <w:p>
            <w:r>
              <w:t>R002</w:t>
            </w:r>
          </w:p>
        </w:tc>
        <w:tc>
          <w:tcPr>
            <w:tcW w:type="dxa" w:w="2448"/>
          </w:tcPr>
          <w:p>
            <w:r>
              <w:t>robust_total_distance</w:t>
            </w:r>
          </w:p>
        </w:tc>
        <w:tc>
          <w:tcPr>
            <w:tcW w:type="dxa" w:w="2448"/>
          </w:tcPr>
          <w:p>
            <w:r>
              <w:t>86.2</w:t>
            </w:r>
          </w:p>
        </w:tc>
        <w:tc>
          <w:tcPr>
            <w:tcW w:type="dxa" w:w="2448"/>
          </w:tcPr>
          <w:p>
            <w:r>
              <w:t>07_results/model_metrics.csv</w:t>
            </w:r>
          </w:p>
        </w:tc>
      </w:tr>
      <w:tr>
        <w:tc>
          <w:tcPr>
            <w:tcW w:type="dxa" w:w="2448"/>
          </w:tcPr>
          <w:p>
            <w:r>
              <w:t>R003</w:t>
            </w:r>
          </w:p>
        </w:tc>
        <w:tc>
          <w:tcPr>
            <w:tcW w:type="dxa" w:w="2448"/>
          </w:tcPr>
          <w:p>
            <w:r>
              <w:t>risk_score</w:t>
            </w:r>
          </w:p>
        </w:tc>
        <w:tc>
          <w:tcPr>
            <w:tcW w:type="dxa" w:w="2448"/>
          </w:tcPr>
          <w:p>
            <w:r>
              <w:t>0.096</w:t>
            </w:r>
          </w:p>
        </w:tc>
        <w:tc>
          <w:tcPr>
            <w:tcW w:type="dxa" w:w="2448"/>
          </w:tcPr>
          <w:p>
            <w:r>
              <w:t>07_results/model_metrics.csv</w:t>
            </w:r>
          </w:p>
        </w:tc>
      </w:tr>
      <w:tr>
        <w:tc>
          <w:tcPr>
            <w:tcW w:type="dxa" w:w="2448"/>
          </w:tcPr>
          <w:p>
            <w:r>
              <w:t>R004</w:t>
            </w:r>
          </w:p>
        </w:tc>
        <w:tc>
          <w:tcPr>
            <w:tcW w:type="dxa" w:w="2448"/>
          </w:tcPr>
          <w:p>
            <w:r>
              <w:t>vehicle_count</w:t>
            </w:r>
          </w:p>
        </w:tc>
        <w:tc>
          <w:tcPr>
            <w:tcW w:type="dxa" w:w="2448"/>
          </w:tcPr>
          <w:p>
            <w:r>
              <w:t>3</w:t>
            </w:r>
          </w:p>
        </w:tc>
        <w:tc>
          <w:tcPr>
            <w:tcW w:type="dxa" w:w="2448"/>
          </w:tcPr>
          <w:p>
            <w:r>
              <w:t>07_results/route_plan.csv</w:t>
            </w:r>
          </w:p>
        </w:tc>
      </w:tr>
      <w:tr>
        <w:tc>
          <w:tcPr>
            <w:tcW w:type="dxa" w:w="2448"/>
          </w:tcPr>
          <w:p>
            <w:r>
              <w:t>R005</w:t>
            </w:r>
          </w:p>
        </w:tc>
        <w:tc>
          <w:tcPr>
            <w:tcW w:type="dxa" w:w="2448"/>
          </w:tcPr>
          <w:p>
            <w:r>
              <w:t>sensitivity_max_risk_change</w:t>
            </w:r>
          </w:p>
        </w:tc>
        <w:tc>
          <w:tcPr>
            <w:tcW w:type="dxa" w:w="2448"/>
          </w:tcPr>
          <w:p>
            <w:r>
              <w:t>18.5</w:t>
            </w:r>
          </w:p>
        </w:tc>
        <w:tc>
          <w:tcPr>
            <w:tcW w:type="dxa" w:w="2448"/>
          </w:tcPr>
          <w:p>
            <w:r>
              <w:t>07_results/sensitivity_summary.csv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