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Quality Assurance (investigator)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 &amp; Technology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Head of Quality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CAPA</w:t>
            </w:r>
          </w:p>
        </w:tc>
        <w:tc>
          <w:tcPr/>
          <w:p>
            <w:pPr>
              <w:pStyle w:val="Compact"/>
              <w:jc w:val="left"/>
            </w:pPr>
            <w:r>
              <w:t xml:space="preserve">corrective and preventive action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LFC</w:t>
            </w:r>
          </w:p>
        </w:tc>
        <w:tc>
          <w:tcPr/>
          <w:p>
            <w:pPr>
              <w:pStyle w:val="Compact"/>
              <w:jc w:val="left"/>
            </w:pPr>
            <w:r>
              <w:t xml:space="preserve">least favourable combination of the other parameters</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&amp;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VI</w:t>
            </w:r>
          </w:p>
        </w:tc>
        <w:tc>
          <w:tcPr/>
          <w:p>
            <w:pPr>
              <w:pStyle w:val="Compact"/>
              <w:jc w:val="left"/>
            </w:pPr>
            <w:r>
              <w:t xml:space="preserve">viral inactivation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On 2026-08-03, Quality Assurance opened this investigation, INV-001, during the review of the Process Characterization Master Report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The investigation makes six findings, numbered F1 to F6 in §4. Four concern the criteria themselves. The criteria were defined after the data were seen (F1). For impurities that downstream steps clear, each criterion was divided by a safety factor that differed by step, and the factors were such that every step passed at its own set-point (F2). The glycan and acidic variant limits at the bioreactor were computed from the capability data they were then used to judge (F3). Acidic variants were assessed against the upper end of their two-sided range only (F4). Finding F5 concerns the records. Their title blocks misstated the dates on which the plans were approved, and they gave no execution dates. Finding F6 concerns the method for fragments. SEC read fragments high in the Protein A pool and the low-pH viral inactivation pool, and the decision AMD-001 to measure fragments by nrCE-SDS instead was not carried into the documents.</w:t>
      </w:r>
    </w:p>
    <w:p>
      <w:pPr>
        <w:pStyle w:val="BodyText"/>
      </w:pPr>
      <w:r>
        <w:t xml:space="preserve">The root cause is that the Process Characterization Master Plan PCMP-001 Version 1.0 required a criterion for each step but gave no rule for deriving one. The criteria were therefore derived during the analysis, by the people analysing the data (§5).</w:t>
      </w:r>
    </w:p>
    <w:p>
      <w:pPr>
        <w:pStyle w:val="BodyText"/>
      </w:pPr>
      <w:r>
        <w:t xml:space="preserve">Under corrective action CA1, the investigation defined intermediate acceptance criteria by a rule written before any report applied it. Each criterion is carried back from the drug-substance criterion through the platform worst case of each downstream step, with no margin. This campaign’s data can move a criterion only through the one-sided 95 % prediction bound of a single batch of a downstream step, at the least favourable combination within its normal operating range (NOR). The same rule set fixes how a scale-down model whose mean differs from manufacturing scale is qualified, and that viral clearance is judged at the least favourable combination of the other parameters. Corrective action CA1 issues all of this in PCMP-001 Version 2.0. Corrective actions CA2 and CA3 reissue the step plans and every other document of the package against it, with fragments measured by nrCE-SDS. They are due on 2026-09-30 and were open at closure. Preventive action PA1 revises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3 are narrower, 3 have moved, 3 no longer give a range and 23 are unchanged. In the re-analysis, acidic variants at the production bioreactor step and XMuLV clearance at the low-pH viral inactivation step do not meet their Version 2.0 criterion across the whole NOR, although each meets it with every parameter at its set-point (§6.3). At Version 2.0, the Protein A report PCR-005 narrows the NOR of protein load, because over the NOR as it was characterized the scale-down model is not qualified for pool host cell protein (§2). The low-pH viral inactivation report PCR-006 moves the NOR and the set-point of inactivation pH lower and narrows the NORs of hold time and temperature, because XMuLV clearance does not meet its claim at the least favourable combination of the NOR as it was characterized (§6.3). The lowest capability index of the drug substance is now that of acidic variants, at 1.03, against its lower limit. No GMP batch was dispositioned on these documents, and there is no product impact (§6.6).</w:t>
      </w:r>
    </w:p>
    <w:bookmarkEnd w:id="23"/>
    <w:bookmarkStart w:id="24" w:name="event-description"/>
    <w:p>
      <w:pPr>
        <w:pStyle w:val="Heading1"/>
      </w:pPr>
      <w:r>
        <w:t xml:space="preserve">1. Event description</w:t>
      </w:r>
    </w:p>
    <w:p>
      <w:pPr>
        <w:pStyle w:val="FirstParagraph"/>
      </w:pPr>
      <w:r>
        <w:t xml:space="preserve">PCMR-001 Version 1.0, the Process Characterization Master Report, and the step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It also found that the master plan, PCMP-001, gave no rule from which the criteria could have been derived in advance. QA opened INV-001 the same day.</w:t>
      </w:r>
    </w:p>
    <w:p>
      <w:pPr>
        <w:pStyle w:val="BodyText"/>
      </w:pPr>
      <w:r>
        <w:t xml:space="preserve">Version 1.0 reported 27 studies, executed between 2025-08-11 and 2026-05-15. Each of them closed before the Version 1.0 reports were approved. The count covers every study that started before this investigation closed, except the two augmentation studies of INV-002 (§2), which belong to that investigation, and five others. The comparability study S-CEX-FRC and the retests of retained samples by nrCE-SDS (S-PA-RET and S-VI-RET) produced only fragment results, which Version 1.0 did not report (§4.7). The further Protein A scale-down runs, study S-PA-SDM2, were made during the investigation (§2). The osmolality study S-BRX-OSM at the production bioreactor started on 2026-09-01, during the investigation, and is outside its scope. The bioreactor report PCR-003 Version 2.0 records it as PD-003-01, a discrepancy from the plan.</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4"/>
    <w:bookmarkStart w:id="26" w:name="scope"/>
    <w:p>
      <w:pPr>
        <w:pStyle w:val="Heading1"/>
      </w:pPr>
      <w:r>
        <w:t xml:space="preserve">2. Scope</w:t>
      </w:r>
    </w:p>
    <w:p>
      <w:pPr>
        <w:pStyle w:val="FirstParagraph"/>
      </w:pPr>
      <w:r>
        <w:t xml:space="preserve">The investigation covers the 20 Version 1.0 documents of the A-Mab characterization package, listed in</w:t>
      </w:r>
      <w:r>
        <w:t xml:space="preserve"> </w:t>
      </w:r>
      <w:hyperlink w:anchor="tbl-docs">
        <w:r>
          <w:rPr>
            <w:rStyle w:val="Hyperlink"/>
          </w:rPr>
          <w:t xml:space="preserve">Table 1</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p>
      <w:pPr>
        <w:pStyle w:val="BodyText"/>
      </w:pPr>
      <w:r>
        <w:t xml:space="preserve">The adequacy of the response-surface models is outside this investigation. During it, the re-analysis found response-surface models that do not meet the model-adequacy criteria of PCMP-001 Version 2.0, and QA opened INV-002 on 2026-08-31 to investigate that finding. Under INV-002 corrective action CA3, adopted on 2026-09-15, before this investigation closed, every response-surface output is analysed by model selection, and INV-002 gives the procedure. The verification of the platform worst cases in §6.2, on which the Version 2.0 criteria rest, used these selected models. Every comparison of ranges in this report uses the models Version 1.0 fitted, so that it shows what the change of criteria moved. The step reports give the ranges on the selected models.</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1: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5"/>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themselves are not reviewed either. Finally, the study events recorded in the step reports keep the outcome those reports give them.</w:t>
      </w:r>
    </w:p>
    <w:p>
      <w:pPr>
        <w:pStyle w:val="BodyText"/>
      </w:pPr>
      <w:r>
        <w:t xml:space="preserve">The re-analysis in §6 uses the same designed experiments and the same results as Version 1.0, with two additions. The first is the fragment results by nrCE-SDS of the designed experiments. They were measured before Version 1.0 was approved (§4.7), in the cation exchange response surface study, in the re-executed anion exchange design, in the virus filtration design and in the retests of retained samples (S-PA-RET and S-VI-RET), but Version 1.0 did not report them. The second is 6 further set-point runs of the Protein A scale-down model (study S-PA-SDM2), made from 2026-09-07 to 2026-09-11, during the investigation.</w:t>
      </w:r>
    </w:p>
    <w:p>
      <w:pPr>
        <w:pStyle w:val="BodyText"/>
      </w:pPr>
      <w:r>
        <w:t xml:space="preserve">The Protein A plan, PCP-005, had planned 3 set-point runs for the qualification of that model (study S-PA-SDM). The further runs were made during the re-analysis, to narrow the confidence interval of the offset of the model for pool host cell protein. Of the Protein A pool attributes, host cell protein comes nearest its criterion of 17,069 ng/mg. On the model that PCR-005 Version 2.0 uses, its upper 95 % prediction limit over the NOR as characterized is 92 % of the criterion, and it rises with lower elution buffer pH and higher protein load. That model is fitted on the log scale, so the offset is a difference of mean logarithms. It is stated as a ratio, the geometric mean of the scale-down runs divided by that of the manufacturing-scale batches. On the planned runs alone, the ratio is 0.935, with a 90 % confidence interval of 0.795 to 1.100. On all runs it is 0.973, with an interval of 0.891 to 1.063. The plan did not foresee the further runs, so the Protein A report PCR-005 Version 2.0 records them as PD-005-01, a discrepancy from the plan. They are not a deviation, because no approved procedure or GMP requirement was departed from.</w:t>
      </w:r>
    </w:p>
    <w:p>
      <w:pPr>
        <w:pStyle w:val="BodyText"/>
      </w:pPr>
      <w:r>
        <w:t xml:space="preserve">A scale-down model is qualified for an output when the conclusion against its criterion over the NOR is the same with the offset at either end of that interval (§6.1). Over the NOR as characterized, the model is not qualified for pool host cell protein, on the planned runs alone or on all runs. With the ratio at the low end of its interval, which raises the prediction at manufacturing scale, the upper prediction limit over that NOR is 17,143 ng/mg on all runs, above the criterion. The Protein A report PCR-005 Version 2.0 therefore narrows the NOR of protein load at its high end, from 20–40 g/L resin to 20–39 g/L resin. Over the narrowed NOR, that limit is 16,763 ng/mg on all runs, and the model is qualified. On the planned runs alone it is 18,786 ng/mg, and the model would not be qualified. The further runs therefore made the qualification possible. The decision to make them was taken after the result on the planned runs was known. The qualification therefore rests on runs added after a result was seen, and this is a limitation of it. The qualification rule and the criterion were not changed, and only the number of runs grew. For leached Protein A the model is qualified on either set of runs.</w:t>
      </w:r>
    </w:p>
    <w:bookmarkEnd w:id="26"/>
    <w:bookmarkStart w:id="31" w:name="background"/>
    <w:p>
      <w:pPr>
        <w:pStyle w:val="Heading1"/>
      </w:pPr>
      <w:r>
        <w:t xml:space="preserve">3. Background</w:t>
      </w:r>
    </w:p>
    <w:bookmarkStart w:id="27" w:name="the-master-plan"/>
    <w:p>
      <w:pPr>
        <w:pStyle w:val="Heading2"/>
      </w:pPr>
      <w:r>
        <w:t xml:space="preserve">3.1 The master plan</w:t>
      </w:r>
    </w:p>
    <w:p>
      <w:pPr>
        <w:pStyle w:val="FirstParagraph"/>
      </w:pPr>
      <w:r>
        <w:t xml:space="preserve">PCMP-001 Version 1.0, the master plan,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7"/>
    <w:bookmarkStart w:id="28"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characterization range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bookmarkEnd w:id="28"/>
    <w:bookmarkStart w:id="30"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2</w:t>
        </w:r>
      </w:hyperlink>
      <w:r>
        <w:t xml:space="preserve"> </w:t>
      </w:r>
      <w:r>
        <w:t xml:space="preserve">gives each criterion with its rule code,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The result was divided by a safety factor (R1, 6 criteria).</w:t>
      </w:r>
    </w:p>
    <w:p>
      <w:pPr>
        <w:pStyle w:val="Compact"/>
        <w:numPr>
          <w:ilvl w:val="0"/>
          <w:numId w:val="1002"/>
        </w:numPr>
      </w:pPr>
      <w:r>
        <w:t xml:space="preserve">For an attribute that no downstream step changes, the criterion was an alert limit at the capability mean plus 2.5 SD (R2,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(R3, 3 criteria).</w:t>
      </w:r>
    </w:p>
    <w:p>
      <w:pPr>
        <w:pStyle w:val="Compact"/>
        <w:numPr>
          <w:ilvl w:val="0"/>
          <w:numId w:val="1002"/>
        </w:numPr>
      </w:pPr>
      <w:r>
        <w:t xml:space="preserve">For viral clearance at virus filtration, the criterion was the nominal clearance claimed for the step less 0.35 log10 for assay variability (R4, 2 criteria).</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c)</w:t>
                  </w:r>
                  <w:r>
                    <w:t xml:space="preserve"> </w:t>
                  </w:r>
                  <w:r>
                    <w:t xml:space="preserve">from ≤ 16,000</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b)</w:t>
                  </w:r>
                  <w:r>
                    <w:t xml:space="preserve"> </w:t>
                  </w:r>
                  <w:r>
                    <w:t xml:space="preserve">from ≤ 10.0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5.00</w:t>
                  </w:r>
                </w:p>
              </w:tc>
              <w:tc>
                <w:tcPr/>
                <w:p>
                  <w:pPr>
                    <w:pStyle w:val="Compact"/>
                    <w:jc w:val="center"/>
                  </w:pPr>
                  <w:r>
                    <w:t xml:space="preserve">Drug substance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427</w:t>
                  </w:r>
                </w:p>
              </w:tc>
              <w:tc>
                <w:tcPr/>
                <w:p>
                  <w:pPr>
                    <w:pStyle w:val="Compact"/>
                    <w:jc w:val="center"/>
                  </w:pPr>
                  <w:r>
                    <w:t xml:space="preserve">Carried back, widened</w:t>
                  </w:r>
                  <w:r>
                    <w:rPr>
                      <w:vertAlign w:val="superscript"/>
                    </w:rPr>
                    <w:t xml:space="preserve">c)</w:t>
                  </w:r>
                  <w:r>
                    <w:t xml:space="preserve"> </w:t>
                  </w:r>
                  <w:r>
                    <w:t xml:space="preserve">from ≤ 400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6"/>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6"/>
                </w:tcPr>
                <w:p>
                  <w:pPr>
                    <w:pStyle w:val="Compact"/>
                    <w:jc w:val="center"/>
                  </w:pPr>
                  <w:r>
                    <w:rPr>
                      <w:vertAlign w:val="superscript"/>
                    </w:rPr>
                    <w:t xml:space="preserve">d)</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e)</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29"/>
          <w:p/>
        </w:tc>
      </w:tr>
    </w:tbl>
    <w:p>
      <w:pPr>
        <w:pStyle w:val="BodyText"/>
      </w:pPr>
      <w:r>
        <w:t xml:space="preserve">The back-calculation through nominal downstream clearance, the viral criteria less the other steps’ nominal clearance and the virus filtration criterion less the assay allowance all rest on the nominal results of this campaign. The alert limits rest on its capability data. Every Version 1.0 criterion was therefore set after the data were seen, from this campaign’s nominal performance or capability, and where a safety factor was used its size was chosen step by step.</w:t>
      </w:r>
    </w:p>
    <w:bookmarkEnd w:id="30"/>
    <w:bookmarkEnd w:id="31"/>
    <w:bookmarkStart w:id="45" w:name="investigation"/>
    <w:p>
      <w:pPr>
        <w:pStyle w:val="Heading1"/>
      </w:pPr>
      <w:r>
        <w:t xml:space="preserve">4. Investigation</w:t>
      </w:r>
    </w:p>
    <w:bookmarkStart w:id="32"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2</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record of the fragment method was reviewed against the decision AMD-001 to measure fragments by nrCE-SDS and against the comparability study S-CEX-FRC. Every recomputed criterion agreed with the printed value.</w:t>
      </w:r>
    </w:p>
    <w:bookmarkEnd w:id="32"/>
    <w:bookmarkStart w:id="33"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5</w:t>
        </w:r>
      </w:hyperlink>
      <w:r>
        <w:t xml:space="preserve"> </w:t>
      </w:r>
      <w:r>
        <w:t xml:space="preserve">in §4.6 shows. The Protein A plan PCP-005,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The approved plans were not revised to carry them. The Version 1.0 plans therefore read as if the criteria had been approved before execution.</w:t>
      </w:r>
    </w:p>
    <w:p>
      <w:pPr>
        <w:pStyle w:val="BodyText"/>
      </w:pPr>
      <w:r>
        <w:t xml:space="preserve">The master plan PCMP-001,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3"/>
    <w:bookmarkStart w:id="35" w:name="Xa78ddcab2e1ead6f0c578b3eeaebd424e5e3f39"/>
    <w:p>
      <w:pPr>
        <w:pStyle w:val="Heading2"/>
      </w:pPr>
      <w:r>
        <w:t xml:space="preserve">4.3 F2. Safety factors chosen so that each step passed at its set-point</w:t>
      </w:r>
    </w:p>
    <w:p>
      <w:pPr>
        <w:pStyle w:val="FirstParagraph"/>
      </w:pPr>
      <w:r>
        <w:t xml:space="preserve">For an impurity that downstream steps clear, Version 1.0 carried each drug-substance criterion back through the nominal downstream clearance of this campaign and then divided it by a safety factor (R1 in</w:t>
      </w:r>
      <w:r>
        <w:t xml:space="preserve"> </w:t>
      </w:r>
      <w:hyperlink w:anchor="tbl-criteria-change">
        <w:r>
          <w:rPr>
            <w:rStyle w:val="Hyperlink"/>
          </w:rPr>
          <w:t xml:space="preserve">Table 2</w:t>
        </w:r>
      </w:hyperlink>
      <w:r>
        <w:t xml:space="preserve">). The factors ranged from 3.2 to 6.8, and no document records why they differ.</w:t>
      </w:r>
    </w:p>
    <w:p>
      <w:pPr>
        <w:pStyle w:val="BodyText"/>
      </w:pPr>
      <w:hyperlink w:anchor="tbl-margins">
        <w:r>
          <w:rPr>
            <w:rStyle w:val="Hyperlink"/>
          </w:rPr>
          <w:t xml:space="preserve">Table 3</w:t>
        </w:r>
      </w:hyperlink>
      <w:r>
        <w:t xml:space="preserve"> </w:t>
      </w:r>
      <w:r>
        <w:t xml:space="preserve">sets each factor against the value that the response surface model of the step predicts at its set-point. The last column gives the largest factor at which that set-point value would still have met the criterion. Every step meets its Version 1.0 criterion at its own set-point. Had the largest factor used, 6.8, been applied to every step, the set-point value would have failed its criterion for 4 of the attributes in</w:t>
      </w:r>
      <w:r>
        <w:t xml:space="preserve"> </w:t>
      </w:r>
      <w:hyperlink w:anchor="tbl-margins">
        <w:r>
          <w:rPr>
            <w:rStyle w:val="Hyperlink"/>
          </w:rPr>
          <w:t xml:space="preserve">Table 3</w:t>
        </w:r>
      </w:hyperlink>
      <w:r>
        <w:t xml:space="preserve">. The analysis records show that a factor was reduced where the limit would otherwise have fallen below the value the step produces at its set-point.</w:t>
      </w:r>
    </w:p>
    <w:tbl>
      <w:tblPr>
        <w:tblStyle w:val="Table"/>
        <w:tblW w:type="pct" w:w="5000"/>
        <w:tblLayout w:type="fixed"/>
        <w:tblLook w:firstRow="0" w:lastRow="0" w:firstColumn="0" w:lastColumn="0" w:noHBand="0" w:noVBand="0" w:val="0000"/>
      </w:tblPr>
      <w:tblGrid>
        <w:gridCol w:w="7920"/>
      </w:tblGrid>
      <w:tr>
        <w:tc>
          <w:tcPr/>
          <w:bookmarkStart w:id="34" w:name="tbl-margins"/>
          <w:p>
            <w:pPr>
              <w:jc w:val="center"/>
            </w:pPr>
            <w:pPr>
              <w:jc w:val="start"/>
              <w:spacing w:before="200"/>
              <w:pStyle w:val="ImageCaption"/>
            </w:pPr>
            <w:r>
              <w:t xml:space="preserve">Table 3: Safety factors of the Version 1.0 step criteria against the value each step produces at its set-point.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pool</w:t>
                  </w:r>
                  <w:r>
                    <w:br/>
                  </w:r>
                  <w:r>
                    <w:t xml:space="preserve">level</w:t>
                  </w:r>
                  <w:r>
                    <w:rPr>
                      <w:vertAlign w:val="superscript"/>
                    </w:rPr>
                    <w:t xml:space="preserve">a)</w:t>
                  </w:r>
                </w:p>
              </w:tc>
              <w:tc>
                <w:tcPr/>
                <w:p>
                  <w:pPr>
                    <w:pStyle w:val="Compact"/>
                    <w:jc w:val="center"/>
                  </w:pPr>
                  <w:r>
                    <w:t xml:space="preserve">Safety</w:t>
                  </w:r>
                  <w:r>
                    <w:br/>
                  </w:r>
                  <w:r>
                    <w:t xml:space="preserve">factor</w:t>
                  </w:r>
                </w:p>
              </w:tc>
              <w:tc>
                <w:tcPr/>
                <w:p>
                  <w:pPr>
                    <w:pStyle w:val="Compact"/>
                    <w:jc w:val="center"/>
                  </w:pPr>
                  <w:r>
                    <w:t xml:space="preserve">Version 1.0</w:t>
                  </w:r>
                  <w:r>
                    <w:br/>
                  </w:r>
                  <w:r>
                    <w:t xml:space="preserve">criterion</w:t>
                  </w:r>
                </w:p>
              </w:tc>
              <w:tc>
                <w:tcPr/>
                <w:p>
                  <w:pPr>
                    <w:pStyle w:val="Compact"/>
                    <w:jc w:val="center"/>
                  </w:pPr>
                  <w:r>
                    <w:t xml:space="preserve">Predicted at</w:t>
                  </w:r>
                  <w:r>
                    <w:br/>
                  </w:r>
                  <w:r>
                    <w:t xml:space="preserve">set-point</w:t>
                  </w:r>
                </w:p>
              </w:tc>
              <w:tc>
                <w:tcPr/>
                <w:p>
                  <w:pPr>
                    <w:pStyle w:val="Compact"/>
                    <w:jc w:val="center"/>
                  </w:pPr>
                  <w:r>
                    <w:t xml:space="preserve">Largest factor</w:t>
                  </w:r>
                  <w:r>
                    <w:br/>
                  </w:r>
                  <w:r>
                    <w:t xml:space="preserve">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r>
              <w:tc>
                <w:tcPr>
                  <w:gridSpan w:val="7"/>
                </w:tcPr>
                <w:p>
                  <w:pPr>
                    <w:pStyle w:val="Compact"/>
                    <w:jc w:val="center"/>
                  </w:pPr>
                  <w:r>
                    <w:rPr>
                      <w:vertAlign w:val="superscript"/>
                    </w:rPr>
                    <w:t xml:space="preserve">a)</w:t>
                  </w:r>
                  <w:r>
                    <w:t xml:space="preserve"> </w:t>
                  </w:r>
                  <w:r>
                    <w:t xml:space="preserve">The highest pool level that the nominal clearance of the downstream steps brings within the drug-substance criterion. Nominal clearance is the clearance each downstream step showed at its set-point in this campaign.</w:t>
                  </w:r>
                </w:p>
              </w:tc>
            </w:tr>
          </w:tbl>
          <w:bookmarkEnd w:id="34"/>
          <w:p/>
        </w:tc>
      </w:tr>
    </w:tbl>
    <w:p>
      <w:pPr>
        <w:pStyle w:val="BodyText"/>
      </w:pPr>
      <w:r>
        <w:t xml:space="preserve">The highest pool level in</w:t>
      </w:r>
      <w:r>
        <w:t xml:space="preserve"> </w:t>
      </w:r>
      <w:hyperlink w:anchor="tbl-margins">
        <w:r>
          <w:rPr>
            <w:rStyle w:val="Hyperlink"/>
          </w:rPr>
          <w:t xml:space="preserve">Table 3</w:t>
        </w:r>
      </w:hyperlink>
      <w:r>
        <w:t xml:space="preserve"> </w:t>
      </w:r>
      <w:r>
        <w:t xml:space="preserve">assumes that every downstream step clears as much as it does at its set-point. A downstream step that runs elsewhere in its NOR may clear less, and the downstream steps can then bring a lower pool level within the drug-substance criterion. Version 1.0 divided each criterion by a safety factor to cover this. The factor was chosen. It was not calculated from how much less the downstream steps clear within their NORs.</w:t>
      </w:r>
    </w:p>
    <w:p>
      <w:pPr>
        <w:pStyle w:val="BodyText"/>
      </w:pPr>
      <w:r>
        <w:t xml:space="preserve">The Version 1.0 viral clearance criteria for low-pH viral inactivation and anion exchange rest on nominal clearance in the same way. Each was the cumulative requirement less the clearance of the other two steps in the viral clearance summary of Version 1.0. That summary gives a single value for each step and virus, at the set-points. For XMuLV it gives 7.10 log10 for low-pH viral inactivation, 5.95 for anion exchange and 5.82 for virus filtration. For MVM it gives 4.71 log10 for anion exchange and 5.32 for virus filtration, and no clearance for low-pH viral inactivation. The Version 1.0 XMuLV criterion for low-pH viral inactivation, for example, was the cumulative requirement of 16.7 log10 less 5.95 and 5.82, which is 4.93 log10. The Version 1.0 virus filtration criteria were the virus filtration values of the same summary less 0.35 log10. None of these summary values is a mean of the response surface models in</w:t>
      </w:r>
      <w:r>
        <w:t xml:space="preserve"> </w:t>
      </w:r>
      <w:hyperlink w:anchor="tbl-viral">
        <w:r>
          <w:rPr>
            <w:rStyle w:val="Hyperlink"/>
          </w:rPr>
          <w:t xml:space="preserve">Table 13</w:t>
        </w:r>
      </w:hyperlink>
      <w:r>
        <w:t xml:space="preserve">.</w:t>
      </w:r>
    </w:p>
    <w:bookmarkEnd w:id="35"/>
    <w:bookmarkStart w:id="37" w:name="X47b234b397a07a5b7f36164398a0408d92fe006"/>
    <w:p>
      <w:pPr>
        <w:pStyle w:val="Heading2"/>
      </w:pPr>
      <w:r>
        <w:t xml:space="preserve">4.4 F3. Capability limits judged against the data they came from</w:t>
      </w:r>
    </w:p>
    <w:p>
      <w:pPr>
        <w:pStyle w:val="FirstParagraph"/>
      </w:pPr>
      <w:r>
        <w:t xml:space="preserve">For the glycans and acidic variants, Version 1.0 set 4 bioreactor criteria at the mean plus 2.5 SD of the commercial-scale capability simulation (R2 in</w:t>
      </w:r>
      <w:r>
        <w:t xml:space="preserve"> </w:t>
      </w:r>
      <w:hyperlink w:anchor="tbl-criteria-change">
        <w:r>
          <w:rPr>
            <w:rStyle w:val="Hyperlink"/>
          </w:rPr>
          <w:t xml:space="preserve">Table 2</w:t>
        </w:r>
      </w:hyperlink>
      <w:r>
        <w:t xml:space="preserve">).</w:t>
      </w:r>
      <w:r>
        <w:t xml:space="preserve"> </w:t>
      </w:r>
      <w:hyperlink w:anchor="tbl-cap-limits">
        <w:r>
          <w:rPr>
            <w:rStyle w:val="Hyperlink"/>
          </w:rPr>
          <w:t xml:space="preserve">Table 4</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6" w:name="tbl-cap-limits"/>
          <w:p>
            <w:pPr>
              <w:jc w:val="center"/>
            </w:pPr>
            <w:pPr>
              <w:jc w:val="start"/>
              <w:spacing w:before="200"/>
              <w:pStyle w:val="ImageCaption"/>
            </w:pPr>
            <w:r>
              <w:t xml:space="preserve">Table 4: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Capability</w:t>
                  </w:r>
                  <w:r>
                    <w:br/>
                  </w:r>
                  <w:r>
                    <w:t xml:space="preserve">mean</w:t>
                  </w:r>
                </w:p>
              </w:tc>
              <w:tc>
                <w:tcPr/>
                <w:p>
                  <w:pPr>
                    <w:pStyle w:val="Compact"/>
                    <w:jc w:val="center"/>
                  </w:pPr>
                  <w:r>
                    <w:t xml:space="preserve">Capability</w:t>
                  </w:r>
                  <w:r>
                    <w:br/>
                  </w:r>
                  <w:r>
                    <w:t xml:space="preserve">SD</w:t>
                  </w:r>
                </w:p>
              </w:tc>
              <w:tc>
                <w:tcPr/>
                <w:p>
                  <w:pPr>
                    <w:pStyle w:val="Compact"/>
                    <w:jc w:val="center"/>
                  </w:pPr>
                  <w:r>
                    <w:t xml:space="preserve">Mean +</w:t>
                  </w:r>
                  <w:r>
                    <w:br/>
                  </w:r>
                  <w:r>
                    <w:t xml:space="preserve">2.5 SD</w:t>
                  </w:r>
                </w:p>
              </w:tc>
              <w:tc>
                <w:tcPr/>
                <w:p>
                  <w:pPr>
                    <w:pStyle w:val="Compact"/>
                    <w:jc w:val="center"/>
                  </w:pPr>
                  <w:r>
                    <w:t xml:space="preserve">Version 1.0</w:t>
                  </w:r>
                  <w:r>
                    <w:br/>
                  </w:r>
                  <w:r>
                    <w:t xml:space="preserve">upper criterion</w:t>
                  </w:r>
                </w:p>
              </w:tc>
              <w:tc>
                <w:tcPr/>
                <w:p>
                  <w:pPr>
                    <w:pStyle w:val="Compact"/>
                    <w:jc w:val="center"/>
                  </w:pPr>
                  <w:r>
                    <w:t xml:space="preserve">Drug-substance</w:t>
                  </w:r>
                  <w:r>
                    <w:br/>
                  </w:r>
                  <w:r>
                    <w:t xml:space="preserve">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6"/>
          <w:p/>
        </w:tc>
      </w:tr>
    </w:tbl>
    <w:p>
      <w:pPr>
        <w:pStyle w:val="BodyText"/>
      </w:pPr>
      <w:r>
        <w:t xml:space="preserve">The capability simulation draws every parameter inside its NOR. The proven acceptable range analysis then asked whether the upper 95 % prediction limit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An alert limit of this kind can be reached inside the NOR by a batch that is well within the drug-substance criterion. The bioreactor report PCR-003 Version 1.0 reported such a case, a corner of the NOR at which predicted afucosylation exceeded its alert limit while meeting the drug-substance criterion by a wide margin. For the same reason, several proven acceptable ranges at the bioreactor stopped short of the NOR because they reached an alert limit, not the drug-substance criterion (§6.3).</w:t>
      </w:r>
    </w:p>
    <w:bookmarkEnd w:id="37"/>
    <w:bookmarkStart w:id="38"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Computed against both ends, the index is 1.03, because the mean lies 3.1 SD above the lower limit and 12.8 SD below the upper limit. The same one-sided treatment was used in the proven acceptable range analysis.</w:t>
      </w:r>
      <w:r>
        <w:t xml:space="preserve"> </w:t>
      </w:r>
      <w:hyperlink w:anchor="tbl-criteria-change">
        <w:r>
          <w:rPr>
            <w:rStyle w:val="Hyperlink"/>
          </w:rPr>
          <w:t xml:space="preserve">Table 2</w:t>
        </w:r>
      </w:hyperlink>
      <w:r>
        <w:t xml:space="preserve"> </w:t>
      </w:r>
      <w:r>
        <w:t xml:space="preserve">records the Version 1.0 alert limit for acidic variants as an upper limit only, and PCR-003 Version 1.0 judged its acidic variant ranges against that upper limit alone.</w:t>
      </w:r>
    </w:p>
    <w:p>
      <w:pPr>
        <w:pStyle w:val="BodyText"/>
      </w:pPr>
      <w:r>
        <w:t xml:space="preserve">Two statements in PCMR-001 Version 1.0 rested on the one-sided capability index. It reported the lowest capability index of the drug substance as 1.51, for MVM clearance. A capability index for a validated clearance claim, computed per batch, has no clear meaning, and it is quoted here only as PCMR-001 printed it. PCMR-001 also reported that no simulated batch fell outside an acceptance criterion. Against both ends of the acidic variant range, the simulation puts one batch in 2,000 outside it.</w:t>
      </w:r>
    </w:p>
    <w:bookmarkEnd w:id="38"/>
    <w:bookmarkStart w:id="41"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5</w:t>
        </w:r>
      </w:hyperlink>
      <w:r>
        <w:t xml:space="preserve"> </w:t>
      </w:r>
      <w:r>
        <w:t xml:space="preserve">sets the approval date of each plan against the start of its first study. Every plan was approved before its first study began. Read from the title blocks, every plan appeared to have been approved after its studies had started.</w:t>
      </w:r>
    </w:p>
    <w:tbl>
      <w:tblPr>
        <w:tblStyle w:val="Table"/>
        <w:tblW w:type="pct" w:w="5000"/>
        <w:tblLayout w:type="fixed"/>
        <w:tblLook w:firstRow="0" w:lastRow="0" w:firstColumn="0" w:lastColumn="0" w:noHBand="0" w:noVBand="0" w:val="0000"/>
      </w:tblPr>
      <w:tblGrid>
        <w:gridCol w:w="7920"/>
      </w:tblGrid>
      <w:tr>
        <w:tc>
          <w:tcPr/>
          <w:bookmarkStart w:id="39" w:name="tbl-plan-dates"/>
          <w:p>
            <w:pPr>
              <w:jc w:val="center"/>
            </w:pPr>
            <w:pPr>
              <w:jc w:val="start"/>
              <w:spacing w:before="200"/>
              <w:pStyle w:val="ImageCaption"/>
            </w:pPr>
            <w:r>
              <w:t xml:space="preserve">Table 5: Approval date of each step plan, against the start of its first study. The Version 1.0 title block of every plan printed 2026-07-24 instead of the approval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w:t>
                  </w:r>
                  <w:r>
                    <w:br/>
                  </w:r>
                  <w:r>
                    <w:t xml:space="preserve">started</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2025-08-07</w:t>
                  </w:r>
                </w:p>
              </w:tc>
              <w:tc>
                <w:tcPr/>
                <w:p>
                  <w:pPr>
                    <w:pStyle w:val="Compact"/>
                    <w:jc w:val="center"/>
                  </w:pPr>
                  <w:r>
                    <w:t xml:space="preserve">2025-08-11</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r>
          </w:tbl>
          <w:bookmarkEnd w:id="39"/>
          <w:p/>
        </w:tc>
      </w:tr>
    </w:tbl>
    <w:p>
      <w:pPr>
        <w:pStyle w:val="BodyText"/>
      </w:pPr>
      <w:r>
        <w:t xml:space="preserve">The Version 1.0 reports gave no execution date for any study. Their equipment tables recorded each instrumented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w:t>
      </w:r>
      <w:r>
        <w:t xml:space="preserve"> </w:t>
      </w:r>
      <w:hyperlink w:anchor="tbl-calibration">
        <w:r>
          <w:rPr>
            <w:rStyle w:val="Hyperlink"/>
          </w:rPr>
          <w:t xml:space="preserve">Table 6</w:t>
        </w:r>
      </w:hyperlink>
      <w:r>
        <w:t xml:space="preserve"> </w:t>
      </w:r>
      <w:r>
        <w:t xml:space="preserve">gives them for the 7 studies that ran on the 3 instrumented systems. Every one of these studies closed before the calibration of its system fell due. The smallest margin is at study S-UFDF-UNI at the UF/DF step, on the ultrafiltration / diafiltration TFF skid EQ-TFF-142. It closed on 2026-03-27, 26 days before the calibration due on 2026-04-22.</w:t>
      </w:r>
    </w:p>
    <w:tbl>
      <w:tblPr>
        <w:tblStyle w:val="Table"/>
        <w:tblW w:type="pct" w:w="5000"/>
        <w:tblLayout w:type="fixed"/>
        <w:tblLook w:firstRow="0" w:lastRow="0" w:firstColumn="0" w:lastColumn="0" w:noHBand="0" w:noVBand="0" w:val="0000"/>
      </w:tblPr>
      <w:tblGrid>
        <w:gridCol w:w="7920"/>
      </w:tblGrid>
      <w:tr>
        <w:tc>
          <w:tcPr/>
          <w:bookmarkStart w:id="40" w:name="tbl-calibration"/>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40"/>
          <w:p/>
        </w:tc>
      </w:tr>
    </w:tbl>
    <w:bookmarkEnd w:id="41"/>
    <w:bookmarkStart w:id="44" w:name="Xe14f17702975aa3595a44b5d251ecf91a2be80c"/>
    <w:p>
      <w:pPr>
        <w:pStyle w:val="Heading2"/>
      </w:pPr>
      <w:r>
        <w:t xml:space="preserve">4.7 F6. Fragments by SEC in the Protein A and low-pH viral inactivation pools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7</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7: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On average, SEC read fragments higher than nrCE-SDS by 0.43 to 0.53 percentage points in the Protein A pool, the VI pool and the CEX load. From the CEX pool onward, the mean difference between the two methods was no more than 0.06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1.34 % fragments, where nrCE-SDS reported 0.91 %. The excess there is about 47 % of the fragment level that nrCE-SDS measures, and about 17 % of the Protein A fragment criterion of 2.45 % (</w:t>
      </w:r>
      <w:hyperlink w:anchor="tbl-iac">
        <w:r>
          <w:rPr>
            <w:rStyle w:val="Hyperlink"/>
          </w:rPr>
          <w:t xml:space="preserve">Table 9</w:t>
        </w:r>
      </w:hyperlink>
      <w:r>
        <w:t xml:space="preserve">). SEC fragment results from the Protein A pool and the low-pH viral inactivation pool are therefore biased high by an amount that would use a large part of a fragment criterion.</w:t>
      </w:r>
    </w:p>
    <w:p>
      <w:pPr>
        <w:pStyle w:val="BodyText"/>
      </w:pPr>
      <w:r>
        <w:t xml:space="preserve">The decision AMD-001 to measure fragments by nrCE-SDS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8</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3" w:name="tbl-methods-by-study"/>
          <w:p>
            <w:pPr>
              <w:jc w:val="center"/>
            </w:pPr>
            <w:pPr>
              <w:jc w:val="start"/>
              <w:spacing w:before="200"/>
              <w:pStyle w:val="ImageCaption"/>
            </w:pPr>
            <w:r>
              <w:t xml:space="preserve">Table 8: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43"/>
          <w:p/>
        </w:tc>
      </w:tr>
    </w:tbl>
    <w:p>
      <w:pPr>
        <w:pStyle w:val="BodyText"/>
      </w:pPr>
      <w:r>
        <w:t xml:space="preserve">The decision AMD-001 and the nrCE-SDS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The decision to measure fragments by nrCE-SDS therefore never reached the documents.</w:t>
      </w:r>
    </w:p>
    <w:bookmarkEnd w:id="44"/>
    <w:bookmarkEnd w:id="45"/>
    <w:bookmarkStart w:id="46" w:name="root-cause"/>
    <w:p>
      <w:pPr>
        <w:pStyle w:val="Heading1"/>
      </w:pPr>
      <w:r>
        <w:t xml:space="preserve">5. Root cause</w:t>
      </w:r>
    </w:p>
    <w:p>
      <w:pPr>
        <w:pStyle w:val="FirstParagraph"/>
      </w:pPr>
      <w:r>
        <w:t xml:space="preserve">The root cause is that PCMP-001 Version 1.0, the master plan, required a criterion for each step but gave no rule for deriving one (finding F1). When the Protein A analysis showed that an intermediate cannot be judged against a drug-substance criterion, the criteria were derived during the analysis, by the people analysing the data, with the results in view. Every rule they chose drew on the nominal results or the capability data of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(finding F1, criteria defined after the data were seen).</w:t>
      </w:r>
    </w:p>
    <w:p>
      <w:pPr>
        <w:pStyle w:val="Compact"/>
        <w:numPr>
          <w:ilvl w:val="0"/>
          <w:numId w:val="1003"/>
        </w:numPr>
      </w:pPr>
      <w:r>
        <w:t xml:space="preserve">Neither the plans nor the master plan defined how much less a downstream step may clear within its NOR, which is what a step criterion has to allow for. A chosen safety factor was used instead, and its size was set step by step (finding F2). Capability data were used where no downstream step changes the attribute (finding F3).</w:t>
      </w:r>
    </w:p>
    <w:p>
      <w:pPr>
        <w:pStyle w:val="Compact"/>
        <w:numPr>
          <w:ilvl w:val="0"/>
          <w:numId w:val="1003"/>
        </w:numPr>
      </w:pPr>
      <w:r>
        <w:t xml:space="preserve">No second review checked whether a capability calculation used a one-sided or a two-sided criterion as the register gives it (finding F4, acidic variants). No second review checked the dates in the title blocks and study records against the approval and equipment records (finding F5).</w:t>
      </w:r>
    </w:p>
    <w:p>
      <w:pPr>
        <w:pStyle w:val="Compact"/>
        <w:numPr>
          <w:ilvl w:val="0"/>
          <w:numId w:val="1003"/>
        </w:numPr>
      </w:pPr>
      <w:r>
        <w:t xml:space="preserve">No procedure required that a method decision be assessed against the approved plans and put into effect by plan amendment (finding F6, fragments by SEC).</w:t>
      </w:r>
    </w:p>
    <w:bookmarkEnd w:id="46"/>
    <w:bookmarkStart w:id="58" w:name="impact-assessment"/>
    <w:p>
      <w:pPr>
        <w:pStyle w:val="Heading1"/>
      </w:pPr>
      <w:r>
        <w:t xml:space="preserve">6. Impact assessment</w:t>
      </w:r>
    </w:p>
    <w:bookmarkStart w:id="48" w:name="the-version-2.0-criteria"/>
    <w:p>
      <w:pPr>
        <w:pStyle w:val="Heading2"/>
      </w:pPr>
      <w:r>
        <w:t xml:space="preserve">6.1 The Version 2.0 criteria</w:t>
      </w:r>
    </w:p>
    <w:p>
      <w:pPr>
        <w:pStyle w:val="FirstParagraph"/>
      </w:pPr>
      <w:r>
        <w:t xml:space="preserve">Under corrective action CA1, the investigation defined the intermediate acceptance criteria and the rules for judging against them. Corrective action CA1 then issues them in PCMP-001 Version 2.0, the master plan, effective 2026-09-30. The investigation closed on 2026-09-18, before that date, and the re-analysis in this section applied the rules as CA1 defined them.</w:t>
      </w:r>
    </w:p>
    <w:p>
      <w:pPr>
        <w:pStyle w:val="BodyText"/>
      </w:pPr>
      <w:r>
        <w:t xml:space="preserve">Each drug-substance criterion is carried backward through the train, using the worst case each downstream step showed on the platform (X-Mab, Y-Mab and Z-Mab). The platform worst case is the lowest fold clearance or the largest increase seen on those products. No margin is applied. The glycans keep their drug-substance criterion, because no downstream step changes them. Each viral clearance step is held to its platform claim. The claims sum to the cumulative clearance that the CQA register requires of the process, taken from the A-Mab case study</w:t>
      </w:r>
      <w:r>
        <w:t xml:space="preserve"> </w:t>
      </w:r>
      <w:r>
        <w:t xml:space="preserve">(CMC Biotech Working Group 2009)</w:t>
      </w:r>
      <w:r>
        <w:t xml:space="preserve">. The sums are 16.72 against a requirement of 16.7 log10 for XMuLV and 8.62 against 8.6 log10 for MVM.</w:t>
      </w:r>
    </w:p>
    <w:p>
      <w:pPr>
        <w:pStyle w:val="BodyText"/>
      </w:pPr>
      <w:r>
        <w:t xml:space="preserve">Corrective action CA1 also defined three rules that the re-analysis applies.</w:t>
      </w:r>
    </w:p>
    <w:p>
      <w:pPr>
        <w:pStyle w:val="Compact"/>
        <w:numPr>
          <w:ilvl w:val="0"/>
          <w:numId w:val="1004"/>
        </w:numPr>
      </w:pPr>
      <w:r>
        <w:t xml:space="preserve">Verification compares each platform worst case with the A-Mab worst case that the response surface model of the downstream step predicts within its NOR. The bound that can replace a platform value is the one-sided 95 % prediction bound of a single batch at the least favourable combination of NOR low, set-point and NOR high (the single-batch bound). Where the A-Mab prediction is worse than the platform value, the single-batch bound replaces it and the criteria upstream tighten. Where the single-batch bound is better than the platform value, it replaces it and the criteria upstream widen, but only if the model passes the adequacy tests of PCMP-001 Version 2.0 (R² less predicted R² at most 0.2, and no lack of fit at the 0.05 level). Otherwise the platform value stands. No criterion is set from a point prediction or from a confidence bound of the mean.</w:t>
      </w:r>
    </w:p>
    <w:p>
      <w:pPr>
        <w:pStyle w:val="Compact"/>
        <w:numPr>
          <w:ilvl w:val="0"/>
          <w:numId w:val="1004"/>
        </w:numPr>
      </w:pPr>
      <w:r>
        <w:t xml:space="preserve">A scale-down model is qualified for an output when its offset (the mean of the scale-down set-point runs less the mean of the manufacturing-scale batches) is known precisely enough that the conclusion over the NOR is the same at either end of the 90 % confidence interval of the offset. A qualified model may differ in mean from manufacturing scale. Every Version 2.0 judgement subtracts the offset, so results are stated at manufacturing scale.</w:t>
      </w:r>
    </w:p>
    <w:p>
      <w:pPr>
        <w:pStyle w:val="Compact"/>
        <w:numPr>
          <w:ilvl w:val="0"/>
          <w:numId w:val="1004"/>
        </w:numPr>
      </w:pPr>
      <w:r>
        <w:t xml:space="preserve">A quality attribute is judged per batch, on the 95 % prediction interval of a single batch. Viral clearance is judged on the mean predicted log reduction factor (LRF) at the least favourable combination of NOR low, set-point and NOR high of the other parameters.</w:t>
      </w:r>
    </w:p>
    <w:p>
      <w:pPr>
        <w:pStyle w:val="FirstParagraph"/>
      </w:pPr>
      <w:hyperlink w:anchor="tbl-iac">
        <w:r>
          <w:rPr>
            <w:rStyle w:val="Hyperlink"/>
          </w:rPr>
          <w:t xml:space="preserve">Table 9</w:t>
        </w:r>
      </w:hyperlink>
      <w:r>
        <w:t xml:space="preserve"> </w:t>
      </w:r>
      <w:r>
        <w:t xml:space="preserve">gives the 22 criteria with their derivation. Of these, 9 are the drug-substance criterion applied directly, 8 are carried back through the downstream steps, and 5 are platform viral clearance claims. When the platform worst cases were verified (§6.2), 2 of the back-calculated criteria were tightened and 3 were widened. The criterion for aggregates at the production bioreactor step is counted in both, because one downstream step tightened it and another widened it.</w:t>
      </w:r>
    </w:p>
    <w:tbl>
      <w:tblPr>
        <w:tblStyle w:val="Table"/>
        <w:tblW w:type="pct" w:w="5000"/>
        <w:tblLayout w:type="fixed"/>
        <w:tblLook w:firstRow="0" w:lastRow="0" w:firstColumn="0" w:lastColumn="0" w:noHBand="0" w:noVBand="0" w:val="0000"/>
      </w:tblPr>
      <w:tblGrid>
        <w:gridCol w:w="7920"/>
      </w:tblGrid>
      <w:tr>
        <w:tc>
          <w:tcPr/>
          <w:bookmarkStart w:id="47"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7"/>
          <w:p/>
        </w:tc>
      </w:tr>
    </w:tbl>
    <w:p>
      <w:pPr>
        <w:pStyle w:val="BodyText"/>
      </w:pPr>
      <w:r>
        <w:t xml:space="preserve">This campaign’s data enter the Version 2.0 criteria, as they entered the Version 1.0 criteria. The difference lies in how they enter. Version 1.0 set its criteria after the data were seen, from the nominal performance of the downstream steps, with a safety factor chosen step by step. Version 2.0 starts from the platform worst case, by a rule written before any report applied it. This campaign’s data can then move a criterion only through the single-batch bound of a downstream step within its NOR, in either direction. The data of a step never set its own criterion.</w:t>
      </w:r>
    </w:p>
    <w:bookmarkEnd w:id="48"/>
    <w:bookmarkStart w:id="50" w:name="verification-of-the-platform-worst-cases"/>
    <w:p>
      <w:pPr>
        <w:pStyle w:val="Heading2"/>
      </w:pPr>
      <w:r>
        <w:t xml:space="preserve">6.2 Verification of the platform worst cases</w:t>
      </w:r>
    </w:p>
    <w:p>
      <w:pPr>
        <w:pStyle w:val="FirstParagraph"/>
      </w:pPr>
      <w:r>
        <w:t xml:space="preserve">The platform worst cases are assumptions about A-Mab. Each was checked against the data of the downstream step it describes, under the first rule of CA1 in §6.1. The value observed at the edges of the characterization range is shown for information.</w:t>
      </w:r>
      <w:r>
        <w:t xml:space="preserve"> </w:t>
      </w:r>
      <w:hyperlink w:anchor="tbl-iac-verification">
        <w:r>
          <w:rPr>
            <w:rStyle w:val="Hyperlink"/>
          </w:rPr>
          <w:t xml:space="preserve">Table 10</w:t>
        </w:r>
      </w:hyperlink>
      <w:r>
        <w:t xml:space="preserve"> </w:t>
      </w:r>
      <w:r>
        <w:t xml:space="preserve">gives the result. Of the 7 assumptions that could be tested, 6 were confirmed, because the prediction within the NOR was no worse than the platform value. For 2 of them the single-batch bound was also better than the platform value, on a model that meets the first three adequacy criteria of PCMP-001 §7.2, and the criteria upstream were recalculated with the bound. For the increase of acidic variants at low-pH viral inactivation the bound was also better, but the acidic-variant results of that design have no scatter. The model fits them exactly, so the lack-of-fit test and the model F-test cannot be applied, and the platform value stands. For the other three the single-batch bound was not better than the platform value, so the platform value stands.</w:t>
      </w:r>
    </w:p>
    <w:tbl>
      <w:tblPr>
        <w:tblStyle w:val="Table"/>
        <w:tblW w:type="pct" w:w="5000"/>
        <w:tblLayout w:type="fixed"/>
        <w:tblLook w:firstRow="0" w:lastRow="0" w:firstColumn="0" w:lastColumn="0" w:noHBand="0" w:noVBand="0" w:val="0000"/>
      </w:tblPr>
      <w:tblGrid>
        <w:gridCol w:w="7920"/>
      </w:tblGrid>
      <w:tr>
        <w:tc>
          <w:tcPr/>
          <w:bookmarkStart w:id="49" w:name="tbl-iac-verification"/>
          <w:p>
            <w:pPr>
              <w:jc w:val="center"/>
            </w:pPr>
            <w:pPr>
              <w:jc w:val="start"/>
              <w:spacing w:before="200"/>
              <w:pStyle w:val="ImageCaption"/>
            </w:pPr>
            <w:r>
              <w:t xml:space="preserve">Table 10: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49"/>
          <w:p/>
        </w:tc>
      </w:tr>
    </w:tbl>
    <w:p>
      <w:pPr>
        <w:pStyle w:val="BodyText"/>
      </w:pPr>
      <w:r>
        <w:t xml:space="preserve">At the edges of the characterization range, cation exchange cleared host cell protein 30.3-fold, short of the platform worst case of 40.0-fold. Within the NOR, the lowest clearance the model predicts is 44.9-fold, and the single-batch bound is 36.7-fold. The edges of the characterization range lie outside the NOR, so the edge value does not decide the criterion. The prediction within the NOR confirms the platform value. The single-batch bound is below it, so the platform value of 40.0-fold stands for cation exchange. The verification used the models that INV-002 corrective action CA3 selects for each output (§2). At anion exchange, the single-batch bound for host cell protein is 4.27-fold, which is better than the platform value of 4.00-fold. The anion exchange model passes the adequacy tests, so this bound replaced the platform value. The anion exchange bound widened the cation exchange criterion for host cell protein from 400 to 427 ng/mg. Carried back through the platform value at cation exchange and this bound at anion exchange, the Protein A criterion for host cell protein was widened from 16,000 to 17,069 ng/mg. The Protein A criterion is also wider than the Version 1.0 limit of 10,724 ng/mg, which was never an approved criterion (finding F1). In all, 3 criteria were widened, for aggregates at the production bioreactor step, host cell protein at the Protein A step and host cell protein at the cation exchange step.</w:t>
      </w:r>
      <w:r>
        <w:t xml:space="preserve"> </w:t>
      </w:r>
      <w:hyperlink w:anchor="tbl-par-change">
        <w:r>
          <w:rPr>
            <w:rStyle w:val="Hyperlink"/>
          </w:rPr>
          <w:t xml:space="preserve">Table 11</w:t>
        </w:r>
      </w:hyperlink>
      <w:r>
        <w:t xml:space="preserve"> </w:t>
      </w:r>
      <w:r>
        <w:t xml:space="preserve">in §6.3 gives the ranges that widened as a result.</w:t>
      </w:r>
    </w:p>
    <w:p>
      <w:pPr>
        <w:pStyle w:val="BodyText"/>
      </w:pPr>
      <w:r>
        <w:t xml:space="preserve">One assumption was not confirmed. The platform worst case for aggregate at cation exchange is a fold clearance of 2.0. Within its NOR, the lowest fold clearance the response surface model of this campaign predicts is 1.58, and the single-batch bound is 1.40. The aggregate criteria upstream of cation exchange were recalculated with the bound, and the 2 aggregate criteria at the production bioreactor and low-pH viral inactivation steps were tightened. At the bioreactor the same criterion was also widened, because the single-batch bound of the aggregate increase at low-pH viral inactivation, 0.56 percentage points, is smaller than the platform value of 0.70. The platform value is an increase over a hold of 180 min. The A-Mab value is an increase within the NOR as characterized, where the hold lasts at most 120 min. For aggregate, the largest increase measured at the edges of the range studied, which include a hold of 180 min, is 0.84 points, above the platform value. That criterion therefore moved because the A-Mab hold is shorter, not because A-Mab is more stable at low pH. The criterion is still right, because routine manufacture does not hold longer than the NOR. The acidic-variant increase at low-pH viral inactivation, 0.40 points, is also below its platform value of 1.00, but its model fits exactly, so the bioreactor criterion for acidic variants stays at its a priori value. Against the tightened criteria, every aggregate proven acceptable range at these two steps still spans the whole characterization range, so the tightening moved no range.</w:t>
      </w:r>
    </w:p>
    <w:p>
      <w:pPr>
        <w:pStyle w:val="BodyText"/>
      </w:pPr>
      <w:r>
        <w:t xml:space="preserve">The criterion of 158 ppm for leached Protein A at the Protein A step rests on two platform worst cases, for cation exchange and anion exchange, that no response of this campaign could test (not a response in</w:t>
      </w:r>
      <w:r>
        <w:t xml:space="preserve"> </w:t>
      </w:r>
      <w:hyperlink w:anchor="tbl-iac-verification">
        <w:r>
          <w:rPr>
            <w:rStyle w:val="Hyperlink"/>
          </w:rPr>
          <w:t xml:space="preserve">Table 10</w:t>
        </w:r>
      </w:hyperlink>
      <w:r>
        <w:t xml:space="preserve">). Together they assume a clearance of 31.6-fold. Judged per batch at manufacturing scale, the upper 95 % prediction limit for the Protein A pool is at most 5.87 ppm over the NOR (</w:t>
      </w:r>
      <w:hyperlink w:anchor="tbl-results">
        <w:r>
          <w:rPr>
            <w:rStyle w:val="Hyperlink"/>
          </w:rPr>
          <w:t xml:space="preserve">Table 12</w:t>
        </w:r>
      </w:hyperlink>
      <w:r>
        <w:t xml:space="preserve">). It meets the step criterion. For a batch at that level to meet the drug-substance criterion of 5 ppm, the downstream steps need to clear only 1.17-fold. The untested platform worst cases therefore carry little of the weight of this criterion.</w:t>
      </w:r>
    </w:p>
    <w:bookmarkEnd w:id="50"/>
    <w:bookmarkStart w:id="54" w:name="impact-by-document"/>
    <w:p>
      <w:pPr>
        <w:pStyle w:val="Heading2"/>
      </w:pPr>
      <w:r>
        <w:t xml:space="preserve">6.3 Impact by document</w:t>
      </w:r>
    </w:p>
    <w:p>
      <w:pPr>
        <w:pStyle w:val="FirstParagraph"/>
      </w:pPr>
      <w:r>
        <w:t xml:space="preserve">All 20 documents in</w:t>
      </w:r>
      <w:r>
        <w:t xml:space="preserve"> </w:t>
      </w:r>
      <w:hyperlink w:anchor="tbl-docs">
        <w:r>
          <w:rPr>
            <w:rStyle w:val="Hyperlink"/>
          </w:rPr>
          <w:t xml:space="preserve">Table 1</w:t>
        </w:r>
      </w:hyperlink>
      <w:r>
        <w:t xml:space="preserve"> </w:t>
      </w:r>
      <w:r>
        <w:t xml:space="preserve">are to be reissued at Version 2.0, effective 2026-09-30. Corrective action CA1 reissues the master plan PCMP-001 with the criteria and rules of §6.1. Corrective action CA2 amends the step plans PCP-003 to PCP-010 to state the criteria with their basis. Corrective action CA3 reissues the step reports, the master report PCMR-001, the Process Transfer Plan PTP-001 and the Pre-Characterization Risk Assessment RA-001. The step reports judge each step against the criteria, on the models selected under INV-002 (§2), and PCMR-001 consolidates the result.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11</w:t>
        </w:r>
      </w:hyperlink>
      <w:r>
        <w:t xml:space="preserve"> </w:t>
      </w:r>
      <w:r>
        <w:t xml:space="preserve">compares the proven acceptable ranges in each report with a DoE, as Version 1.0 reported them and as the re-analysis gives them. These are the ranges computed with the other parameters varying within their NORs. The reports without a DoE, the harvest report PCR-004 and the UF/DF report PCR-010, contain no such ranges. Their revision will record the execution windows (finding F5).</w:t>
      </w:r>
    </w:p>
    <w:tbl>
      <w:tblPr>
        <w:tblStyle w:val="Table"/>
        <w:tblW w:type="pct" w:w="5000"/>
        <w:tblLayout w:type="fixed"/>
        <w:tblLook w:firstRow="0" w:lastRow="0" w:firstColumn="0" w:lastColumn="0" w:noHBand="0" w:noVBand="0" w:val="0000"/>
      </w:tblPr>
      <w:tblGrid>
        <w:gridCol w:w="7920"/>
      </w:tblGrid>
      <w:tr>
        <w:tc>
          <w:tcPr/>
          <w:bookmarkStart w:id="51" w:name="tbl-par-change"/>
          <w:p>
            <w:pPr>
              <w:jc w:val="center"/>
            </w:pPr>
            <w:pPr>
              <w:jc w:val="start"/>
              <w:spacing w:before="200"/>
              <w:pStyle w:val="ImageCaption"/>
            </w:pPr>
            <w:r>
              <w:t xml:space="preserve">Table 11: Proven acceptable ranges with the other parameters varying within their NORs, in Version 1.0 and in the re-analysis, by report.</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In</w:t>
                  </w:r>
                  <w:r>
                    <w:br/>
                  </w:r>
                  <w:r>
                    <w:t xml:space="preserve">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r>
                    <w:rPr>
                      <w:vertAlign w:val="superscript"/>
                    </w:rPr>
                    <w:t xml:space="preserve">a)</w:t>
                  </w:r>
                </w:p>
              </w:tc>
              <w:tc>
                <w:tcPr/>
                <w:p>
                  <w:pPr>
                    <w:pStyle w:val="Compact"/>
                    <w:jc w:val="center"/>
                  </w:pPr>
                  <w:r>
                    <w:t xml:space="preserve">No</w:t>
                  </w:r>
                  <w:r>
                    <w:br/>
                  </w:r>
                  <w:r>
                    <w:t xml:space="preserve">range</w:t>
                  </w:r>
                  <w:r>
                    <w:rPr>
                      <w:vertAlign w:val="superscript"/>
                    </w:rPr>
                    <w:t xml:space="preserve">b)</w:t>
                  </w:r>
                </w:p>
              </w:tc>
              <w:tc>
                <w:tcPr/>
                <w:p>
                  <w:pPr>
                    <w:pStyle w:val="Compact"/>
                    <w:jc w:val="center"/>
                  </w:pPr>
                  <w:r>
                    <w:t xml:space="preserve">New</w:t>
                  </w:r>
                  <w:r>
                    <w:rPr>
                      <w:vertAlign w:val="superscript"/>
                    </w:rPr>
                    <w:t xml:space="preserve">c)</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r>
              <w:tc>
                <w:tcPr>
                  <w:gridSpan w:val="9"/>
                </w:tcPr>
                <w:p>
                  <w:pPr>
                    <w:pStyle w:val="Compact"/>
                    <w:jc w:val="center"/>
                  </w:pPr>
                  <w:r>
                    <w:rPr>
                      <w:vertAlign w:val="superscript"/>
                    </w:rPr>
                    <w:t xml:space="preserve">a)</w:t>
                  </w:r>
                  <w:r>
                    <w:t xml:space="preserve"> </w:t>
                  </w:r>
                  <w:r>
                    <w:t xml:space="preserve">One end of the range moved inward and the other outward.</w:t>
                  </w:r>
                </w:p>
              </w:tc>
            </w:tr>
            <w:tr>
              <w:tc>
                <w:tcPr>
                  <w:gridSpan w:val="9"/>
                </w:tcPr>
                <w:p>
                  <w:pPr>
                    <w:pStyle w:val="Compact"/>
                    <w:jc w:val="center"/>
                  </w:pPr>
                  <w:r>
                    <w:rPr>
                      <w:vertAlign w:val="superscript"/>
                    </w:rPr>
                    <w:t xml:space="preserve">b)</w:t>
                  </w:r>
                  <w:r>
                    <w:t xml:space="preserve"> </w:t>
                  </w:r>
                  <w:r>
                    <w:t xml:space="preserve">With the other parameters at their least favourable combination of NOR low, set-point and NOR high, the viral clearance claim is not met even with the scanned parameter at its set-point.</w:t>
                  </w:r>
                </w:p>
              </w:tc>
            </w:tr>
            <w:tr>
              <w:tc>
                <w:tcPr>
                  <w:gridSpan w:val="9"/>
                </w:tcPr>
                <w:p>
                  <w:pPr>
                    <w:pStyle w:val="Compact"/>
                    <w:jc w:val="center"/>
                  </w:pPr>
                  <w:r>
                    <w:rPr>
                      <w:vertAlign w:val="superscript"/>
                    </w:rPr>
                    <w:t xml:space="preserve">c)</w:t>
                  </w:r>
                  <w:r>
                    <w:t xml:space="preserve"> </w:t>
                  </w:r>
                  <w:r>
                    <w:t xml:space="preserve">Fragment ranges measured by nrCE-SDS, which Version 1.0 did not report.</w:t>
                  </w:r>
                </w:p>
              </w:tc>
            </w:tr>
          </w:tbl>
          <w:bookmarkEnd w:id="51"/>
          <w:p/>
        </w:tc>
      </w:tr>
    </w:tbl>
    <w:p>
      <w:pPr>
        <w:pStyle w:val="BodyText"/>
      </w:pPr>
      <w:r>
        <w:t xml:space="preserve">Of the 38 ranges that changed, 29 widened. Of these, 13 are at the bioreactor. There, 11 glycan ranges widened because the capability alert limits of Version 1.0 (finding F3) gave way to the drug-substance criteria. A further two aggregate ranges widened because the Version 1.0 aggregate limit, divided by a safety factor (finding F2), gave way to a back-calculated criterion with no margin. At the other steps, 13 of the 16 wider ranges belong to criteria that Version 1.0 had divided by a safety factor. The remaining wider ranges are one range for leached Protein A at the Protein A step, which Version 1.0 judged against the drug-substance criterion itself, and two ranges at virus filtration, where the Version 1.0 criterion (the fourth rule in §3.3) lay above the platform claim that replaced it.</w:t>
      </w:r>
    </w:p>
    <w:p>
      <w:pPr>
        <w:pStyle w:val="BodyText"/>
      </w:pPr>
      <w:r>
        <w:t xml:space="preserve">At cation exchange, the Version 1.0 aggregate criterion of 1.00 % HMW was the drug-substance criterion divided by a safety factor of 5.0. Against it, the proven acceptable range for protein load, with the other parameters varying within their NORs, was 10–27.6 g/L resin. That range did not reach the upper end of the protein load NOR at 32 g/L resin. Against the Version 2.0 criterion of 5 %, the range is 10–40 g/L resin, and it covers the upper end of the NOR. At the bioreactor, the range for dissolved CO2 judged on galactosylation, computed the same way, was 74.5–160 mmHg at Version 1.0. It did not reach the lower end of the NOR at 70 mmHg. Judged against the drug-substance criterion, it is 40–160 mmHg.</w:t>
      </w:r>
    </w:p>
    <w:p>
      <w:pPr>
        <w:pStyle w:val="BodyText"/>
      </w:pPr>
      <w:r>
        <w:t xml:space="preserve">The ranges that did not widen have three causes. At the bioreactor, the only Version 2.0 limit stricter than its Version 1.0 counterpart is the lower limit for acidic variants, which Version 1.0 did not apply (finding F4, §4.5). As a result, four of the acidic variant ranges there changed. Of these, one narrowed, three moved and none widened. Judged against the upper limit alone, every one of them would span the whole characterization range, so the lower limit of 18 % now sets them. Acidic variants fall as CO2 partial pressure (pCO2) rises, in this campaign’s response surface model and in the response surface estimates of the published A-Mab case study</w:t>
      </w:r>
      <w:r>
        <w:t xml:space="preserve"> </w:t>
      </w:r>
      <w:r>
        <w:t xml:space="preserve">(CMC Biotech Working Group 2009, Table 3.16)</w:t>
      </w:r>
      <w:r>
        <w:t xml:space="preserve">. For CO2 partial pressure (pCO2), the range is therefore 40–115 mmHg, and it no longer reaches the upper end of the NOR at 130 mmHg.</w:t>
      </w:r>
    </w:p>
    <w:p>
      <w:pPr>
        <w:pStyle w:val="BodyText"/>
      </w:pPr>
      <w:r>
        <w:t xml:space="preserve">At low-pH viral inactivation, the XMuLV criterion rose from the Version 1.0 value of 4.93 log10 to the platform claim of 6.6 log10, and XMuLV clearance is now judged at the least favourable combination of the other parameters. The XMuLV clearance of low-pH viral inactivation therefore no longer gives a proven acceptable range for any of its three parameters. For inactivation pH, Version 1.0 had reported 3.2–3.96. At anion exchange, the viral clearance criteria also rose to the platform claims and are also judged at the least favourable combination. The load pH ranges there narrowed slightly, for XMuLV from 7.2–7.8 to 7.21–7.8 and MVM from 7.2–7.8 to 7.29–7.8.</w:t>
      </w:r>
    </w:p>
    <w:p>
      <w:pPr>
        <w:pStyle w:val="BodyText"/>
      </w:pPr>
      <w:hyperlink w:anchor="tbl-results">
        <w:r>
          <w:rPr>
            <w:rStyle w:val="Hyperlink"/>
          </w:rPr>
          <w:t xml:space="preserve">Table 12</w:t>
        </w:r>
      </w:hyperlink>
      <w:r>
        <w:t xml:space="preserve"> </w:t>
      </w:r>
      <w:r>
        <w:t xml:space="preserve">gives each pool attribute of each step against its Version 2.0 criterion over the NOR as characterized, at manufacturing scale. Each is judged on the 95 % prediction interval for a single batch, from the response surface model that Version 1.0 fitted (§2). Of the 17 pool attributes, 16 meet their criterion across the NOR.</w:t>
      </w:r>
    </w:p>
    <w:p>
      <w:pPr>
        <w:pStyle w:val="BodyText"/>
      </w:pPr>
      <w:r>
        <w:t xml:space="preserve">For acidic variants at the production bioreactor step, the lower 95 % prediction limit for a single batch falls to 14.7 %, against the lower limit of 18.0 %. In this campaign’s response surface model, higher culture pH and higher CO2 partial pressure (pCO2) lower acidic variants, and higher culture temperature raises them. The published A-Mab case study reports the same directions</w:t>
      </w:r>
      <w:r>
        <w:t xml:space="preserve"> </w:t>
      </w:r>
      <w:r>
        <w:t xml:space="preserve">(CMC Biotech Working Group 2009, Table 3.16)</w:t>
      </w:r>
      <w:r>
        <w:t xml:space="preserve">. The limit is therefore lowest at the corner of the NOR where culture pH and CO2 partial pressure (pCO2) are at their upper ends (6.95 and 130 mmHg) and culture temperature is at its lower end (34.5 °C). Culture duration is at its upper end (18 days) at that corner, but it has no significant effect on acidic variants in the model. With every parameter at its set-point the batch interval meets the criterion. The bioreactor report PCR-003 Version 2.0 reports the resulting range for CO2 partial pressure (pCO2), 40–115 mmHg.</w:t>
      </w:r>
    </w:p>
    <w:tbl>
      <w:tblPr>
        <w:tblStyle w:val="Table"/>
        <w:tblW w:type="pct" w:w="5000"/>
        <w:tblLayout w:type="fixed"/>
        <w:tblLook w:firstRow="0" w:lastRow="0" w:firstColumn="0" w:lastColumn="0" w:noHBand="0" w:noVBand="0" w:val="0000"/>
      </w:tblPr>
      <w:tblGrid>
        <w:gridCol w:w="7920"/>
      </w:tblGrid>
      <w:tr>
        <w:tc>
          <w:tcPr/>
          <w:bookmarkStart w:id="52" w:name="tbl-results"/>
          <w:p>
            <w:pPr>
              <w:jc w:val="center"/>
            </w:pPr>
            <w:pPr>
              <w:jc w:val="start"/>
              <w:spacing w:before="200"/>
              <w:pStyle w:val="ImageCaption"/>
            </w:pPr>
            <w:r>
              <w:t xml:space="preserve">Table 12: Pool attributes of each step against their Version 2.0 criteria, at manufacturing scale (the offset of the scale-down model is subtracted where one was determined). The mean and the 95 % prediction interval for a single batch come from the response surface model. The interval is taken over every combination of NOR low, set-point and NOR high of the parameters in the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Mean at</w:t>
                  </w:r>
                  <w:r>
                    <w:br/>
                  </w:r>
                  <w:r>
                    <w:t xml:space="preserve">set-points</w:t>
                  </w:r>
                </w:p>
              </w:tc>
              <w:tc>
                <w:tcPr/>
                <w:p>
                  <w:pPr>
                    <w:pStyle w:val="Compact"/>
                    <w:jc w:val="center"/>
                  </w:pPr>
                  <w:r>
                    <w:t xml:space="preserve">95 % prediction</w:t>
                  </w:r>
                  <w:r>
                    <w:br/>
                  </w:r>
                  <w:r>
                    <w:t xml:space="preserve">interval over the NOR</w:t>
                  </w:r>
                </w:p>
              </w:tc>
              <w:tc>
                <w:tcPr/>
                <w:p>
                  <w:pPr>
                    <w:pStyle w:val="Compact"/>
                    <w:jc w:val="center"/>
                  </w:pPr>
                  <w:r>
                    <w:t xml:space="preserve">Met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8.42</w:t>
                  </w:r>
                </w:p>
              </w:tc>
              <w:tc>
                <w:tcPr/>
                <w:p>
                  <w:pPr>
                    <w:pStyle w:val="Compact"/>
                    <w:jc w:val="center"/>
                  </w:pPr>
                  <w:r>
                    <w:t xml:space="preserve">5.43 to 11.2</w:t>
                  </w:r>
                </w:p>
              </w:tc>
              <w:tc>
                <w:tcPr/>
                <w:p>
                  <w:pPr>
                    <w:pStyle w:val="Compact"/>
                    <w:jc w:val="center"/>
                  </w:pPr>
                  <w:r>
                    <w:t xml:space="preserve">Met</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26.0</w:t>
                  </w:r>
                </w:p>
              </w:tc>
              <w:tc>
                <w:tcPr/>
                <w:p>
                  <w:pPr>
                    <w:pStyle w:val="Compact"/>
                    <w:jc w:val="center"/>
                  </w:pPr>
                  <w:r>
                    <w:t xml:space="preserve">18.6 to 35.2</w:t>
                  </w:r>
                </w:p>
              </w:tc>
              <w:tc>
                <w:tcPr/>
                <w:p>
                  <w:pPr>
                    <w:pStyle w:val="Compact"/>
                    <w:jc w:val="center"/>
                  </w:pPr>
                  <w:r>
                    <w:t xml:space="preserve">Met</w:t>
                  </w:r>
                </w:p>
              </w:tc>
            </w:tr>
            <w:tr>
              <w:tc>
                <w:tcPr>
                  <w:gridSpan w:val="1"/>
                  <w:vMerge w:val="continue"/>
                </w:tcPr>
                <w:p>
                  <w:pP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6.34</w:t>
                  </w:r>
                </w:p>
              </w:tc>
              <w:tc>
                <w:tcPr/>
                <w:p>
                  <w:pPr>
                    <w:pStyle w:val="Compact"/>
                    <w:jc w:val="center"/>
                  </w:pPr>
                  <w:r>
                    <w:t xml:space="preserve">4.55 to 8.45</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18.0–39.0</w:t>
                  </w:r>
                </w:p>
              </w:tc>
              <w:tc>
                <w:tcPr/>
                <w:p>
                  <w:pPr>
                    <w:pStyle w:val="Compact"/>
                    <w:jc w:val="center"/>
                  </w:pPr>
                  <w:r>
                    <w:t xml:space="preserve">22.6</w:t>
                  </w:r>
                </w:p>
              </w:tc>
              <w:tc>
                <w:tcPr/>
                <w:p>
                  <w:pPr>
                    <w:pStyle w:val="Compact"/>
                    <w:jc w:val="center"/>
                  </w:pPr>
                  <w:r>
                    <w:t xml:space="preserve">14.7 to 29.9</w:t>
                  </w:r>
                </w:p>
              </w:tc>
              <w:tc>
                <w:tcPr/>
                <w:p>
                  <w:pPr>
                    <w:pStyle w:val="Compact"/>
                    <w:jc w:val="center"/>
                  </w:pPr>
                  <w:r>
                    <w:t xml:space="preserve">Not met</w:t>
                  </w:r>
                </w:p>
              </w:tc>
            </w:tr>
            <w:tr>
              <w:tc>
                <w:tcPr>
                  <w:gridSpan w:val="1"/>
                  <w:vMerge w:val="continue"/>
                </w:tcPr>
                <w:p>
                  <w:pPr/>
                </w:p>
              </w:tc>
              <w:tc>
                <w:tcPr/>
                <w:p>
                  <w:pPr>
                    <w:pStyle w:val="Compact"/>
                    <w:jc w:val="center"/>
                  </w:pPr>
                  <w:r>
                    <w:t xml:space="preserve">Aggregates, HMW (%)</w:t>
                  </w:r>
                </w:p>
              </w:tc>
              <w:tc>
                <w:tcPr/>
                <w:p>
                  <w:pPr>
                    <w:pStyle w:val="Compact"/>
                    <w:jc w:val="center"/>
                  </w:pPr>
                  <w:r>
                    <w:t xml:space="preserve">≤ 6.46</w:t>
                  </w:r>
                </w:p>
              </w:tc>
              <w:tc>
                <w:tcPr/>
                <w:p>
                  <w:pPr>
                    <w:pStyle w:val="Compact"/>
                    <w:jc w:val="center"/>
                  </w:pPr>
                  <w:r>
                    <w:t xml:space="preserve">1.65</w:t>
                  </w:r>
                </w:p>
              </w:tc>
              <w:tc>
                <w:tcPr/>
                <w:p>
                  <w:pPr>
                    <w:pStyle w:val="Compact"/>
                    <w:jc w:val="center"/>
                  </w:pPr>
                  <w:r>
                    <w:t xml:space="preserve">1.11 to 2.20</w:t>
                  </w:r>
                </w:p>
              </w:tc>
              <w:tc>
                <w:tcPr/>
                <w:p>
                  <w:pPr>
                    <w:pStyle w:val="Compact"/>
                    <w:jc w:val="center"/>
                  </w:pPr>
                  <w:r>
                    <w:t xml:space="preserve">Met</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7,467</w:t>
                  </w:r>
                </w:p>
              </w:tc>
              <w:tc>
                <w:tcPr/>
                <w:p>
                  <w:pPr>
                    <w:pStyle w:val="Compact"/>
                    <w:jc w:val="center"/>
                  </w:pPr>
                  <w:r>
                    <w:t xml:space="preserve">1,729 to 15,872</w:t>
                  </w:r>
                </w:p>
              </w:tc>
              <w:tc>
                <w:tcPr/>
                <w:p>
                  <w:pPr>
                    <w:pStyle w:val="Compact"/>
                    <w:jc w:val="center"/>
                  </w:pPr>
                  <w:r>
                    <w:t xml:space="preserve">Met</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4.05</w:t>
                  </w:r>
                </w:p>
              </w:tc>
              <w:tc>
                <w:tcPr/>
                <w:p>
                  <w:pPr>
                    <w:pStyle w:val="Compact"/>
                    <w:jc w:val="center"/>
                  </w:pPr>
                  <w:r>
                    <w:t xml:space="preserve">2.17 to 5.87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0.69 to 1.14</w:t>
                  </w:r>
                </w:p>
              </w:tc>
              <w:tc>
                <w:tcPr/>
                <w:p>
                  <w:pPr>
                    <w:pStyle w:val="Compact"/>
                    <w:jc w:val="center"/>
                  </w:pPr>
                  <w:r>
                    <w:t xml:space="preserve">Met</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7.02</w:t>
                  </w:r>
                </w:p>
              </w:tc>
              <w:tc>
                <w:tcPr/>
                <w:p>
                  <w:pPr>
                    <w:pStyle w:val="Compact"/>
                    <w:jc w:val="center"/>
                  </w:pPr>
                  <w:r>
                    <w:t xml:space="preserve">1.89</w:t>
                  </w:r>
                </w:p>
              </w:tc>
              <w:tc>
                <w:tcPr/>
                <w:p>
                  <w:pPr>
                    <w:pStyle w:val="Compact"/>
                    <w:jc w:val="center"/>
                  </w:pPr>
                  <w:r>
                    <w:t xml:space="preserve">1.69 to 2.10</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20.3</w:t>
                  </w:r>
                </w:p>
              </w:tc>
              <w:tc>
                <w:tcPr/>
                <w:p>
                  <w:pPr>
                    <w:pStyle w:val="Compact"/>
                    <w:jc w:val="center"/>
                  </w:pPr>
                  <w:r>
                    <w:t xml:space="preserve">20.2 to 20.4</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0.86 to 1.13</w:t>
                  </w:r>
                </w:p>
              </w:tc>
              <w:tc>
                <w:tcPr/>
                <w:p>
                  <w:pPr>
                    <w:pStyle w:val="Compact"/>
                    <w:jc w:val="center"/>
                  </w:pPr>
                  <w:r>
                    <w:t xml:space="preserve">Met</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0.76</w:t>
                  </w:r>
                </w:p>
              </w:tc>
              <w:tc>
                <w:tcPr/>
                <w:p>
                  <w:pPr>
                    <w:pStyle w:val="Compact"/>
                    <w:jc w:val="center"/>
                  </w:pPr>
                  <w:r>
                    <w:t xml:space="preserve">0.36 to 1.45</w:t>
                  </w:r>
                </w:p>
              </w:tc>
              <w:tc>
                <w:tcPr/>
                <w:p>
                  <w:pPr>
                    <w:pStyle w:val="Compact"/>
                    <w:jc w:val="center"/>
                  </w:pPr>
                  <w:r>
                    <w:t xml:space="preserve">Met</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427</w:t>
                  </w:r>
                </w:p>
              </w:tc>
              <w:tc>
                <w:tcPr/>
                <w:p>
                  <w:pPr>
                    <w:pStyle w:val="Compact"/>
                    <w:jc w:val="center"/>
                  </w:pPr>
                  <w:r>
                    <w:t xml:space="preserve">159</w:t>
                  </w:r>
                </w:p>
              </w:tc>
              <w:tc>
                <w:tcPr/>
                <w:p>
                  <w:pPr>
                    <w:pStyle w:val="Compact"/>
                    <w:jc w:val="center"/>
                  </w:pPr>
                  <w:r>
                    <w:t xml:space="preserve">73.4 to 267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0.44 to 0.81</w:t>
                  </w:r>
                </w:p>
              </w:tc>
              <w:tc>
                <w:tcPr/>
                <w:p>
                  <w:pPr>
                    <w:pStyle w:val="Compact"/>
                    <w:jc w:val="center"/>
                  </w:pPr>
                  <w:r>
                    <w:t xml:space="preserve">Met</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15.3</w:t>
                  </w:r>
                </w:p>
              </w:tc>
              <w:tc>
                <w:tcPr/>
                <w:p>
                  <w:pPr>
                    <w:pStyle w:val="Compact"/>
                    <w:jc w:val="center"/>
                  </w:pPr>
                  <w:r>
                    <w:t xml:space="preserve">3.27 to 28.9</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0.40 to 0.82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0.64</w:t>
                  </w:r>
                </w:p>
              </w:tc>
              <w:tc>
                <w:tcPr/>
                <w:p>
                  <w:pPr>
                    <w:pStyle w:val="Compact"/>
                    <w:jc w:val="center"/>
                  </w:pPr>
                  <w:r>
                    <w:t xml:space="preserve">0.35 to 0.86</w:t>
                  </w:r>
                </w:p>
              </w:tc>
              <w:tc>
                <w:tcPr/>
                <w:p>
                  <w:pPr>
                    <w:pStyle w:val="Compact"/>
                    <w:jc w:val="center"/>
                  </w:pPr>
                  <w:r>
                    <w:t xml:space="preserve">Met</w:t>
                  </w:r>
                </w:p>
              </w:tc>
            </w:tr>
          </w:tbl>
          <w:bookmarkEnd w:id="52"/>
          <w:p/>
        </w:tc>
      </w:tr>
    </w:tbl>
    <w:p>
      <w:pPr>
        <w:pStyle w:val="BodyText"/>
      </w:pPr>
      <w:hyperlink w:anchor="tbl-viral">
        <w:r>
          <w:rPr>
            <w:rStyle w:val="Hyperlink"/>
          </w:rPr>
          <w:t xml:space="preserve">Table 13</w:t>
        </w:r>
      </w:hyperlink>
      <w:r>
        <w:t xml:space="preserve"> </w:t>
      </w:r>
      <w:r>
        <w:t xml:space="preserve">gives the viral clearance of each step against its platform claim, on the same response surface models as</w:t>
      </w:r>
      <w:r>
        <w:t xml:space="preserve"> </w:t>
      </w:r>
      <w:hyperlink w:anchor="tbl-results">
        <w:r>
          <w:rPr>
            <w:rStyle w:val="Hyperlink"/>
          </w:rPr>
          <w:t xml:space="preserve">Table 12</w:t>
        </w:r>
      </w:hyperlink>
      <w:r>
        <w:t xml:space="preserve"> </w:t>
      </w:r>
      <w:r>
        <w:t xml:space="preserve">and at the NOR and set-points as characterized. With every parameter at its set-point, every one of the 5 claims is met. At the least favourable combination, 4 of the 5 claims are met. With every parameter at its set-point, the mean predicted XMuLV clearance of low-pH viral inactivation is 6.87 log10, which meets the claim of 6.6 log10. At the least favourable combination, with inactivation pH at its NOR high (3.6), hold time at its NOR low (60 min) and temperature at its NOR low (19 °C), it is 6.43 log10, which is below the claim. On the model that INV-002 corrective action CA3 selects for XMuLV clearance, the claim is also not met at the least favourable combination of the NOR as characterized. For this reason, the low-pH viral inactivation report PCR-006 Version 2.0 moves the NOR and the set-point of inactivation pH lower and narrows the NORs of hold time and temperature. PCR-006 gives the values and the reasons.</w:t>
      </w:r>
    </w:p>
    <w:tbl>
      <w:tblPr>
        <w:tblStyle w:val="Table"/>
        <w:tblW w:type="pct" w:w="5000"/>
        <w:tblLayout w:type="fixed"/>
        <w:tblLook w:firstRow="0" w:lastRow="0" w:firstColumn="0" w:lastColumn="0" w:noHBand="0" w:noVBand="0" w:val="0000"/>
      </w:tblPr>
      <w:tblGrid>
        <w:gridCol w:w="7920"/>
      </w:tblGrid>
      <w:tr>
        <w:tc>
          <w:tcPr/>
          <w:bookmarkStart w:id="53" w:name="tbl-viral"/>
          <w:p>
            <w:pPr>
              <w:jc w:val="center"/>
            </w:pPr>
            <w:pPr>
              <w:jc w:val="start"/>
              <w:spacing w:before="200"/>
              <w:pStyle w:val="ImageCaption"/>
            </w:pPr>
            <w:r>
              <w:t xml:space="preserve">Table 13: Viral clearance of each step against its platform claim (log10). Mean predicted LRF from the response surface model, with every parameter at its set-point and at the LFC.</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Claim</w:t>
                  </w:r>
                </w:p>
              </w:tc>
              <w:tc>
                <w:tcPr/>
                <w:p>
                  <w:pPr>
                    <w:pStyle w:val="Compact"/>
                    <w:jc w:val="center"/>
                  </w:pPr>
                  <w:r>
                    <w:t xml:space="preserve">Mean LRF at</w:t>
                  </w:r>
                  <w:r>
                    <w:br/>
                  </w:r>
                  <w:r>
                    <w:t xml:space="preserve">set-points</w:t>
                  </w:r>
                </w:p>
              </w:tc>
              <w:tc>
                <w:tcPr/>
                <w:p>
                  <w:pPr>
                    <w:pStyle w:val="Compact"/>
                    <w:jc w:val="center"/>
                  </w:pPr>
                  <w:r>
                    <w:t xml:space="preserve">Mean LRF</w:t>
                  </w:r>
                  <w:r>
                    <w:br/>
                  </w:r>
                  <w:r>
                    <w:t xml:space="preserve">at the LFC</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w:t>
                  </w:r>
                </w:p>
              </w:tc>
              <w:tc>
                <w:tcPr/>
                <w:p>
                  <w:pPr>
                    <w:pStyle w:val="Compact"/>
                    <w:jc w:val="center"/>
                  </w:pPr>
                  <w:r>
                    <w:t xml:space="preserve">Not met</w:t>
                  </w:r>
                </w:p>
              </w:tc>
            </w:tr>
            <w:tr>
              <w:tc>
                <w:tcPr>
                  <w:vMerge w:val="restart"/>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w:t>
                  </w:r>
                </w:p>
              </w:tc>
              <w:tc>
                <w:tcPr/>
                <w:p>
                  <w:pPr>
                    <w:pStyle w:val="Compact"/>
                    <w:jc w:val="center"/>
                  </w:pPr>
                  <w:r>
                    <w:t xml:space="preserve">Met</w:t>
                  </w:r>
                </w:p>
              </w:tc>
            </w:tr>
            <w:tr>
              <w:tc>
                <w:tcPr>
                  <w:gridSpan w:val="1"/>
                  <w:vMerge w:val="continue"/>
                </w:tcPr>
                <w:p>
                  <w:pPr/>
                </w:p>
              </w:tc>
              <w:tc>
                <w:tcPr/>
                <w:p>
                  <w:pPr>
                    <w:pStyle w:val="Compact"/>
                    <w:jc w:val="center"/>
                  </w:pPr>
                  <w:r>
                    <w:t xml:space="preserve">MVM</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w:t>
                  </w:r>
                </w:p>
              </w:tc>
              <w:tc>
                <w:tcPr/>
                <w:p>
                  <w:pPr>
                    <w:pStyle w:val="Compact"/>
                    <w:jc w:val="center"/>
                  </w:pPr>
                  <w:r>
                    <w:t xml:space="preserve">Met</w:t>
                  </w:r>
                </w:p>
              </w:tc>
            </w:tr>
            <w:tr>
              <w:tc>
                <w:tcPr>
                  <w:vMerge w:val="restart"/>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w:t>
                  </w:r>
                </w:p>
              </w:tc>
              <w:tc>
                <w:tcPr/>
                <w:p>
                  <w:pPr>
                    <w:pStyle w:val="Compact"/>
                    <w:jc w:val="center"/>
                  </w:pPr>
                  <w:r>
                    <w:t xml:space="preserve">Met</w:t>
                  </w:r>
                </w:p>
              </w:tc>
            </w:tr>
            <w:tr>
              <w:tc>
                <w:tcPr>
                  <w:gridSpan w:val="1"/>
                  <w:vMerge w:val="continue"/>
                </w:tcPr>
                <w:p>
                  <w:pP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w:t>
                  </w:r>
                </w:p>
              </w:tc>
              <w:tc>
                <w:tcPr/>
                <w:p>
                  <w:pPr>
                    <w:pStyle w:val="Compact"/>
                    <w:jc w:val="center"/>
                  </w:pPr>
                  <w:r>
                    <w:t xml:space="preserve">Met</w:t>
                  </w:r>
                </w:p>
              </w:tc>
            </w:tr>
            <w:tr>
              <w:tc>
                <w:tcPr>
                  <w:gridSpan w:val="6"/>
                </w:tcPr>
                <w:p>
                  <w:pPr>
                    <w:pStyle w:val="Compact"/>
                    <w:jc w:val="center"/>
                  </w:pPr>
                  <w:r>
                    <w:t xml:space="preserve">LFC, least favourable combination of NOR low, set-point and NOR high of the other parameters. LRF, log reduction factor.</w:t>
                  </w:r>
                </w:p>
              </w:tc>
            </w:tr>
          </w:tbl>
          <w:bookmarkEnd w:id="53"/>
          <w:p/>
        </w:tc>
      </w:tr>
    </w:tbl>
    <w:bookmarkEnd w:id="54"/>
    <w:bookmarkStart w:id="55" w:name="capability"/>
    <w:p>
      <w:pPr>
        <w:pStyle w:val="Heading2"/>
      </w:pPr>
      <w:r>
        <w:t xml:space="preserve">6.4 Capability</w:t>
      </w:r>
    </w:p>
    <w:p>
      <w:pPr>
        <w:pStyle w:val="FirstParagraph"/>
      </w:pPr>
      <w:r>
        <w:t xml:space="preserve">In the re-analysis, the capability of acidic variants was assessed against both ends of its range (finding F4). The re-analysis uses the capability simulation that Version 1.0 reported, at the NOR as characterized. The lowest capability index of the drug substance moves from 1.51 for MVM clearance, as PCMR-001 Version 1.0 printed it, to 1.03 for acidic variants, against the lower limit of 18 %. PCMP-001 Version 2.0 sets a capability target of 1.33, which is common industry practice for a capable process. It sets a minimum of 1.00, the point at which a spread of three standard deviations reaches the criterion. Only the capability index of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criterion of any other attribute.</w:t>
      </w:r>
    </w:p>
    <w:bookmarkEnd w:id="55"/>
    <w:bookmarkStart w:id="56" w:name="fragments"/>
    <w:p>
      <w:pPr>
        <w:pStyle w:val="Heading2"/>
      </w:pPr>
      <w:r>
        <w:t xml:space="preserve">6.5 Fragments</w:t>
      </w:r>
    </w:p>
    <w:p>
      <w:pPr>
        <w:pStyle w:val="FirstParagraph"/>
      </w:pPr>
      <w:r>
        <w:t xml:space="preserve">In the re-analysis, fragments are judged on nrCE-SDS results only, against the fragment criteria at the Protein A, low-pH viral inactivation, cation exchange, anion exchange and virus filtration steps in</w:t>
      </w:r>
      <w:r>
        <w:t xml:space="preserve"> </w:t>
      </w:r>
      <w:hyperlink w:anchor="tbl-iac">
        <w:r>
          <w:rPr>
            <w:rStyle w:val="Hyperlink"/>
          </w:rPr>
          <w:t xml:space="preserve">Table 9</w:t>
        </w:r>
      </w:hyperlink>
      <w:r>
        <w:t xml:space="preserve">. SEC fragment results from the Protein A pool and the low-pH viral inactivation pool will be reported for information only and not used to judge a step. They could not have supported a fragment criterion at those steps, because they include host cell protein (finding F6).</w:t>
      </w:r>
    </w:p>
    <w:bookmarkEnd w:id="56"/>
    <w:bookmarkStart w:id="57"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and the drug-substance criteria that existed in Version 1.0 are unchanged. The process is unchanged except for NORs at the Protein A and low-pH viral inactivation steps and set-points at low-pH viral inactivation, which PCR-005 and PCR-006 Version 2.0 change (§2, §6.3). Version 2.0 adds one drug-substance criterion, for fragments, at ≤ 2.00 %. There is no product impact.</w:t>
      </w:r>
    </w:p>
    <w:bookmarkEnd w:id="57"/>
    <w:bookmarkEnd w:id="58"/>
    <w:bookmarkStart w:id="60"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14</w:t>
        </w:r>
      </w:hyperlink>
      <w:r>
        <w:t xml:space="preserve"> </w:t>
      </w:r>
      <w:r>
        <w:t xml:space="preserve">follow from the root cause and the contributing causes in §5. All 6 actions were open at closure and are tracked to their due dates in the CAPA system</w:t>
      </w:r>
      <w:r>
        <w:t xml:space="preserve"> </w:t>
      </w:r>
      <w:r>
        <w:t xml:space="preserve">(International Council for Harmonisation 2008)</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tbl-capa"/>
          <w:p>
            <w:pPr>
              <w:jc w:val="center"/>
            </w:pPr>
            <w:pPr>
              <w:jc w:val="start"/>
              <w:spacing w:before="200"/>
              <w:pStyle w:val="ImageCaption"/>
            </w:pPr>
            <w:r>
              <w:t xml:space="preserve">Table 14: Corrective (CA) and preventive (PA) actions. Every action was open at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w:t>
                  </w:r>
                  <w:r>
                    <w:br/>
                  </w:r>
                  <w:r>
                    <w:t xml:space="preserve">function</w:t>
                  </w:r>
                </w:p>
              </w:tc>
              <w:tc>
                <w:tcPr/>
                <w:p>
                  <w:pPr>
                    <w:pStyle w:val="Compact"/>
                    <w:jc w:val="center"/>
                  </w:pPr>
                  <w:r>
                    <w:t xml:space="preserve">Due</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r>
          </w:tbl>
          <w:bookmarkEnd w:id="59"/>
          <w:p/>
        </w:tc>
      </w:tr>
    </w:tbl>
    <w:p>
      <w:pPr>
        <w:pStyle w:val="BodyText"/>
      </w:pPr>
      <w:r>
        <w:t xml:space="preserve">Corrective action CA1, the reissue of the master plan PCMP-001 with a priori criteria, removes the root cause for this campaign. It also answers the contributing cause that no document defined how much less a downstream step may clear within its NOR. PCMP-001 Version 2.0 fixes every step criterion before any study is judged against it, defines the downstream worst case each criterion protects against, and lets no step’s data set its own criterion. Corrective action CA2, the amendment of the step plans with the criteria and the fragment method, brings the decision AMD-001 to measure fragments by nrCE-SDS into the plans (finding F6). Corrective action CA3 reissues the reports. They judge each step against the new criteria, on the models selected under INV-002 (§2), and assess the capability of acidic variants against both ends of their range (finding F4).</w:t>
      </w:r>
    </w:p>
    <w:p>
      <w:pPr>
        <w:pStyle w:val="BodyText"/>
      </w:pPr>
      <w:r>
        <w:t xml:space="preserve">Preventive action PA1, the revision of SOP-1002 so that acceptance criteria are approved in the protocol before execution, removes the root cause for future campaigns. It also removes the contributing cause that SOP-1002 did not require this. Preventive action PA2 adds to the report review checklist a check that every acceptance criterion can be traced to the approved protocol. That check would have detected the criteria added after approval (finding F1). Preventive action PA3 records execution dates and calibration status in every study record. It answers the contributing cause that no second review checked the dates in the title blocks and study records (finding F5).</w:t>
      </w:r>
    </w:p>
    <w:p>
      <w:pPr>
        <w:pStyle w:val="BodyText"/>
      </w:pPr>
      <w:r>
        <w:t xml:space="preserve">Two causes have no preventive action. No action adds a second review of whether a capability calculation uses the one-sided or two-sided criterion that the register gives. Corrective action CA3, which reissues the reports with a two-sided assessment of acidic variants, corrects finding F4 for this campaign only. For this product, the two-sided assessment is fixed in PCMP-001 Version 2.0, so the error cannot recur in this campaign. No action creates a procedure that would require a method decision to be assessed against the approved plans and put into effect by plan amendment either. Corrective action CA2 brings the decision AMD-001 into the plans, but a future method decision would again depend on the people involved to reach the documents.</w:t>
      </w:r>
    </w:p>
    <w:bookmarkEnd w:id="60"/>
    <w:bookmarkStart w:id="61"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the master report. That review checks three things. Every step criterion used in a proven acceptable range analysis must appear in PCMP-001 Version 2.0 with its basis, and no criterion may be set by data from the step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1"/>
    <w:bookmarkStart w:id="62"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The analyses that rested on them could therefore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2"/>
    <w:bookmarkStart w:id="67" w:name="references"/>
    <w:p>
      <w:pPr>
        <w:pStyle w:val="Heading1"/>
      </w:pPr>
      <w:r>
        <w:t xml:space="preserve">References</w:t>
      </w:r>
    </w:p>
    <w:bookmarkStart w:id="66"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2026-10-10T19:24:00Z</dcterms:created>
  <dcterms:modified xsi:type="dcterms:W3CDTF">2026-10-10T19:24:00Z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