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41.png" ContentType="image/png"/>
  <Override PartName="/word/media/rId21.png" ContentType="image/png"/>
  <Override PartName="/word/media/rId54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Master Report</w:t>
      </w:r>
    </w:p>
    <w:p>
      <w:pPr>
        <w:pStyle w:val="Subtitle"/>
      </w:pPr>
      <w:r>
        <w:t xml:space="preserve">A-Mab Drug Substance — PCMR-001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Report: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 exchange chromatography; ADCC, antibody-dependent cell-mediated cytotoxicity;</w:t>
      </w:r>
      <w:r>
        <w:t xml:space="preserve"> </w:t>
      </w:r>
      <w:r>
        <w:t xml:space="preserve">AMV, analytical method validation; BLA, Biologics License Application; CEX, cation exchange</w:t>
      </w:r>
      <w:r>
        <w:t xml:space="preserve"> </w:t>
      </w:r>
      <w:r>
        <w:t xml:space="preserve">chromatography; CPP, critical process parameter; CQA, critical quality attribute; Cpk,</w:t>
      </w:r>
      <w:r>
        <w:t xml:space="preserve"> </w:t>
      </w:r>
      <w:r>
        <w:t xml:space="preserve">process capability index (one-sided); DCS, distributed control system; DoE, design of</w:t>
      </w:r>
      <w:r>
        <w:t xml:space="preserve"> </w:t>
      </w:r>
      <w:r>
        <w:t xml:space="preserve">experiments; DS, drug substance; ELISA, enzyme-linked immunosorbent assay; GPP, general</w:t>
      </w:r>
      <w:r>
        <w:t xml:space="preserve"> </w:t>
      </w:r>
      <w:r>
        <w:t xml:space="preserve">process parameter; HCP, host cell protein; HMW, high molecular weight; ICH, International</w:t>
      </w:r>
      <w:r>
        <w:t xml:space="preserve"> </w:t>
      </w:r>
      <w:r>
        <w:t xml:space="preserve">Council for Harmonisation; icIEF, imaged capillary isoelectric focusing; KPP, key process</w:t>
      </w:r>
      <w:r>
        <w:t xml:space="preserve"> </w:t>
      </w:r>
      <w:r>
        <w:t xml:space="preserve">parameter; LRF, log reduction factor; MSAT, Manufacturing Science and Technology; MVM,</w:t>
      </w:r>
      <w:r>
        <w:t xml:space="preserve"> </w:t>
      </w:r>
      <w:r>
        <w:t xml:space="preserve">minute virus of mice; NOR, normal operating range; PAR, proven acceptable range; PPQ,</w:t>
      </w:r>
      <w:r>
        <w:t xml:space="preserve"> </w:t>
      </w:r>
      <w:r>
        <w:t xml:space="preserve">process performance qualification; qPCR, quantitative polymerase chain reaction; RSM,</w:t>
      </w:r>
      <w:r>
        <w:t xml:space="preserve"> </w:t>
      </w:r>
      <w:r>
        <w:t xml:space="preserve">response-surface methodology; SDM, scale-down model; SEC, size-exclusion chromatography;</w:t>
      </w:r>
      <w:r>
        <w:t xml:space="preserve"> </w:t>
      </w:r>
      <w:r>
        <w:t xml:space="preserve">SOP, standard operating procedure; TCID50, 50 % tissue-culture infectious dose; TFF,</w:t>
      </w:r>
      <w:r>
        <w:t xml:space="preserve"> </w:t>
      </w:r>
      <w:r>
        <w:t xml:space="preserve">tangential-flow filtration; TMP, transmembrane pressure; UF/DF, ultrafiltration and</w:t>
      </w:r>
      <w:r>
        <w:t xml:space="preserve"> </w:t>
      </w:r>
      <w:r>
        <w:t xml:space="preserve">diafiltration; WC-CPP, well-controlled critical process parameter; XMuLV, xenotropic murine</w:t>
      </w:r>
      <w:r>
        <w:t xml:space="preserve"> </w:t>
      </w:r>
      <w:r>
        <w:t xml:space="preserve">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Stage 1 characterization of the A-Mab drug substance process is complete and the process is</w:t>
      </w:r>
      <w:r>
        <w:t xml:space="preserve"> </w:t>
      </w:r>
      <w:r>
        <w:t xml:space="preserve">ready for Stage 2. The 8 unit operations of the train were studied on</w:t>
      </w:r>
      <w:r>
        <w:t xml:space="preserve"> </w:t>
      </w:r>
      <w:r>
        <w:t xml:space="preserve">qualified scale-down models under the master plan PCMP-001, with the scope of each study set</w:t>
      </w:r>
      <w:r>
        <w:t xml:space="preserve"> </w:t>
      </w:r>
      <w:r>
        <w:t xml:space="preserve">by the pre-characterization risk assessment RA-001. Each step has its own report, PCR-003</w:t>
      </w:r>
      <w:r>
        <w:t xml:space="preserve"> </w:t>
      </w:r>
      <w:r>
        <w:t xml:space="preserve">through PCR-010, and this document consolidates those reports without repeating their</w:t>
      </w:r>
      <w:r>
        <w:t xml:space="preserve"> </w:t>
      </w:r>
      <w:r>
        <w:t xml:space="preserve">analyses. Each number quoted here is taken from the report named beside it.</w:t>
      </w:r>
    </w:p>
    <w:p>
      <w:pPr>
        <w:pStyle w:val="BodyText"/>
      </w:pPr>
      <w:r>
        <w:t xml:space="preserve">All 10 drug substance quality attributes meet their acceptance criteria at</w:t>
      </w:r>
      <w:r>
        <w:t xml:space="preserve"> </w:t>
      </w:r>
      <w:r>
        <w:t xml:space="preserve">commercial scale, where capability was estimated by Monte-Carlo simulation of</w:t>
      </w:r>
      <w:r>
        <w:t xml:space="preserve"> </w:t>
      </w:r>
      <w:r>
        <w:t xml:space="preserve">2,000 batches in which every classified parameter varied</w:t>
      </w:r>
      <w:r>
        <w:t xml:space="preserve"> </w:t>
      </w:r>
      <w:r>
        <w:t xml:space="preserve">independently inside its normal operating range and the fitted step models carried that</w:t>
      </w:r>
      <w:r>
        <w:t xml:space="preserve"> </w:t>
      </w:r>
      <w:r>
        <w:t xml:space="preserve">variation through to the drug substance. The lowest capability index in the process is</w:t>
      </w:r>
      <w:r>
        <w:t xml:space="preserve"> </w:t>
      </w:r>
      <w:r>
        <w:t xml:space="preserve">1.51, for the cumulative MVM clearance, whose simulated mean of</w:t>
      </w:r>
      <w:r>
        <w:t xml:space="preserve"> </w:t>
      </w:r>
      <w:r>
        <w:t xml:space="preserve">10.38 log₁₀ lies 1.78 log₁₀ above the</w:t>
      </w:r>
      <w:r>
        <w:t xml:space="preserve"> </w:t>
      </w:r>
      <w:r>
        <w:t xml:space="preserve">requirement of 8.6 log₁₀. Of the product quality attributes the</w:t>
      </w:r>
      <w:r>
        <w:t xml:space="preserve"> </w:t>
      </w:r>
      <w:r>
        <w:t xml:space="preserve">tightest is high mannose, at 1.94. High mannose is formed in</w:t>
      </w:r>
      <w:r>
        <w:t xml:space="preserve"> </w:t>
      </w:r>
      <w:r>
        <w:t xml:space="preserve">the production bioreactor and is not modified by any later step (PCR-003).</w:t>
      </w:r>
    </w:p>
    <w:p>
      <w:pPr>
        <w:pStyle w:val="BodyText"/>
      </w:pPr>
      <w:r>
        <w:t xml:space="preserve">Cumulative viral clearance is 18.87 log₁₀ for XMuLV against a</w:t>
      </w:r>
      <w:r>
        <w:t xml:space="preserve"> </w:t>
      </w:r>
      <w:r>
        <w:t xml:space="preserve">requirement of 16.7 log₁₀, and 10.03 log₁₀ for</w:t>
      </w:r>
      <w:r>
        <w:t xml:space="preserve"> </w:t>
      </w:r>
      <w:r>
        <w:t xml:space="preserve">MVM against 8.6 log₁₀. 3 steps carry the</w:t>
      </w:r>
      <w:r>
        <w:t xml:space="preserve"> </w:t>
      </w:r>
      <w:r>
        <w:t xml:space="preserve">claim and their mechanisms are independent of one another. They are the low-pH hold (PCR-006),</w:t>
      </w:r>
      <w:r>
        <w:t xml:space="preserve"> </w:t>
      </w:r>
      <w:r>
        <w:t xml:space="preserve">anion exchange (PCR-008) and virus filtration (PCR-009). No viral clearance is claimed for</w:t>
      </w:r>
      <w:r>
        <w:t xml:space="preserve"> </w:t>
      </w:r>
      <w:r>
        <w:t xml:space="preserve">Protein A capture or for cation exchange, although both steps are known to remove virus.</w:t>
      </w:r>
    </w:p>
    <w:p>
      <w:pPr>
        <w:pStyle w:val="BodyText"/>
      </w:pPr>
      <w:r>
        <w:t xml:space="preserve">The campaign classified 37 process parameters, and only the inactivation pH</w:t>
      </w:r>
      <w:r>
        <w:t xml:space="preserve"> </w:t>
      </w:r>
      <w:r>
        <w:t xml:space="preserve">of the low-pH hold is classified as a critical process parameter, because its acceptable range</w:t>
      </w:r>
      <w:r>
        <w:t xml:space="preserve"> </w:t>
      </w:r>
      <w:r>
        <w:t xml:space="preserve">is narrow and the consequence of leaving it is severe in both directions (PCR-006).</w:t>
      </w:r>
      <w:r>
        <w:t xml:space="preserve"> </w:t>
      </w:r>
      <w:r>
        <w:t xml:space="preserve">20 parameters are well-controlled critical process parameters,</w:t>
      </w:r>
      <w:r>
        <w:t xml:space="preserve"> </w:t>
      </w:r>
      <w:r>
        <w:t xml:space="preserve">10 are key process parameters and 6 are</w:t>
      </w:r>
      <w:r>
        <w:t xml:space="preserve"> </w:t>
      </w:r>
      <w:r>
        <w:t xml:space="preserve">general process parameters.</w:t>
      </w:r>
    </w:p>
    <w:p>
      <w:pPr>
        <w:pStyle w:val="BodyText"/>
      </w:pPr>
      <w:r>
        <w:t xml:space="preserve">The campaign recorded 17 deviations across 8</w:t>
      </w:r>
      <w:r>
        <w:t xml:space="preserve"> </w:t>
      </w:r>
      <w:r>
        <w:t xml:space="preserve">reports, and one of them invalidated a complete designed experiment. The first anion exchange</w:t>
      </w:r>
      <w:r>
        <w:t xml:space="preserve"> </w:t>
      </w:r>
      <w:r>
        <w:t xml:space="preserve">execution was run on a non-representative load, so its screening and response-surface designs were</w:t>
      </w:r>
      <w:r>
        <w:t xml:space="preserve"> </w:t>
      </w:r>
      <w:r>
        <w:t xml:space="preserve">invalidated and re-executed in full on requalified material (DEV-008-01, PCR-008). A second</w:t>
      </w:r>
      <w:r>
        <w:t xml:space="preserve"> </w:t>
      </w:r>
      <w:r>
        <w:t xml:space="preserve">anion exchange deviation was closed by modelling the effect and confirming the correction in</w:t>
      </w:r>
      <w:r>
        <w:t xml:space="preserve"> </w:t>
      </w:r>
      <w:r>
        <w:t xml:space="preserve">verification runs (DEV-008-02, PCR-008). The remaining 15 deviations</w:t>
      </w:r>
      <w:r>
        <w:t xml:space="preserve"> </w:t>
      </w:r>
      <w:r>
        <w:t xml:space="preserve">were retained with a bounded impact assessment. No deviation changed a parameter</w:t>
      </w:r>
      <w:r>
        <w:t xml:space="preserve"> </w:t>
      </w:r>
      <w:r>
        <w:t xml:space="preserve">classification, an operating range or a viral clearance claim.</w:t>
      </w:r>
    </w:p>
    <w:p>
      <w:pPr>
        <w:pStyle w:val="BodyText"/>
      </w:pPr>
      <w:r>
        <w:t xml:space="preserve">Every claim made here is bounded, and none of the bounds is closed by Stage 1. The design</w:t>
      </w:r>
      <w:r>
        <w:t xml:space="preserve"> </w:t>
      </w:r>
      <w:r>
        <w:t xml:space="preserve">spaces are not confirmed at commercial scale at the edges of their ranges. Capability</w:t>
      </w:r>
      <w:r>
        <w:t xml:space="preserve"> </w:t>
      </w:r>
      <w:r>
        <w:t xml:space="preserve">is a model estimate from qualified scale-down models operated with every parameter inside its</w:t>
      </w:r>
      <w:r>
        <w:t xml:space="preserve"> </w:t>
      </w:r>
      <w:r>
        <w:t xml:space="preserve">normal operating range. Viral clearance is measured in small-scale spiking studies and not on</w:t>
      </w:r>
      <w:r>
        <w:t xml:space="preserve"> </w:t>
      </w:r>
      <w:r>
        <w:t xml:space="preserve">production material. Stage 2 process performance qualification has not been executed, and</w:t>
      </w:r>
      <w:r>
        <w:t xml:space="preserve"> </w:t>
      </w:r>
      <w:r>
        <w:t xml:space="preserve">this report makes no claim about commercial-scale reproducibility.</w: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bookmarkStart w:id="13" w:name="purpose-and-scope"/>
    <w:p>
      <w:pPr>
        <w:pStyle w:val="Heading2"/>
      </w:pPr>
      <w:r>
        <w:t xml:space="preserve">1.1 Purpose and scope</w:t>
      </w:r>
    </w:p>
    <w:p>
      <w:pPr>
        <w:pStyle w:val="FirstParagraph"/>
      </w:pPr>
      <w:r>
        <w:t xml:space="preserve">This report is the roll-up of the A-Mab drug substance characterization campaign, and its</w:t>
      </w:r>
      <w:r>
        <w:t xml:space="preserve"> </w:t>
      </w:r>
      <w:r>
        <w:t xml:space="preserve">purpose is to present the outcome of that campaign as one argument. It summarizes the</w:t>
      </w:r>
      <w:r>
        <w:t xml:space="preserve"> </w:t>
      </w:r>
      <w:r>
        <w:t xml:space="preserve">individual reports and cites them, and it does not re-derive their models, their effect</w:t>
      </w:r>
      <w:r>
        <w:t xml:space="preserve"> </w:t>
      </w:r>
      <w:r>
        <w:t xml:space="preserve">estimates or their design spaces, so where a conclusion in this report rests on such an</w:t>
      </w:r>
      <w:r>
        <w:t xml:space="preserve"> </w:t>
      </w:r>
      <w:r>
        <w:t xml:space="preserve">analysis, the report that carries it is named. The scope is the drug substance process, Steps</w:t>
      </w:r>
      <w:r>
        <w:t xml:space="preserve"> </w:t>
      </w:r>
      <w:r>
        <w:t xml:space="preserve">3 to 10, at the 15,000 L commercial scale. Drug product</w:t>
      </w:r>
      <w:r>
        <w:t xml:space="preserve"> </w:t>
      </w:r>
      <w:r>
        <w:t xml:space="preserve">manufacture, the validation of the analytical methods themselves and the Stage 2</w:t>
      </w:r>
      <w:r>
        <w:t xml:space="preserve"> </w:t>
      </w:r>
      <w:r>
        <w:t xml:space="preserve">qualification batches lie outside it.</w:t>
      </w:r>
    </w:p>
    <w:p>
      <w:pPr>
        <w:pStyle w:val="BodyText"/>
      </w:pPr>
      <w:r>
        <w:t xml:space="preserve">The campaign supports the transfer of the process from the sending site to the receiving</w:t>
      </w:r>
      <w:r>
        <w:t xml:space="preserve"> </w:t>
      </w:r>
      <w:r>
        <w:t xml:space="preserve">site, which is framed by the transfer plan PTP-001</w:t>
      </w:r>
      <w:r>
        <w:t xml:space="preserve"> </w:t>
      </w:r>
      <w:r>
        <w:t xml:space="preserve">(International Council for Harmonisation 2008)</w:t>
      </w:r>
      <w:r>
        <w:t xml:space="preserve">. Characterization was executed</w:t>
      </w:r>
      <w:r>
        <w:t xml:space="preserve"> </w:t>
      </w:r>
      <w:r>
        <w:t xml:space="preserve">at the sending site on scale-down models qualified against commercial-equivalent operation, so</w:t>
      </w:r>
      <w:r>
        <w:t xml:space="preserve"> </w:t>
      </w:r>
      <w:r>
        <w:t xml:space="preserve">the conclusions hold for the commercial process only to the extent that those models represent</w:t>
      </w:r>
      <w:r>
        <w:t xml:space="preserve"> </w:t>
      </w:r>
      <w:r>
        <w:t xml:space="preserve">it, and §9.2 states where that assumption carries the most weight.</w:t>
      </w:r>
    </w:p>
    <w:bookmarkEnd w:id="13"/>
    <w:bookmarkStart w:id="15" w:name="the-characterization-package"/>
    <w:p>
      <w:pPr>
        <w:pStyle w:val="Heading2"/>
      </w:pPr>
      <w:r>
        <w:t xml:space="preserve">1.2 The characterization package</w:t>
      </w:r>
    </w:p>
    <w:p>
      <w:pPr>
        <w:pStyle w:val="FirstParagraph"/>
      </w:pPr>
      <w:r>
        <w:t xml:space="preserve">The campaign is documented in 20 controlled documents, and the dependency</w:t>
      </w:r>
      <w:r>
        <w:t xml:space="preserve"> </w:t>
      </w:r>
      <w:r>
        <w:t xml:space="preserve">between them is fixed. RA-001 sets the scope, PCMP-001 sets the common approach, each</w:t>
      </w:r>
      <w:r>
        <w:t xml:space="preserve"> </w:t>
      </w:r>
      <w:r>
        <w:t xml:space="preserve">PCP-00N plans one step, each PCR-00N reports it, and this document consolidates the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pack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characterization document package, excluding this report.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42"/>
              <w:gridCol w:w="3503"/>
              <w:gridCol w:w="327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PTP-001, RA-001 and PCMP-001 are the parents of the whole set, and PTP-001 states what is</w:t>
      </w:r>
      <w:r>
        <w:t xml:space="preserve"> </w:t>
      </w:r>
      <w:r>
        <w:t xml:space="preserve">being transferred and why the package exists. RA-001 was written before any study was executed,</w:t>
      </w:r>
      <w:r>
        <w:t xml:space="preserve"> </w:t>
      </w:r>
      <w:r>
        <w:t xml:space="preserve">and its output is the study scope and not a classification. PCMP-001 states once what the</w:t>
      </w:r>
      <w:r>
        <w:t xml:space="preserve"> </w:t>
      </w:r>
      <w:r>
        <w:t xml:space="preserve">8 plans would otherwise each repeat, which is the quality attribute framework, the common</w:t>
      </w:r>
      <w:r>
        <w:t xml:space="preserve"> </w:t>
      </w:r>
      <w:r>
        <w:t xml:space="preserve">scale-down approach and the shared statistical method.</w:t>
      </w:r>
    </w:p>
    <w:bookmarkEnd w:id="15"/>
    <w:bookmarkStart w:id="17" w:name="study-inventory"/>
    <w:p>
      <w:pPr>
        <w:pStyle w:val="Heading2"/>
      </w:pPr>
      <w:r>
        <w:t xml:space="preserve">1.3 Study inventory</w:t>
      </w:r>
    </w:p>
    <w:p>
      <w:pPr>
        <w:pStyle w:val="FirstParagraph"/>
      </w:pPr>
      <w:r>
        <w:t xml:space="preserve">Multivariate designed experiments were used at 6 of the</w:t>
      </w:r>
      <w:r>
        <w:t xml:space="preserve"> </w:t>
      </w:r>
      <w:r>
        <w:t xml:space="preserve">8 steps. Harvest and clarification, and ultrafiltration and</w:t>
      </w:r>
      <w:r>
        <w:t xml:space="preserve"> </w:t>
      </w:r>
      <w:r>
        <w:t xml:space="preserve">diafiltration, neither form nor clear a product quality attribute, so both were characterized</w:t>
      </w:r>
      <w:r>
        <w:t xml:space="preserve"> </w:t>
      </w:r>
      <w:r>
        <w:t xml:space="preserve">univariately. No designed experiment was executed at either step, and none</w:t>
      </w:r>
      <w:r>
        <w:t xml:space="preserve"> </w:t>
      </w:r>
      <w:r>
        <w:t xml:space="preserve">is claimed for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tud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Characterization studies by unit operation, with the fitted response-surface coefficient of determination for the responses that map to a drug substance quality attribute.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36"/>
              <w:gridCol w:w="1857"/>
              <w:gridCol w:w="1638"/>
              <w:gridCol w:w="983"/>
              <w:gridCol w:w="655"/>
              <w:gridCol w:w="1802"/>
              <w:gridCol w:w="54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runs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RSM runs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R² (quality-linked responses)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 to 1.00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0.37 to 0.97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0.98 to 1.00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 to 0.97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0.84 to 0.97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0.71 to 0.85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reported campaign comprises 236 characterization runs across</w:t>
      </w:r>
      <w:r>
        <w:t xml:space="preserve"> </w:t>
      </w:r>
      <w:r>
        <w:t xml:space="preserve">12 designs, as given in</w:t>
      </w:r>
      <w:r>
        <w:t xml:space="preserve"> </w:t>
      </w:r>
      <w:hyperlink w:anchor="tbl-studies">
        <w:r>
          <w:rPr>
            <w:rStyle w:val="Hyperlink"/>
          </w:rPr>
          <w:t xml:space="preserve">Table 3</w:t>
        </w:r>
      </w:hyperlink>
      <w:r>
        <w:t xml:space="preserve">. A further</w:t>
      </w:r>
      <w:r>
        <w:t xml:space="preserve"> </w:t>
      </w:r>
      <w:r>
        <w:t xml:space="preserve">47 runs were executed at anion exchange and then superseded, for the</w:t>
      </w:r>
      <w:r>
        <w:t xml:space="preserve"> </w:t>
      </w:r>
      <w:r>
        <w:t xml:space="preserve">reason given in §8.2. Every design used a screening stage followed by a response-surface</w:t>
      </w:r>
      <w:r>
        <w:t xml:space="preserve"> </w:t>
      </w:r>
      <w:r>
        <w:t xml:space="preserve">stage. The screening stage identifies which factors matter. The response-surface model is the</w:t>
      </w:r>
      <w:r>
        <w:t xml:space="preserve"> </w:t>
      </w:r>
      <w:r>
        <w:t xml:space="preserve">predictive model and the basis of each step’s design space, and no design space in this</w:t>
      </w:r>
      <w:r>
        <w:t xml:space="preserve"> </w:t>
      </w:r>
      <w:r>
        <w:t xml:space="preserve">package rests on a screening fit, because a near-saturated screening design cannot resolve</w:t>
      </w:r>
      <w:r>
        <w:t xml:space="preserve"> </w:t>
      </w:r>
      <w:r>
        <w:t xml:space="preserve">all of the interactions between the parameters it screens.</w:t>
      </w:r>
    </w:p>
    <w:p>
      <w:pPr>
        <w:pStyle w:val="BodyText"/>
      </w:pPr>
      <w:r>
        <w:t xml:space="preserve">Response-surface models were fitted for 21 responses, of which</w:t>
      </w:r>
      <w:r>
        <w:t xml:space="preserve"> </w:t>
      </w:r>
      <w:r>
        <w:t xml:space="preserve">17 map to a drug substance quality attribute. One of those responses,</w:t>
      </w:r>
      <w:r>
        <w:t xml:space="preserve"> </w:t>
      </w:r>
      <w:r>
        <w:t xml:space="preserve">leached Protein A at the capture step, has no active factor over the ranges studied, so</w:t>
      </w:r>
      <w:r>
        <w:t xml:space="preserve"> </w:t>
      </w:r>
      <w:r>
        <w:t xml:space="preserve">PCR-005 reports it as robust and claims no predictive model for it, and its coefficient of</w:t>
      </w:r>
      <w:r>
        <w:t xml:space="preserve"> </w:t>
      </w:r>
      <w:r>
        <w:t xml:space="preserve">determination is correspondingly low at 0.37. For the remaining</w:t>
      </w:r>
      <w:r>
        <w:t xml:space="preserve"> </w:t>
      </w:r>
      <w:r>
        <w:t xml:space="preserve">quality-linked responses the coefficient of determination ranged from 0.71 to</w:t>
      </w:r>
      <w:r>
        <w:t xml:space="preserve"> </w:t>
      </w:r>
      <w:r>
        <w:t xml:space="preserve">1.00, and the model adequacy of each is assessed in its own report</w:t>
      </w:r>
      <w:r>
        <w:t xml:space="preserve"> </w:t>
      </w:r>
      <w:r>
        <w:t xml:space="preserve">against lack-of-fit and pure error.</w:t>
      </w:r>
    </w:p>
    <w:bookmarkEnd w:id="17"/>
    <w:bookmarkStart w:id="18" w:name="regulatory-and-scientific-basis"/>
    <w:p>
      <w:pPr>
        <w:pStyle w:val="Heading2"/>
      </w:pPr>
      <w:r>
        <w:t xml:space="preserve">1.4 Regulatory and scientific basis</w:t>
      </w:r>
    </w:p>
    <w:p>
      <w:pPr>
        <w:pStyle w:val="FirstParagraph"/>
      </w:pPr>
      <w:r>
        <w:t xml:space="preserve">The campaign follows the lifecycle approach to process validation, in which characterization</w:t>
      </w:r>
      <w:r>
        <w:t xml:space="preserve"> </w:t>
      </w:r>
      <w:r>
        <w:t xml:space="preserve">is the Stage 1 process design activity that produces the commercial control strategy</w:t>
      </w:r>
      <w:r>
        <w:t xml:space="preserve"> </w:t>
      </w:r>
      <w:r>
        <w:t xml:space="preserve">(U.S. Food and Drug Administration 2011)</w:t>
      </w:r>
      <w:r>
        <w:t xml:space="preserve">. The enhanced development approach of ICH Q8(R2) and ICH Q11 provides the design</w:t>
      </w:r>
      <w:r>
        <w:t xml:space="preserve"> </w:t>
      </w:r>
      <w:r>
        <w:t xml:space="preserve">space and control strategy framework</w:t>
      </w:r>
      <w:r>
        <w:t xml:space="preserve"> </w:t>
      </w:r>
      <w:r>
        <w:t xml:space="preserve">(International Council for Harmonisation 2009, 2012)</w:t>
      </w:r>
      <w:r>
        <w:t xml:space="preserve">. Criticality is treated as a continuum</w:t>
      </w:r>
      <w:r>
        <w:t xml:space="preserve"> </w:t>
      </w:r>
      <w:r>
        <w:t xml:space="preserve">and not as a binary, following ICH Q9(R1) and the A-Mab case study, so quality attributes</w:t>
      </w:r>
      <w:r>
        <w:t xml:space="preserve"> </w:t>
      </w:r>
      <w:r>
        <w:t xml:space="preserve">carry a level of criticality and process parameters carry a class that reflects both the</w:t>
      </w:r>
      <w:r>
        <w:t xml:space="preserve"> </w:t>
      </w:r>
      <w:r>
        <w:t xml:space="preserve">demonstrated impact on quality and the risk of leaving the design space</w:t>
      </w:r>
      <w:r>
        <w:t xml:space="preserve"> </w:t>
      </w:r>
      <w:r>
        <w:t xml:space="preserve">(International Council for Harmonisation 2023b; CMC Biotech Working Group 2009)</w:t>
      </w:r>
      <w:r>
        <w:t xml:space="preserve">. Viral</w:t>
      </w:r>
      <w:r>
        <w:t xml:space="preserve"> </w:t>
      </w:r>
      <w:r>
        <w:t xml:space="preserve">safety is evaluated under ICH Q5A(R2) as a modular claim built from independent steps</w:t>
      </w:r>
      <w:r>
        <w:t xml:space="preserve"> </w:t>
      </w:r>
      <w:r>
        <w:t xml:space="preserve">(International Council for Harmonisation 2023a)</w:t>
      </w:r>
      <w:r>
        <w:t xml:space="preserve">. The process model, the attribute framework and the risk method are those of the</w:t>
      </w:r>
      <w:r>
        <w:t xml:space="preserve"> </w:t>
      </w:r>
      <w:r>
        <w:t xml:space="preserve">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18"/>
    <w:bookmarkEnd w:id="19"/>
    <w:bookmarkStart w:id="31" w:name="process-description-and-performance"/>
    <w:p>
      <w:pPr>
        <w:pStyle w:val="Heading1"/>
      </w:pPr>
      <w:r>
        <w:t xml:space="preserve">2. Process description and performance</w:t>
      </w:r>
    </w:p>
    <w:p>
      <w:pPr>
        <w:pStyle w:val="FirstParagraph"/>
      </w:pPr>
      <w:r>
        <w:t xml:space="preserve">The A-Mab drug substance process is a fed-batch cell culture followed by a platform</w:t>
      </w:r>
      <w:r>
        <w:t xml:space="preserve"> </w:t>
      </w:r>
      <w:r>
        <w:t xml:space="preserve">purification train (capture, low-pH inactivation, two polishing steps, virus filtration and</w:t>
      </w:r>
      <w:r>
        <w:t xml:space="preserve"> </w:t>
      </w:r>
      <w:r>
        <w:t xml:space="preserve">formulation). The bioreactor forms the product and its quality attributes. Everything</w:t>
      </w:r>
      <w:r>
        <w:t xml:space="preserve"> </w:t>
      </w:r>
      <w:r>
        <w:t xml:space="preserve">downstream recovers the product and removes impurities, and only the low-pH hold and cation</w:t>
      </w:r>
      <w:r>
        <w:t xml:space="preserve"> </w:t>
      </w:r>
      <w:r>
        <w:t xml:space="preserve">exchange alter an attribute that the bioreactor formed.</w:t>
      </w:r>
      <w:r>
        <w:t xml:space="preserve"> </w:t>
      </w:r>
      <w:hyperlink w:anchor="tbl-train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train with each</w:t>
      </w:r>
      <w:r>
        <w:t xml:space="preserve"> </w:t>
      </w:r>
      <w:r>
        <w:t xml:space="preserve">step’s principal role in the control strategy.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A-Mab drug substance process train, with each step’s principal role in the control strategy.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ow"/>
          <w:p>
            <w:pPr>
              <w:pStyle w:val="Compact"/>
              <w:jc w:val="center"/>
            </w:pPr>
            <w:r>
              <w:drawing>
                <wp:inline>
                  <wp:extent cx="5334000" cy="1608622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process_flow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086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A-Mab drug substance process train. The annotation under each step names the attributes it forms or clears.</w:t>
            </w:r>
          </w:p>
          <w:bookmarkEnd w:id="24"/>
        </w:tc>
      </w:tr>
    </w:tbl>
    <w:p>
      <w:pPr>
        <w:pStyle w:val="BodyText"/>
      </w:pPr>
      <w:r>
        <w:t xml:space="preserve">Two steps in</w:t>
      </w:r>
      <w:r>
        <w:t xml:space="preserve"> </w:t>
      </w:r>
      <w:hyperlink w:anchor="tbl-train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deserve emphasis, because the whole quality argument turns on them.</w:t>
      </w:r>
      <w:r>
        <w:t xml:space="preserve"> </w:t>
      </w:r>
      <w:r>
        <w:t xml:space="preserve">The production bioreactor forms the glycan, charge-variant and aggregate attributes, and it</w:t>
      </w:r>
      <w:r>
        <w:t xml:space="preserve"> </w:t>
      </w:r>
      <w:r>
        <w:t xml:space="preserve">is the only step at which those attributes are set. Anion exchange is the last purification</w:t>
      </w:r>
      <w:r>
        <w:t xml:space="preserve"> </w:t>
      </w:r>
      <w:r>
        <w:t xml:space="preserve">step, so the impurity levels leaving it are the drug substance levels, subject only to the</w:t>
      </w:r>
      <w:r>
        <w:t xml:space="preserve"> </w:t>
      </w:r>
      <w:r>
        <w:t xml:space="preserve">concentration change across ultrafiltration and diafiltration, which alters the volume the</w:t>
      </w:r>
      <w:r>
        <w:t xml:space="preserve"> </w:t>
      </w:r>
      <w:r>
        <w:t xml:space="preserve">product sits in and not the amount of protein impurity carried with it. The remaining steps</w:t>
      </w:r>
      <w:r>
        <w:t xml:space="preserve"> </w:t>
      </w:r>
      <w:r>
        <w:t xml:space="preserve">recover product, clear impurities, or inactivate and remove virus.</w:t>
      </w:r>
    </w:p>
    <w:bookmarkStart w:id="30" w:name="process-performance"/>
    <w:p>
      <w:pPr>
        <w:pStyle w:val="Heading2"/>
      </w:pPr>
      <w:r>
        <w:t xml:space="preserve">2.1 Process performance</w:t>
      </w:r>
    </w:p>
    <w:p>
      <w:pPr>
        <w:pStyle w:val="FirstParagraph"/>
      </w:pPr>
      <w:r>
        <w:t xml:space="preserve">Product yield across the train is 83.2%. At the</w:t>
      </w:r>
      <w:r>
        <w:t xml:space="preserve"> </w:t>
      </w:r>
      <w:r>
        <w:t xml:space="preserve">15,000 L commercial scale and a nominal harvest titre of</w:t>
      </w:r>
      <w:r>
        <w:t xml:space="preserve"> </w:t>
      </w:r>
      <w:r>
        <w:t xml:space="preserve">4.37 g/L, this delivers 54.6 kg of drug</w:t>
      </w:r>
      <w:r>
        <w:t xml:space="preserve"> </w:t>
      </w:r>
      <w:r>
        <w:t xml:space="preserve">substance at 75 g/L. No step yield is unusually low, and the lowest is</w:t>
      </w:r>
      <w:r>
        <w:t xml:space="preserve"> </w:t>
      </w:r>
      <w:r>
        <w:t xml:space="preserve">95.2% at Cation Exchange Chromatography, which is</w:t>
      </w:r>
      <w:r>
        <w:t xml:space="preserve"> </w:t>
      </w:r>
      <w:r>
        <w:t xml:space="preserve">consistent with a bind and elute polishing step operated with a deliberately conservative</w:t>
      </w:r>
      <w:r>
        <w:t xml:space="preserve"> </w:t>
      </w:r>
      <w:r>
        <w:t xml:space="preserve">elution collection window (PCR-007).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Step and cumulative product yield across the drug substance train. The bioreactor is the basis of the cumulative yield.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11"/>
              <w:gridCol w:w="4182"/>
              <w:gridCol w:w="1245"/>
              <w:gridCol w:w="17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100.0%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/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97.7%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97.7%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97.2%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99.0%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95.2%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89.5%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97.3%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87.1%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98.4%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85.7%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(formulation)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97.1%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83.2%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yield"/>
          <w:p>
            <w:pPr>
              <w:pStyle w:val="Compact"/>
              <w:jc w:val="center"/>
            </w:pPr>
            <w:r>
              <w:drawing>
                <wp:inline>
                  <wp:extent cx="4800600" cy="2614302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yield_waterfall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6143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Cumulative product yield across the eight modelled unit operations.</w:t>
            </w:r>
          </w:p>
          <w:bookmarkEnd w:id="29"/>
        </w:tc>
      </w:tr>
    </w:tbl>
    <w:p>
      <w:pPr>
        <w:pStyle w:val="BodyText"/>
      </w:pPr>
      <w:r>
        <w:t xml:space="preserve">Yield is a process performance attribute and not a quality attribute, and no yield value</w:t>
      </w:r>
      <w:r>
        <w:t xml:space="preserve"> </w:t>
      </w:r>
      <w:r>
        <w:t xml:space="preserve">constrains a design space in this package. It is reported here because a characterized</w:t>
      </w:r>
      <w:r>
        <w:t xml:space="preserve"> </w:t>
      </w:r>
      <w:r>
        <w:t xml:space="preserve">process that cannot meet its mass requirement is not transferable, and because the step</w:t>
      </w:r>
      <w:r>
        <w:t xml:space="preserve"> </w:t>
      </w:r>
      <w:r>
        <w:t xml:space="preserve">yields are the basis of the key process parameter classifications at harvest and at</w:t>
      </w:r>
      <w:r>
        <w:t xml:space="preserve"> </w:t>
      </w:r>
      <w:r>
        <w:t xml:space="preserve">ultrafiltration and diafiltration (PCR-004, PCR-010).</w:t>
      </w:r>
    </w:p>
    <w:bookmarkEnd w:id="30"/>
    <w:bookmarkEnd w:id="31"/>
    <w:bookmarkStart w:id="38" w:name="consolidated-quality-attribute-outcomes"/>
    <w:p>
      <w:pPr>
        <w:pStyle w:val="Heading1"/>
      </w:pPr>
      <w:r>
        <w:t xml:space="preserve">3. Consolidated quality attribute outcomes</w:t>
      </w:r>
    </w:p>
    <w:p>
      <w:pPr>
        <w:pStyle w:val="FirstParagraph"/>
      </w:pPr>
      <w:r>
        <w:t xml:space="preserve">Every drug substance quality attribute meets its acceptance criterion, and</w:t>
      </w:r>
      <w:r>
        <w:t xml:space="preserve"> </w:t>
      </w:r>
      <w:hyperlink w:anchor="tbl-cqa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</w:t>
      </w:r>
      <w:r>
        <w:t xml:space="preserve"> </w:t>
      </w:r>
      <w:r>
        <w:t xml:space="preserve">outcome for each. The table names the step that the attribute register assigns to each</w:t>
      </w:r>
      <w:r>
        <w:t xml:space="preserve"> </w:t>
      </w:r>
      <w:r>
        <w:t xml:space="preserve">attribute, which for the impurities and product variants is the step that forms it and for the</w:t>
      </w:r>
      <w:r>
        <w:t xml:space="preserve"> </w:t>
      </w:r>
      <w:r>
        <w:t xml:space="preserve">two clearance attributes is the step that completes the cumulative claim. In neither case is</w:t>
      </w:r>
      <w:r>
        <w:t xml:space="preserve"> </w:t>
      </w:r>
      <w:r>
        <w:t xml:space="preserve">that necessarily the step that controls the outcome, and the difference is the subject of the</w:t>
      </w:r>
      <w:r>
        <w:t xml:space="preserve"> </w:t>
      </w:r>
      <w:r>
        <w:t xml:space="preserve">subsections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Consolidated drug substance quality attribute outcomes. The drug substance column is the mean and standard deviation of the simulated commercial-scale distribution.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5"/>
              <w:gridCol w:w="854"/>
              <w:gridCol w:w="1595"/>
              <w:gridCol w:w="1766"/>
              <w:gridCol w:w="1025"/>
              <w:gridCol w:w="51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 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Drug substance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2785.30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 ± 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</w:tbl>
          <w:bookmarkEnd w:id="32"/>
          <w:p/>
        </w:tc>
      </w:tr>
    </w:tbl>
    <w:bookmarkStart w:id="33" w:name="glycan-and-charge-variant-attributes"/>
    <w:p>
      <w:pPr>
        <w:pStyle w:val="Heading2"/>
      </w:pPr>
      <w:r>
        <w:t xml:space="preserve">3.1 Glycan and charge-variant attributes</w:t>
      </w:r>
    </w:p>
    <w:p>
      <w:pPr>
        <w:pStyle w:val="FirstParagraph"/>
      </w:pPr>
      <w:r>
        <w:t xml:space="preserve">The three glycan attributes and the acidic charge variants are formed in the production</w:t>
      </w:r>
      <w:r>
        <w:t xml:space="preserve"> </w:t>
      </w:r>
      <w:r>
        <w:t xml:space="preserve">bioreactor and are not modified downstream. Afucosylation and galactosylation are linked to</w:t>
      </w:r>
      <w:r>
        <w:t xml:space="preserve"> </w:t>
      </w:r>
      <w:r>
        <w:t xml:space="preserve">potency through the antibody-dependent cell-mediated cytotoxicity (ADCC) mechanism, which is</w:t>
      </w:r>
      <w:r>
        <w:t xml:space="preserve"> </w:t>
      </w:r>
      <w:r>
        <w:t xml:space="preserve">why both</w:t>
      </w:r>
      <w:r>
        <w:t xml:space="preserve"> </w:t>
      </w:r>
      <w:r>
        <w:t xml:space="preserve">carry a high criticality despite comfortable capability. High mannose carries very high</w:t>
      </w:r>
      <w:r>
        <w:t xml:space="preserve"> </w:t>
      </w:r>
      <w:r>
        <w:t xml:space="preserve">criticality because it is linked to clearance as well as to potency, and its acceptance range</w:t>
      </w:r>
      <w:r>
        <w:t xml:space="preserve"> </w:t>
      </w:r>
      <w:r>
        <w:t xml:space="preserve">of 3 to 10 % of glycans is the tightest two-sided</w:t>
      </w:r>
      <w:r>
        <w:t xml:space="preserve"> </w:t>
      </w:r>
      <w:r>
        <w:t xml:space="preserve">range in the register.</w:t>
      </w:r>
    </w:p>
    <w:p>
      <w:pPr>
        <w:pStyle w:val="BodyText"/>
      </w:pPr>
      <w:r>
        <w:t xml:space="preserve">None of the chromatography steps discriminates between glycosylation variants when operated</w:t>
      </w:r>
      <w:r>
        <w:t xml:space="preserve"> </w:t>
      </w:r>
      <w:r>
        <w:t xml:space="preserve">under platform conditions, which is the mechanistic reason the downstream process cannot</w:t>
      </w:r>
      <w:r>
        <w:t xml:space="preserve"> </w:t>
      </w:r>
      <w:r>
        <w:t xml:space="preserve">correct a glycan excursion</w:t>
      </w:r>
      <w:r>
        <w:t xml:space="preserve"> </w:t>
      </w:r>
      <w:r>
        <w:t xml:space="preserve">(CMC Biotech Working Group 2009)</w:t>
      </w:r>
      <w:r>
        <w:t xml:space="preserve">. Control of the glycan attributes therefore rests</w:t>
      </w:r>
      <w:r>
        <w:t xml:space="preserve"> </w:t>
      </w:r>
      <w:r>
        <w:t xml:space="preserve">entirely on the bioreactor, on culture pH, temperature, dissolved carbon dioxide, osmolality</w:t>
      </w:r>
      <w:r>
        <w:t xml:space="preserve"> </w:t>
      </w:r>
      <w:r>
        <w:t xml:space="preserve">and duration, and PCR-003 defines the multivariate region over which all three glycan</w:t>
      </w:r>
      <w:r>
        <w:t xml:space="preserve"> </w:t>
      </w:r>
      <w:r>
        <w:t xml:space="preserve">attributes remain inside their limits across the ranges characterized. Acidic charge variants</w:t>
      </w:r>
      <w:r>
        <w:t xml:space="preserve"> </w:t>
      </w:r>
      <w:r>
        <w:t xml:space="preserve">behave in the same way, with one addition. The low-pH hold and the</w:t>
      </w:r>
      <w:r>
        <w:t xml:space="preserve"> </w:t>
      </w:r>
      <w:r>
        <w:t xml:space="preserve">neutralized hold that follows it can promote deamidation, and PCR-006 quantified that</w:t>
      </w:r>
      <w:r>
        <w:t xml:space="preserve"> </w:t>
      </w:r>
      <w:r>
        <w:t xml:space="preserve">contribution over the characterized hold time.</w:t>
      </w:r>
    </w:p>
    <w:bookmarkEnd w:id="33"/>
    <w:bookmarkStart w:id="34" w:name="aggregates"/>
    <w:p>
      <w:pPr>
        <w:pStyle w:val="Heading2"/>
      </w:pPr>
      <w:r>
        <w:t xml:space="preserve">3.2 Aggregates</w:t>
      </w:r>
    </w:p>
    <w:p>
      <w:pPr>
        <w:pStyle w:val="FirstParagraph"/>
      </w:pPr>
      <w:r>
        <w:t xml:space="preserve">Aggregate is formed in the bioreactor, increased slightly by the low-pH hold, and reduced by</w:t>
      </w:r>
      <w:r>
        <w:t xml:space="preserve"> </w:t>
      </w:r>
      <w:r>
        <w:t xml:space="preserve">cation exchange. The low-pH hold raises the aggregate content by</w:t>
      </w:r>
      <w:r>
        <w:t xml:space="preserve"> </w:t>
      </w:r>
      <w:r>
        <w:t xml:space="preserve">0.35 percentage points to 1.91 % at the</w:t>
      </w:r>
      <w:r>
        <w:t xml:space="preserve"> </w:t>
      </w:r>
      <w:r>
        <w:t xml:space="preserve">characterized set-point, which is the expected consequence of holding an antibody at pH</w:t>
      </w:r>
      <w:r>
        <w:t xml:space="preserve"> </w:t>
      </w:r>
      <w:r>
        <w:t xml:space="preserve">3.5 (PCR-006). Cation exchange then reduces the pool aggregate</w:t>
      </w:r>
      <w:r>
        <w:t xml:space="preserve"> </w:t>
      </w:r>
      <w:r>
        <w:t xml:space="preserve">2.61-fold to 0.73 %, against a drug substance</w:t>
      </w:r>
      <w:r>
        <w:t xml:space="preserve"> </w:t>
      </w:r>
      <w:r>
        <w:t xml:space="preserve">limit of 5 % (PCR-007). Cation exchange is the only aggregate</w:t>
      </w:r>
      <w:r>
        <w:t xml:space="preserve"> </w:t>
      </w:r>
      <w:r>
        <w:t xml:space="preserve">clearance step in the train, and there is no step after it that would remove aggregate formed</w:t>
      </w:r>
      <w:r>
        <w:t xml:space="preserve"> </w:t>
      </w:r>
      <w:r>
        <w:t xml:space="preserve">later, so its performance is the reason the drug substance capability for aggregate is as</w:t>
      </w:r>
      <w:r>
        <w:t xml:space="preserve"> </w:t>
      </w:r>
      <w:r>
        <w:t xml:space="preserve">large as</w:t>
      </w:r>
      <w:r>
        <w:t xml:space="preserve"> </w:t>
      </w:r>
      <w:hyperlink w:anchor="tbl-cqa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shows.</w:t>
      </w:r>
    </w:p>
    <w:bookmarkEnd w:id="34"/>
    <w:bookmarkStart w:id="35" w:name="host-cell-protein"/>
    <w:p>
      <w:pPr>
        <w:pStyle w:val="Heading2"/>
      </w:pPr>
      <w:r>
        <w:t xml:space="preserve">3.3 Host cell protein</w:t>
      </w:r>
    </w:p>
    <w:p>
      <w:pPr>
        <w:pStyle w:val="FirstParagraph"/>
      </w:pPr>
      <w:r>
        <w:t xml:space="preserve">Host cell protein (HCP) is cleared to specification only after the last purification step. The</w:t>
      </w:r>
      <w:r>
        <w:t xml:space="preserve"> </w:t>
      </w:r>
      <w:r>
        <w:t xml:space="preserve">clarified harvest carries 500,000 ng/mg, and Protein A capture reduces</w:t>
      </w:r>
      <w:r>
        <w:t xml:space="preserve"> </w:t>
      </w:r>
      <w:r>
        <w:t xml:space="preserve">this about 55-fold to 9,125 ng/mg in the</w:t>
      </w:r>
      <w:r>
        <w:t xml:space="preserve"> </w:t>
      </w:r>
      <w:r>
        <w:t xml:space="preserve">capture pool (PCR-005). Cation exchange reduces it a further</w:t>
      </w:r>
      <w:r>
        <w:t xml:space="preserve"> </w:t>
      </w:r>
      <w:r>
        <w:t xml:space="preserve">78.0-fold to 117.0 ng/mg (PCR-007), and</w:t>
      </w:r>
      <w:r>
        <w:t xml:space="preserve"> </w:t>
      </w:r>
      <w:r>
        <w:t xml:space="preserve">anion exchange reduces it 6.19-fold to</w:t>
      </w:r>
      <w:r>
        <w:t xml:space="preserve"> </w:t>
      </w:r>
      <w:r>
        <w:t xml:space="preserve">18.9 ng/mg (PCR-008). Only the last of these figures is below the drug</w:t>
      </w:r>
      <w:r>
        <w:t xml:space="preserve"> </w:t>
      </w:r>
      <w:r>
        <w:t xml:space="preserve">substance limit of 100 ng/mg.</w:t>
      </w:r>
    </w:p>
    <w:p>
      <w:pPr>
        <w:pStyle w:val="BodyText"/>
      </w:pPr>
      <w:r>
        <w:t xml:space="preserve">The intermediate values are in-process results and not failed acceptance criteria. No</w:t>
      </w:r>
      <w:r>
        <w:t xml:space="preserve"> </w:t>
      </w:r>
      <w:r>
        <w:t xml:space="preserve">acceptance criterion for host cell protein applies to the Protein A pool or to the cation</w:t>
      </w:r>
      <w:r>
        <w:t xml:space="preserve"> </w:t>
      </w:r>
      <w:r>
        <w:t xml:space="preserve">exchange pool, because neither is drug substance. Each of those pools carries its own</w:t>
      </w:r>
      <w:r>
        <w:t xml:space="preserve"> </w:t>
      </w:r>
      <w:r>
        <w:t xml:space="preserve">in-process limit, defined in the report for that step, and the limits are set from what the</w:t>
      </w:r>
      <w:r>
        <w:t xml:space="preserve"> </w:t>
      </w:r>
      <w:r>
        <w:t xml:space="preserve">downstream steps can be relied on to remove. The total clearance across the chromatography</w:t>
      </w:r>
      <w:r>
        <w:t xml:space="preserve"> </w:t>
      </w:r>
      <w:r>
        <w:t xml:space="preserve">steps is about 26,444-fold.</w:t>
      </w:r>
    </w:p>
    <w:p>
      <w:pPr>
        <w:pStyle w:val="BodyText"/>
      </w:pPr>
      <w:r>
        <w:t xml:space="preserve">Credit for host cell protein clearance is therefore shared, and no single step can be</w:t>
      </w:r>
      <w:r>
        <w:t xml:space="preserve"> </w:t>
      </w:r>
      <w:r>
        <w:t xml:space="preserve">described as the host cell protein control. Protein A does the bulk of the removal in</w:t>
      </w:r>
      <w:r>
        <w:t xml:space="preserve"> </w:t>
      </w:r>
      <w:r>
        <w:t xml:space="preserve">absolute terms, cation exchange contributes the largest single fold reduction, and anion</w:t>
      </w:r>
      <w:r>
        <w:t xml:space="preserve"> </w:t>
      </w:r>
      <w:r>
        <w:t xml:space="preserve">exchange sets the level that reaches the drug substance. A change to the load conditions of</w:t>
      </w:r>
      <w:r>
        <w:t xml:space="preserve"> </w:t>
      </w:r>
      <w:r>
        <w:t xml:space="preserve">any one of them shifts the burden onto the others, which is why the three steps are</w:t>
      </w:r>
      <w:r>
        <w:t xml:space="preserve"> </w:t>
      </w:r>
      <w:r>
        <w:t xml:space="preserve">classified together in the control strategy of §7 and why the design space of each is</w:t>
      </w:r>
      <w:r>
        <w:t xml:space="preserve"> </w:t>
      </w:r>
      <w:r>
        <w:t xml:space="preserve">defined against an in-process limit and not against the drug substance specification.</w:t>
      </w:r>
    </w:p>
    <w:bookmarkEnd w:id="35"/>
    <w:bookmarkStart w:id="36" w:name="residual-dna-and-leached-protein-a"/>
    <w:p>
      <w:pPr>
        <w:pStyle w:val="Heading2"/>
      </w:pPr>
      <w:r>
        <w:t xml:space="preserve">3.4 Residual DNA and leached Protein A</w:t>
      </w:r>
    </w:p>
    <w:p>
      <w:pPr>
        <w:pStyle w:val="FirstParagraph"/>
      </w:pPr>
      <w:r>
        <w:t xml:space="preserve">Residual DNA and leached Protein A both reach the drug substance far below their limits.</w:t>
      </w:r>
      <w:r>
        <w:t xml:space="preserve"> </w:t>
      </w:r>
      <w:r>
        <w:t xml:space="preserve">Residual DNA is 0.0001 ng per dose against a limit of</w:t>
      </w:r>
      <w:r>
        <w:t xml:space="preserve"> </w:t>
      </w:r>
      <w:r>
        <w:t xml:space="preserve">0.001 ng per dose, and it is cleared by every chromatography step in</w:t>
      </w:r>
      <w:r>
        <w:t xml:space="preserve"> </w:t>
      </w:r>
      <w:r>
        <w:t xml:space="preserve">the train. Leached Protein A enters the process at the capture step at</w:t>
      </w:r>
      <w:r>
        <w:t xml:space="preserve"> </w:t>
      </w:r>
      <w:r>
        <w:t xml:space="preserve">3.63 ppm and is cleared by the two polishing steps to</w:t>
      </w:r>
      <w:r>
        <w:t xml:space="preserve"> </w:t>
      </w:r>
      <w:r>
        <w:t xml:space="preserve">0.003 ppm, against a limit of 5 ppm (PCR-005,</w:t>
      </w:r>
      <w:r>
        <w:t xml:space="preserve"> </w:t>
      </w:r>
      <w:r>
        <w:t xml:space="preserve">PCR-007, PCR-008).</w:t>
      </w:r>
    </w:p>
    <w:p>
      <w:pPr>
        <w:pStyle w:val="BodyText"/>
      </w:pPr>
      <w:r>
        <w:t xml:space="preserve">Leached Protein A is the one attribute in the register whose level depends on a consumable</w:t>
      </w:r>
      <w:r>
        <w:t xml:space="preserve"> </w:t>
      </w:r>
      <w:r>
        <w:t xml:space="preserve">rather than on a set-point. It rises with resin age and with elution pH, and PCR-005 found no</w:t>
      </w:r>
      <w:r>
        <w:t xml:space="preserve"> </w:t>
      </w:r>
      <w:r>
        <w:t xml:space="preserve">significant effect of any characterized parameter on it over the ranges studied. Its control</w:t>
      </w:r>
      <w:r>
        <w:t xml:space="preserve"> </w:t>
      </w:r>
      <w:r>
        <w:t xml:space="preserve">is therefore a life-cycle control on the capture resin and not a parameter range, and §7.4</w:t>
      </w:r>
      <w:r>
        <w:t xml:space="preserve"> </w:t>
      </w:r>
      <w:r>
        <w:t xml:space="preserve">describes it.</w:t>
      </w:r>
    </w:p>
    <w:bookmarkEnd w:id="36"/>
    <w:bookmarkStart w:id="37" w:name="viral-clearance"/>
    <w:p>
      <w:pPr>
        <w:pStyle w:val="Heading2"/>
      </w:pPr>
      <w:r>
        <w:t xml:space="preserve">3.5 Viral clearance</w:t>
      </w:r>
    </w:p>
    <w:p>
      <w:pPr>
        <w:pStyle w:val="FirstParagraph"/>
      </w:pPr>
      <w:r>
        <w:t xml:space="preserve">Cumulative XMuLV and MVM clearance are drug substance quality attributes in this register,</w:t>
      </w:r>
      <w:r>
        <w:t xml:space="preserve"> </w:t>
      </w:r>
      <w:r>
        <w:t xml:space="preserve">and both are of very high criticality. They are treated separately in §6 because their</w:t>
      </w:r>
      <w:r>
        <w:t xml:space="preserve"> </w:t>
      </w:r>
      <w:r>
        <w:t xml:space="preserve">acceptance criteria apply to the sum of several steps and not to an output of any one step.</w:t>
      </w:r>
    </w:p>
    <w:bookmarkEnd w:id="37"/>
    <w:bookmarkEnd w:id="38"/>
    <w:bookmarkStart w:id="46" w:name="parameter-classification-summary"/>
    <w:p>
      <w:pPr>
        <w:pStyle w:val="Heading1"/>
      </w:pPr>
      <w:r>
        <w:t xml:space="preserve">4. Parameter classification summary</w:t>
      </w:r>
    </w:p>
    <w:p>
      <w:pPr>
        <w:pStyle w:val="FirstParagraph"/>
      </w:pPr>
      <w:r>
        <w:t xml:space="preserve">All 37 process parameters carried into the campaign are classified.</w:t>
      </w:r>
      <w:r>
        <w:t xml:space="preserve"> </w:t>
      </w:r>
      <w:hyperlink w:anchor="tbl-classe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counts by class and</w:t>
      </w:r>
      <w:r>
        <w:t xml:space="preserve"> </w:t>
      </w:r>
      <w:hyperlink w:anchor="tbl-classsteps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them by unit</w:t>
      </w:r>
      <w:r>
        <w:t xml:space="preserve"> </w:t>
      </w:r>
      <w:r>
        <w:t xml:space="preserve">operation. 21 parameters are linked to a quality attribute and are</w:t>
      </w:r>
      <w:r>
        <w:t xml:space="preserve"> </w:t>
      </w:r>
      <w:r>
        <w:t xml:space="preserve">controlled within the design space of their step. The remainder are controlled for process</w:t>
      </w:r>
      <w:r>
        <w:t xml:space="preserve"> </w:t>
      </w:r>
      <w:r>
        <w:t xml:space="preserve">consistency or are not controlled beyond their normal operating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cla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Parameter classification across the whole drug substance train.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20"/>
              <w:gridCol w:w="1120"/>
              <w:gridCol w:w="60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Basis for the class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Impact on a CQA demonstrated; appreciable risk of leaving the design space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Impact on a CQA demonstrated; low risk of leaving the design space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CQA impact; controlled to keep process performance consistent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CQA or performance impact over the ranges studied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classste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Parameter classification by unit operation.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66"/>
              <w:gridCol w:w="3918"/>
              <w:gridCol w:w="583"/>
              <w:gridCol w:w="833"/>
              <w:gridCol w:w="583"/>
              <w:gridCol w:w="583"/>
              <w:gridCol w:w="7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/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(formulation)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class"/>
          <w:p>
            <w:pPr>
              <w:pStyle w:val="Compact"/>
              <w:jc w:val="center"/>
            </w:pPr>
            <w:r>
              <w:drawing>
                <wp:inline>
                  <wp:extent cx="5067300" cy="215564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param_classification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2155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Post-characterization classification of process parameters by unit operation.</w:t>
            </w:r>
          </w:p>
          <w:bookmarkEnd w:id="44"/>
        </w:tc>
      </w:tr>
    </w:tbl>
    <w:p>
      <w:pPr>
        <w:pStyle w:val="BodyText"/>
      </w:pPr>
      <w:r>
        <w:t xml:space="preserve">The single critical process parameter is the inactivation pH of the low-pH hold, with a</w:t>
      </w:r>
      <w:r>
        <w:t xml:space="preserve"> </w:t>
      </w:r>
      <w:r>
        <w:t xml:space="preserve">normal operating range of 3.4 to 3.6 and a</w:t>
      </w:r>
      <w:r>
        <w:t xml:space="preserve"> </w:t>
      </w:r>
      <w:r>
        <w:t xml:space="preserve">characterized range of 3.2 to 4. It is critical and not</w:t>
      </w:r>
      <w:r>
        <w:t xml:space="preserve"> </w:t>
      </w:r>
      <w:r>
        <w:t xml:space="preserve">well-controlled critical for the reason PCR-006 gives. The consequence of leaving the range</w:t>
      </w:r>
      <w:r>
        <w:t xml:space="preserve"> </w:t>
      </w:r>
      <w:r>
        <w:t xml:space="preserve">is severe in both directions, because inactivation of XMuLV is incomplete above the upper</w:t>
      </w:r>
      <w:r>
        <w:t xml:space="preserve"> </w:t>
      </w:r>
      <w:r>
        <w:t xml:space="preserve">edge and the antibody aggregates below the lower edge, and the width of the acceptable range</w:t>
      </w:r>
      <w:r>
        <w:t xml:space="preserve"> </w:t>
      </w:r>
      <w:r>
        <w:t xml:space="preserve">is small relative to the control capability of a pH loop on a large hold vessel. Every other</w:t>
      </w:r>
      <w:r>
        <w:t xml:space="preserve"> </w:t>
      </w:r>
      <w:r>
        <w:t xml:space="preserve">quality-linked parameter in the process is held in a range wide enough, relative to the</w:t>
      </w:r>
      <w:r>
        <w:t xml:space="preserve"> </w:t>
      </w:r>
      <w:r>
        <w:t xml:space="preserve">control capability of its loop, that the risk of leaving the design space is 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cp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Parameters linked to a quality attribute, with their set-points and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64"/>
              <w:gridCol w:w="2036"/>
              <w:gridCol w:w="829"/>
              <w:gridCol w:w="980"/>
              <w:gridCol w:w="829"/>
              <w:gridCol w:w="67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19–23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5.85–6.15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0.7–1.3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7.35–7.65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2.1–3.1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120–280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200–400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parameters that the control strategy must hold inside a design space are listed in</w:t>
      </w:r>
      <w:r>
        <w:t xml:space="preserve"> </w:t>
      </w:r>
      <w:hyperlink w:anchor="tbl-cpp">
        <w:r>
          <w:rPr>
            <w:rStyle w:val="Hyperlink"/>
          </w:rPr>
          <w:t xml:space="preserve">Table 9</w:t>
        </w:r>
      </w:hyperlink>
      <w:r>
        <w:t xml:space="preserve">. The production bioreactor and anion exchange contribute 5</w:t>
      </w:r>
      <w:r>
        <w:t xml:space="preserve"> </w:t>
      </w:r>
      <w:r>
        <w:t xml:space="preserve">each, more than any other step. At the bioreactor they are culture conditions acting on the</w:t>
      </w:r>
      <w:r>
        <w:t xml:space="preserve"> </w:t>
      </w:r>
      <w:r>
        <w:t xml:space="preserve">glycan and charge-variant attributes (PCR-003). At anion exchange the flow-through mode makes</w:t>
      </w:r>
      <w:r>
        <w:t xml:space="preserve"> </w:t>
      </w:r>
      <w:r>
        <w:t xml:space="preserve">the load and the buffer conditions jointly determine both impurity clearance and virus</w:t>
      </w:r>
      <w:r>
        <w:t xml:space="preserve"> </w:t>
      </w:r>
      <w:r>
        <w:t xml:space="preserve">removal, so all 5 parameters of the step are quality-linked</w:t>
      </w:r>
      <w:r>
        <w:t xml:space="preserve"> </w:t>
      </w:r>
      <w:r>
        <w:t xml:space="preserve">(PCR-008). Cation exchange contributes 4 and Protein A capture</w:t>
      </w:r>
      <w:r>
        <w:t xml:space="preserve"> </w:t>
      </w:r>
      <w:r>
        <w:t xml:space="preserve">2.</w:t>
      </w:r>
    </w:p>
    <w:p>
      <w:pPr>
        <w:pStyle w:val="BodyText"/>
      </w:pPr>
      <w:r>
        <w:t xml:space="preserve">One classification in</w:t>
      </w:r>
      <w:r>
        <w:t xml:space="preserve"> </w:t>
      </w:r>
      <w:hyperlink w:anchor="tbl-cpp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rests on a bounding argument rather than on a measured effect.</w:t>
      </w:r>
      <w:r>
        <w:t xml:space="preserve"> </w:t>
      </w:r>
      <w:r>
        <w:t xml:space="preserve">The anion exchange operating flow rate was assessed univariately and was not a factor in</w:t>
      </w:r>
      <w:r>
        <w:t xml:space="preserve"> </w:t>
      </w:r>
      <w:r>
        <w:t xml:space="preserve">either multivariate design, so no interaction between flow and the buffer conditions was</w:t>
      </w:r>
      <w:r>
        <w:t xml:space="preserve"> </w:t>
      </w:r>
      <w:r>
        <w:t xml:space="preserve">estimated. PCR-008 classifies it as well-controlled critical on the basis that residence time</w:t>
      </w:r>
      <w:r>
        <w:t xml:space="preserve"> </w:t>
      </w:r>
      <w:r>
        <w:t xml:space="preserve">is mechanistically linked to virus removal in a flow-through step, and that the safe course</w:t>
      </w:r>
      <w:r>
        <w:t xml:space="preserve"> </w:t>
      </w:r>
      <w:r>
        <w:t xml:space="preserve">where an interaction has not been estimated is the more stringent class. It is the only</w:t>
      </w:r>
      <w:r>
        <w:t xml:space="preserve"> </w:t>
      </w:r>
      <w:r>
        <w:t xml:space="preserve">quality-linked parameter in the campaign assessed this way.</w:t>
      </w:r>
    </w:p>
    <w:p>
      <w:pPr>
        <w:pStyle w:val="BodyText"/>
      </w:pPr>
      <w:r>
        <w:t xml:space="preserve">Null results account for a large part of</w:t>
      </w:r>
      <w:r>
        <w:t xml:space="preserve"> </w:t>
      </w:r>
      <w:hyperlink w:anchor="tbl-classes">
        <w:r>
          <w:rPr>
            <w:rStyle w:val="Hyperlink"/>
          </w:rPr>
          <w:t xml:space="preserve">Table 7</w:t>
        </w:r>
      </w:hyperlink>
      <w:r>
        <w:t xml:space="preserve">. Several parameters showed no</w:t>
      </w:r>
      <w:r>
        <w:t xml:space="preserve"> </w:t>
      </w:r>
      <w:r>
        <w:t xml:space="preserve">significant effect on any response over the ranges characterized, and each of them was</w:t>
      </w:r>
      <w:r>
        <w:t xml:space="preserve"> </w:t>
      </w:r>
      <w:r>
        <w:t xml:space="preserve">classified on that evidence and kept in the record, because a factor that does nothing over a</w:t>
      </w:r>
      <w:r>
        <w:t xml:space="preserve"> </w:t>
      </w:r>
      <w:r>
        <w:t xml:space="preserve">wide range is evidence of robustness and not an absence of information. Basal medium</w:t>
      </w:r>
      <w:r>
        <w:t xml:space="preserve"> </w:t>
      </w:r>
      <w:r>
        <w:t xml:space="preserve">concentration, Protein A</w:t>
      </w:r>
      <w:r>
        <w:t xml:space="preserve"> </w:t>
      </w:r>
      <w:r>
        <w:t xml:space="preserve">operating temperature and bed height, cation exchange elution flow rate, harvest</w:t>
      </w:r>
      <w:r>
        <w:t xml:space="preserve"> </w:t>
      </w:r>
      <w:r>
        <w:t xml:space="preserve">post-clarification turbidity and the A-Mab concentration at the low-pH hold are all general</w:t>
      </w:r>
      <w:r>
        <w:t xml:space="preserve"> </w:t>
      </w:r>
      <w:r>
        <w:t xml:space="preserve">process parameters (GPP) for that reason. Their ranges remain in the knowledge space as evidence</w:t>
      </w:r>
      <w:r>
        <w:t xml:space="preserve"> </w:t>
      </w:r>
      <w:r>
        <w:t xml:space="preserve">that the attributes they might have affected are robust to them.</w:t>
      </w:r>
    </w:p>
    <w:bookmarkEnd w:id="46"/>
    <w:bookmarkStart w:id="52" w:name="process-capability"/>
    <w:p>
      <w:pPr>
        <w:pStyle w:val="Heading1"/>
      </w:pPr>
      <w:r>
        <w:t xml:space="preserve">5. Process capability</w:t>
      </w:r>
    </w:p>
    <w:p>
      <w:pPr>
        <w:pStyle w:val="FirstParagraph"/>
      </w:pPr>
      <w:r>
        <w:t xml:space="preserve">Capability at commercial scale was estimated for every drug substance quality attribute by</w:t>
      </w:r>
      <w:r>
        <w:t xml:space="preserve"> </w:t>
      </w:r>
      <w:r>
        <w:t xml:space="preserve">Monte-Carlo simulation of 2,000 batches. In each simulated</w:t>
      </w:r>
      <w:r>
        <w:t xml:space="preserve"> </w:t>
      </w:r>
      <w:r>
        <w:t xml:space="preserve">batch every classified parameter was drawn independently within its normal operating range</w:t>
      </w:r>
      <w:r>
        <w:t xml:space="preserve"> </w:t>
      </w:r>
      <w:r>
        <w:t xml:space="preserve">and propagated through the fitted step models, so the simulated distribution reflects</w:t>
      </w:r>
      <w:r>
        <w:t xml:space="preserve"> </w:t>
      </w:r>
      <w:r>
        <w:t xml:space="preserve">parameter variation, the analytical variation of the methods (</w:t>
      </w:r>
      <w:hyperlink w:anchor="tbl-methods">
        <w:r>
          <w:rPr>
            <w:rStyle w:val="Hyperlink"/>
          </w:rPr>
          <w:t xml:space="preserve">Table 12</w:t>
        </w:r>
      </w:hyperlink>
      <w:r>
        <w:t xml:space="preserve">) and the residual</w:t>
      </w:r>
      <w:r>
        <w:t xml:space="preserve"> </w:t>
      </w:r>
      <w:r>
        <w:t xml:space="preserve">variation of each model. Capability is reported as a one-sided index against the acceptance limit that</w:t>
      </w:r>
      <w:r>
        <w:t xml:space="preserve"> </w:t>
      </w:r>
      <w:r>
        <w:t xml:space="preserve">applies, following the practice described in the process validation literature for judging</w:t>
      </w:r>
      <w:r>
        <w:t xml:space="preserve"> </w:t>
      </w:r>
      <w:r>
        <w:t xml:space="preserve">whether a process can meet a specification</w:t>
      </w:r>
      <w:r>
        <w:t xml:space="preserve"> </w:t>
      </w:r>
      <w:r>
        <w:t xml:space="preserve">(U.S. Food and Drug Administration 2011)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Commercial-scale process capability for every drug substance quality attribute.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02"/>
              <w:gridCol w:w="734"/>
              <w:gridCol w:w="898"/>
              <w:gridCol w:w="1143"/>
              <w:gridCol w:w="1306"/>
              <w:gridCol w:w="73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2785.30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 ± 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cap"/>
          <w:p>
            <w:pPr>
              <w:pStyle w:val="Compact"/>
              <w:jc w:val="center"/>
            </w:pPr>
            <w:r>
              <w:drawing>
                <wp:inline>
                  <wp:extent cx="5334000" cy="290077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capability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00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Simulated commercial-scale distributions of the product quality attributes against their acceptance limits, annotated with the capability index.</w:t>
            </w:r>
          </w:p>
          <w:bookmarkEnd w:id="51"/>
        </w:tc>
      </w:tr>
    </w:tbl>
    <w:p>
      <w:pPr>
        <w:pStyle w:val="BodyText"/>
      </w:pPr>
      <w:r>
        <w:t xml:space="preserve">The tightest capability in the process is the cumulative MVM clearance, at</w:t>
      </w:r>
      <w:r>
        <w:t xml:space="preserve"> </w:t>
      </w:r>
      <w:r>
        <w:t xml:space="preserve">1.51. Its simulated mean of 10.38 log₁₀ sits</w:t>
      </w:r>
      <w:r>
        <w:t xml:space="preserve"> </w:t>
      </w:r>
      <w:r>
        <w:t xml:space="preserve">1.78 log₁₀ above the requirement of</w:t>
      </w:r>
      <w:r>
        <w:t xml:space="preserve"> </w:t>
      </w:r>
      <w:r>
        <w:t xml:space="preserve">8.6 log₁₀, with a standard deviation of</w:t>
      </w:r>
      <w:r>
        <w:t xml:space="preserve"> </w:t>
      </w:r>
      <w:r>
        <w:t xml:space="preserve">0.40 log₁₀. The cumulative XMuLV clearance is next at</w:t>
      </w:r>
      <w:r>
        <w:t xml:space="preserve"> </w:t>
      </w:r>
      <w:r>
        <w:t xml:space="preserve">1.53, and both are lower than any product quality attribute</w:t>
      </w:r>
      <w:r>
        <w:t xml:space="preserve"> </w:t>
      </w:r>
      <w:r>
        <w:t xml:space="preserve">because a clearance requirement is a floor and not a window, and because the variation of</w:t>
      </w:r>
      <w:r>
        <w:t xml:space="preserve"> </w:t>
      </w:r>
      <w:r>
        <w:t xml:space="preserve">3 independent spiking studies combines in the sum.</w:t>
      </w:r>
    </w:p>
    <w:p>
      <w:pPr>
        <w:pStyle w:val="BodyText"/>
      </w:pPr>
      <w:r>
        <w:t xml:space="preserve">Of the product quality attributes the tightest is high mannose at</w:t>
      </w:r>
      <w:r>
        <w:t xml:space="preserve"> </w:t>
      </w:r>
      <w:r>
        <w:t xml:space="preserve">1.94, with a simulated mean of</w:t>
      </w:r>
      <w:r>
        <w:t xml:space="preserve"> </w:t>
      </w:r>
      <w:r>
        <w:t xml:space="preserve">5.99 % of glycans in a range of</w:t>
      </w:r>
      <w:r>
        <w:t xml:space="preserve"> </w:t>
      </w:r>
      <w:r>
        <w:t xml:space="preserve">3 to 10 %. The binding side is the lower limit, and</w:t>
      </w:r>
      <w:r>
        <w:t xml:space="preserve"> </w:t>
      </w:r>
      <w:r>
        <w:t xml:space="preserve">PCR-003 identifies culture pH and temperature as the parameters that move it. Afucosylation</w:t>
      </w:r>
      <w:r>
        <w:t xml:space="preserve"> </w:t>
      </w:r>
      <w:r>
        <w:t xml:space="preserve">and galactosylation are next, at 2.89 and</w:t>
      </w:r>
      <w:r>
        <w:t xml:space="preserve"> </w:t>
      </w:r>
      <w:r>
        <w:t xml:space="preserve">2.86. The remaining attributes sit far from their</w:t>
      </w:r>
      <w:r>
        <w:t xml:space="preserve"> </w:t>
      </w:r>
      <w:r>
        <w:t xml:space="preserve">limits, and their indices should be read as showing that the attribute does not constrain the</w:t>
      </w:r>
      <w:r>
        <w:t xml:space="preserve"> </w:t>
      </w:r>
      <w:r>
        <w:t xml:space="preserve">process, and not as meaningful precision. Leached Protein A is the extreme case, at</w:t>
      </w:r>
      <w:r>
        <w:t xml:space="preserve"> </w:t>
      </w:r>
      <w:r>
        <w:t xml:space="preserve">1,667-fold below its limit, and its index is reported in</w:t>
      </w:r>
      <w:r>
        <w:t xml:space="preserve"> </w:t>
      </w:r>
      <w:hyperlink w:anchor="tbl-cap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for completeness only.</w:t>
      </w:r>
    </w:p>
    <w:p>
      <w:pPr>
        <w:pStyle w:val="BodyText"/>
      </w:pPr>
      <w:r>
        <w:t xml:space="preserve">Two bounds apply to every value in</w:t>
      </w:r>
      <w:r>
        <w:t xml:space="preserve"> </w:t>
      </w:r>
      <w:hyperlink w:anchor="tbl-cap">
        <w:r>
          <w:rPr>
            <w:rStyle w:val="Hyperlink"/>
          </w:rPr>
          <w:t xml:space="preserve">Table 10</w:t>
        </w:r>
      </w:hyperlink>
      <w:r>
        <w:t xml:space="preserve">. The simulation propagates parameter variation</w:t>
      </w:r>
      <w:r>
        <w:t xml:space="preserve"> </w:t>
      </w:r>
      <w:r>
        <w:t xml:space="preserve">within the normal operating ranges and does not extrapolate to the edges of the characterized</w:t>
      </w:r>
      <w:r>
        <w:t xml:space="preserve"> </w:t>
      </w:r>
      <w:r>
        <w:t xml:space="preserve">ranges, so it describes routine operation and not the whole design space, where the</w:t>
      </w:r>
      <w:r>
        <w:t xml:space="preserve"> </w:t>
      </w:r>
      <w:r>
        <w:t xml:space="preserve">reliability of a model that predicts mean levels is lower than it is at the centre. The step</w:t>
      </w:r>
      <w:r>
        <w:t xml:space="preserve"> </w:t>
      </w:r>
      <w:r>
        <w:t xml:space="preserve">models it propagates were fitted on qualified scale-down models, so the capability is</w:t>
      </w:r>
      <w:r>
        <w:t xml:space="preserve"> </w:t>
      </w:r>
      <w:r>
        <w:t xml:space="preserve">inherited from the scale-down qualification of each step. Commercial-scale capability is</w:t>
      </w:r>
      <w:r>
        <w:t xml:space="preserve"> </w:t>
      </w:r>
      <w:r>
        <w:t xml:space="preserve">confirmed in Stage 2, on the 5 process performance qualification</w:t>
      </w:r>
      <w:r>
        <w:t xml:space="preserve"> </w:t>
      </w:r>
      <w:r>
        <w:t xml:space="preserve">batches and the continued process verification that follows them.</w:t>
      </w:r>
    </w:p>
    <w:bookmarkEnd w:id="52"/>
    <w:bookmarkStart w:id="58" w:name="viral-clearance-summary"/>
    <w:p>
      <w:pPr>
        <w:pStyle w:val="Heading1"/>
      </w:pPr>
      <w:r>
        <w:t xml:space="preserve">6. Viral clearance summary</w:t>
      </w:r>
    </w:p>
    <w:p>
      <w:pPr>
        <w:pStyle w:val="FirstParagraph"/>
      </w:pPr>
      <w:r>
        <w:t xml:space="preserve">Cumulative clearance exceeds the requirement for both model viruses. XMuLV clearance is</w:t>
      </w:r>
      <w:r>
        <w:t xml:space="preserve"> </w:t>
      </w:r>
      <w:r>
        <w:t xml:space="preserve">18.87 log₁₀ against a requirement of 16.7</w:t>
      </w:r>
      <w:r>
        <w:t xml:space="preserve"> </w:t>
      </w:r>
      <w:r>
        <w:t xml:space="preserve">log₁₀, a margin of 2.17 log₁₀. MVM clearance is</w:t>
      </w:r>
      <w:r>
        <w:t xml:space="preserve"> </w:t>
      </w:r>
      <w:r>
        <w:t xml:space="preserve">10.03 log₁₀ against 8.6 log₁₀, a margin of</w:t>
      </w:r>
      <w:r>
        <w:t xml:space="preserve"> </w:t>
      </w:r>
      <w:r>
        <w:t xml:space="preserve">1.43 log₁₀. The claim is modular in the sense of ICH Q5A(R2), which</w:t>
      </w:r>
      <w:r>
        <w:t xml:space="preserve"> </w:t>
      </w:r>
      <w:r>
        <w:t xml:space="preserve">means each step was spiked and assayed independently of the others and the increments are</w:t>
      </w:r>
      <w:r>
        <w:t xml:space="preserve"> </w:t>
      </w:r>
      <w:r>
        <w:t xml:space="preserve">summed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vi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Modular viral clearance by step, with the mechanism claimed for each and the report that establishes it.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3126"/>
              <w:gridCol w:w="1181"/>
              <w:gridCol w:w="1042"/>
              <w:gridCol w:w="69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 inactivation of the viral envelope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(AEX)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Charge-based partition in flow-through mode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Virus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Size-based retention by the membrane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10.03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viral"/>
          <w:p>
            <w:pPr>
              <w:pStyle w:val="Compact"/>
              <w:jc w:val="center"/>
            </w:pPr>
            <w:r>
              <w:drawing>
                <wp:inline>
                  <wp:extent cx="5067300" cy="2033065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viral_clearanc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20330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Modular viral clearance by step for XMuLV and MVM against the cumulative requirement.</w:t>
            </w:r>
          </w:p>
          <w:bookmarkEnd w:id="57"/>
        </w:tc>
      </w:tr>
    </w:tbl>
    <w:p>
      <w:pPr>
        <w:pStyle w:val="BodyText"/>
      </w:pPr>
      <w:r>
        <w:t xml:space="preserve">The mechanisms in</w:t>
      </w:r>
      <w:r>
        <w:t xml:space="preserve"> </w:t>
      </w:r>
      <w:hyperlink w:anchor="tbl-viral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are orthogonal, which is what allows the increments to be added.</w:t>
      </w:r>
      <w:r>
        <w:t xml:space="preserve"> </w:t>
      </w:r>
      <w:r>
        <w:t xml:space="preserve">Low-pH inactivation disrupts the lipid envelope of an enveloped virus, anion exchange</w:t>
      </w:r>
      <w:r>
        <w:t xml:space="preserve"> </w:t>
      </w:r>
      <w:r>
        <w:t xml:space="preserve">partitions virus from antibody on charge in flow-through mode, and the virus filter retains</w:t>
      </w:r>
      <w:r>
        <w:t xml:space="preserve"> </w:t>
      </w:r>
      <w:r>
        <w:t xml:space="preserve">virus on size, so a condition that defeats one of them does not defeat the others. No single</w:t>
      </w:r>
      <w:r>
        <w:t xml:space="preserve"> </w:t>
      </w:r>
      <w:r>
        <w:t xml:space="preserve">step carries the cumulative claim.</w:t>
      </w:r>
    </w:p>
    <w:p>
      <w:pPr>
        <w:pStyle w:val="BodyText"/>
      </w:pPr>
      <w:r>
        <w:t xml:space="preserve">Each step contributes differently to the two viruses, and the difference is mechanistic. The</w:t>
      </w:r>
      <w:r>
        <w:t xml:space="preserve"> </w:t>
      </w:r>
      <w:r>
        <w:t xml:space="preserve">low-pH hold gives 7.10 log₁₀ against XMuLV and nothing at</w:t>
      </w:r>
      <w:r>
        <w:t xml:space="preserve"> </w:t>
      </w:r>
      <w:r>
        <w:t xml:space="preserve">all against MVM, because minute virus of mice is a non-enveloped parvovirus with no envelope to</w:t>
      </w:r>
      <w:r>
        <w:t xml:space="preserve"> </w:t>
      </w:r>
      <w:r>
        <w:t xml:space="preserve">disrupt (PCR-006). Anion exchange gives 5.95 log₁₀ against XMuLV</w:t>
      </w:r>
      <w:r>
        <w:t xml:space="preserve"> </w:t>
      </w:r>
      <w:r>
        <w:t xml:space="preserve">and 4.71 log₁₀ against MVM, and PCR-008 shows both to</w:t>
      </w:r>
      <w:r>
        <w:t xml:space="preserve"> </w:t>
      </w:r>
      <w:r>
        <w:t xml:space="preserve">depend on load pH and on load conductivity. Virus filtration gives</w:t>
      </w:r>
      <w:r>
        <w:t xml:space="preserve"> </w:t>
      </w:r>
      <w:r>
        <w:t xml:space="preserve">5.32 log₁₀ against MVM and</w:t>
      </w:r>
      <w:r>
        <w:t xml:space="preserve"> </w:t>
      </w:r>
      <w:r>
        <w:t xml:space="preserve">5.82 log₁₀ against XMuLV, and it is the largest single</w:t>
      </w:r>
      <w:r>
        <w:t xml:space="preserve"> </w:t>
      </w:r>
      <w:r>
        <w:t xml:space="preserve">contributor to the parvovirus claim (PCR-009).</w:t>
      </w:r>
    </w:p>
    <w:p>
      <w:pPr>
        <w:pStyle w:val="BodyText"/>
      </w:pPr>
      <w:r>
        <w:t xml:space="preserve">The MVM claim rests on 2 steps only, which is why it carries the</w:t>
      </w:r>
      <w:r>
        <w:t xml:space="preserve"> </w:t>
      </w:r>
      <w:r>
        <w:t xml:space="preserve">tightest capability in the process. Anion exchange and virus filtration are both credited, and</w:t>
      </w:r>
      <w:r>
        <w:t xml:space="preserve"> </w:t>
      </w:r>
      <w:r>
        <w:t xml:space="preserve">PCR-008 and PCR-009 each define the operating region over which their contribution holds. For</w:t>
      </w:r>
      <w:r>
        <w:t xml:space="preserve"> </w:t>
      </w:r>
      <w:r>
        <w:t xml:space="preserve">anion exchange the region validated for viral clearance is wider than the region required for control of the</w:t>
      </w:r>
      <w:r>
        <w:t xml:space="preserve"> </w:t>
      </w:r>
      <w:r>
        <w:t xml:space="preserve">other quality attributes, so the narrower region governs routine operation. For virus</w:t>
      </w:r>
      <w:r>
        <w:t xml:space="preserve"> </w:t>
      </w:r>
      <w:r>
        <w:t xml:space="preserve">filtration the binding constraint is the volumetric load, and the normal operating range of</w:t>
      </w:r>
      <w:r>
        <w:t xml:space="preserve"> </w:t>
      </w:r>
      <w:r>
        <w:t xml:space="preserve">50 to 105 L/m² is set inside the</w:t>
      </w:r>
      <w:r>
        <w:t xml:space="preserve"> </w:t>
      </w:r>
      <w:r>
        <w:t xml:space="preserve">characterized range of 50 to 140 L/m² for that</w:t>
      </w:r>
      <w:r>
        <w:t xml:space="preserve"> </w:t>
      </w:r>
      <w:r>
        <w:t xml:space="preserve">reason.</w:t>
      </w:r>
    </w:p>
    <w:p>
      <w:pPr>
        <w:pStyle w:val="BodyText"/>
      </w:pPr>
      <w:r>
        <w:t xml:space="preserve">No viral clearance is claimed for Protein A capture or for cation exchange. Both steps are</w:t>
      </w:r>
      <w:r>
        <w:t xml:space="preserve"> </w:t>
      </w:r>
      <w:r>
        <w:t xml:space="preserve">expected to remove virus, and platform experience with related antibodies supports that</w:t>
      </w:r>
      <w:r>
        <w:t xml:space="preserve"> </w:t>
      </w:r>
      <w:r>
        <w:t xml:space="preserve">expectation, but neither was spiked in this campaign and neither appears in</w:t>
      </w:r>
      <w:r>
        <w:t xml:space="preserve"> </w:t>
      </w:r>
      <w:hyperlink w:anchor="tbl-viral">
        <w:r>
          <w:rPr>
            <w:rStyle w:val="Hyperlink"/>
          </w:rPr>
          <w:t xml:space="preserve">Table 11</w:t>
        </w:r>
      </w:hyperlink>
      <w:r>
        <w:t xml:space="preserve">. The margins quoted above are therefore conservative. Clearance is measured at</w:t>
      </w:r>
      <w:r>
        <w:t xml:space="preserve"> </w:t>
      </w:r>
      <w:r>
        <w:t xml:space="preserve">small scale on spiked material, so the claim is bounded by the qualification of the</w:t>
      </w:r>
      <w:r>
        <w:t xml:space="preserve"> </w:t>
      </w:r>
      <w:r>
        <w:t xml:space="preserve">small-scale spiking models described in PCR-006, PCR-008 and PCR-009, and by the assumption</w:t>
      </w:r>
      <w:r>
        <w:t xml:space="preserve"> </w:t>
      </w:r>
      <w:r>
        <w:t xml:space="preserve">that the model viruses represent the relevant classes of adventitious agent.</w:t>
      </w:r>
    </w:p>
    <w:bookmarkEnd w:id="58"/>
    <w:bookmarkStart w:id="65" w:name="overall-control-strategy"/>
    <w:p>
      <w:pPr>
        <w:pStyle w:val="Heading1"/>
      </w:pPr>
      <w:r>
        <w:t xml:space="preserve">7. Overall control strategy</w:t>
      </w:r>
    </w:p>
    <w:p>
      <w:pPr>
        <w:pStyle w:val="FirstParagraph"/>
      </w:pPr>
      <w:r>
        <w:t xml:space="preserve">The control strategy has two purposes, and the elements described below serve them.</w:t>
      </w:r>
      <w:r>
        <w:t xml:space="preserve"> </w:t>
      </w:r>
      <w:r>
        <w:t xml:space="preserve">Product quality and safety are assured by holding every quality-linked parameter inside the</w:t>
      </w:r>
      <w:r>
        <w:t xml:space="preserve"> </w:t>
      </w:r>
      <w:r>
        <w:t xml:space="preserve">design space of its step. Process consistency is assured by holding the key process</w:t>
      </w:r>
      <w:r>
        <w:t xml:space="preserve"> </w:t>
      </w:r>
      <w:r>
        <w:t xml:space="preserve">parameters within their established limits and by monitoring the process attributes that</w:t>
      </w:r>
      <w:r>
        <w:t xml:space="preserve"> </w:t>
      </w:r>
      <w:r>
        <w:t xml:space="preserve">report on them</w:t>
      </w:r>
      <w:r>
        <w:t xml:space="preserve"> </w:t>
      </w:r>
      <w:r>
        <w:t xml:space="preserve">(CMC Biotech Working Group 2009)</w:t>
      </w:r>
      <w:r>
        <w:t xml:space="preserve">. Nothing in the strategy relies on end-product testing to detect a</w:t>
      </w:r>
      <w:r>
        <w:t xml:space="preserve"> </w:t>
      </w:r>
      <w:r>
        <w:t xml:space="preserve">quality failure that the process controls should have prevented.</w:t>
      </w:r>
    </w:p>
    <w:bookmarkStart w:id="59" w:name="parameter-control"/>
    <w:p>
      <w:pPr>
        <w:pStyle w:val="Heading2"/>
      </w:pPr>
      <w:r>
        <w:t xml:space="preserve">7.1 Parameter control</w:t>
      </w:r>
    </w:p>
    <w:p>
      <w:pPr>
        <w:pStyle w:val="FirstParagraph"/>
      </w:pPr>
      <w:r>
        <w:t xml:space="preserve">Every parameter in</w:t>
      </w:r>
      <w:r>
        <w:t xml:space="preserve"> </w:t>
      </w:r>
      <w:hyperlink w:anchor="tbl-cpp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is held within the normal operating range given there, each of</w:t>
      </w:r>
      <w:r>
        <w:t xml:space="preserve"> </w:t>
      </w:r>
      <w:r>
        <w:t xml:space="preserve">those ranges lies inside the design space or proven acceptable range established by the step’s</w:t>
      </w:r>
      <w:r>
        <w:t xml:space="preserve"> </w:t>
      </w:r>
      <w:r>
        <w:t xml:space="preserve">report, and the relationship between the ranges is the same at every step. The normal</w:t>
      </w:r>
      <w:r>
        <w:t xml:space="preserve"> </w:t>
      </w:r>
      <w:r>
        <w:t xml:space="preserve">operating range is the routine control range, the design space is the multivariate region</w:t>
      </w:r>
      <w:r>
        <w:t xml:space="preserve"> </w:t>
      </w:r>
      <w:r>
        <w:t xml:space="preserve">within which the attributes stay in limit, and the characterized range is the wider knowledge</w:t>
      </w:r>
      <w:r>
        <w:t xml:space="preserve"> </w:t>
      </w:r>
      <w:r>
        <w:t xml:space="preserve">space over which the models were fitted, so each of the three is nested inside the one that</w:t>
      </w:r>
      <w:r>
        <w:t xml:space="preserve"> </w:t>
      </w:r>
      <w:r>
        <w:t xml:space="preserve">follows it. Movement within a design space is not a change in</w:t>
      </w:r>
      <w:r>
        <w:t xml:space="preserve"> </w:t>
      </w:r>
      <w:r>
        <w:t xml:space="preserve">the regulatory sense, although it remains subject to the pharmaceutical quality system</w:t>
      </w:r>
      <w:r>
        <w:t xml:space="preserve"> </w:t>
      </w:r>
      <w:r>
        <w:t xml:space="preserve">(International Council for Harmonisation 2009, 2008)</w:t>
      </w:r>
      <w:r>
        <w:t xml:space="preserve">. Movement outside one is a change and requires the study that supports it.</w:t>
      </w:r>
    </w:p>
    <w:bookmarkEnd w:id="59"/>
    <w:bookmarkStart w:id="61" w:name="in-process-control"/>
    <w:p>
      <w:pPr>
        <w:pStyle w:val="Heading2"/>
      </w:pPr>
      <w:r>
        <w:t xml:space="preserve">7.2 In-process control</w:t>
      </w:r>
    </w:p>
    <w:p>
      <w:pPr>
        <w:pStyle w:val="FirstParagraph"/>
      </w:pPr>
      <w:r>
        <w:t xml:space="preserve">Each purification step is sampled at its pool and tested by the validated methods listed in</w:t>
      </w:r>
      <w:r>
        <w:t xml:space="preserve"> </w:t>
      </w:r>
      <w:hyperlink w:anchor="tbl-methods">
        <w:r>
          <w:rPr>
            <w:rStyle w:val="Hyperlink"/>
          </w:rPr>
          <w:t xml:space="preserve">Table 12</w:t>
        </w:r>
      </w:hyperlink>
      <w:r>
        <w:t xml:space="preserve">. The in-process limits that apply to those pools are defined step by step, and</w:t>
      </w:r>
      <w:r>
        <w:t xml:space="preserve"> </w:t>
      </w:r>
      <w:r>
        <w:t xml:space="preserve">the host cell protein limits in particular are set from what the downstream steps are relied</w:t>
      </w:r>
      <w:r>
        <w:t xml:space="preserve"> </w:t>
      </w:r>
      <w:r>
        <w:t xml:space="preserve">on to remove, as §3.3 describes. Two in-process controls arose from the campaign itself. The</w:t>
      </w:r>
      <w:r>
        <w:t xml:space="preserve"> </w:t>
      </w:r>
      <w:r>
        <w:t xml:space="preserve">charge-variant verification of the anion exchange load introduced during the investigation of</w:t>
      </w:r>
      <w:r>
        <w:t xml:space="preserve"> </w:t>
      </w:r>
      <w:r>
        <w:t xml:space="preserve">DEV-008-01 is retained as a routine input control on that step. The trailing-edge collection</w:t>
      </w:r>
      <w:r>
        <w:t xml:space="preserve"> </w:t>
      </w:r>
      <w:r>
        <w:t xml:space="preserve">set-point at anion exchange (the ultraviolet absorbance at which pool collection stops) was</w:t>
      </w:r>
      <w:r>
        <w:t xml:space="preserve"> </w:t>
      </w:r>
      <w:r>
        <w:t xml:space="preserve">reduced from 180 mAU to</w:t>
      </w:r>
      <w:r>
        <w:t xml:space="preserve"> </w:t>
      </w:r>
      <w:r>
        <w:t xml:space="preserve">120 mAU, and confirmed in</w:t>
      </w:r>
      <w:r>
        <w:t xml:space="preserve"> </w:t>
      </w:r>
      <w:r>
        <w:t xml:space="preserve">3 verification runs (PCR-008).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Controlled procedures and validated analytical methods referenced across the campaign. All numbers are placeholders.</w:t>
            </w:r>
          </w:p>
          <w:tbl>
            <w:tblPr>
              <w:tblStyle w:val="Table"/>
              <w:tblW w:type="pct" w:w="4943"/>
              <w:tblLayout w:type="fixed"/>
              <w:tblLook w:firstRow="1" w:lastRow="0" w:firstColumn="0" w:lastColumn="0" w:noHBand="0" w:noVBand="0" w:val="0020"/>
            </w:tblPr>
            <w:tblGrid>
              <w:gridCol w:w="1260"/>
              <w:gridCol w:w="4770"/>
              <w:gridCol w:w="18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Design, Execution and Statistical Analysis of DoE</w:t>
                  </w:r>
                  <w:r>
                    <w:t xml:space="preserve"> </w:t>
                  </w:r>
                  <w:r>
                    <w:t xml:space="preserve">Studies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of the Protein A Capture Chromatography</w:t>
                  </w:r>
                  <w:r>
                    <w:t xml:space="preserve"> </w:t>
                  </w: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Chromatography Resin Life-Cycle, Packing and</w:t>
                  </w:r>
                  <w:r>
                    <w:t xml:space="preserve"> </w:t>
                  </w:r>
                  <w:r>
                    <w:t xml:space="preserve">Sanitization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of the Cation-Exchange Polishing</w:t>
                  </w:r>
                  <w:r>
                    <w:t xml:space="preserve"> </w:t>
                  </w:r>
                  <w:r>
                    <w:t xml:space="preserve">Chromatography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of the Anion-Exchange Polishing</w:t>
                  </w:r>
                  <w:r>
                    <w:t xml:space="preserve"> </w:t>
                  </w:r>
                  <w:r>
                    <w:t xml:space="preserve">Chromatography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and Post-Use Integrity Testing of the</w:t>
                  </w:r>
                  <w:r>
                    <w:t xml:space="preserve"> </w:t>
                  </w:r>
                  <w:r>
                    <w:t xml:space="preserve">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of the Ultrafiltration / Diafiltration</w:t>
                  </w:r>
                  <w:r>
                    <w:t xml:space="preserve"> </w:t>
                  </w:r>
                  <w:r>
                    <w:t xml:space="preserve">(Formulation)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Process-Parameter Classification and Control-</w:t>
                  </w:r>
                  <w:r>
                    <w:t xml:space="preserve"> </w:t>
                  </w:r>
                  <w:r>
                    <w:t xml:space="preserve">Strategy Definition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60"/>
          <w:p/>
        </w:tc>
      </w:tr>
    </w:tbl>
    <w:bookmarkEnd w:id="61"/>
    <w:bookmarkStart w:id="62" w:name="release-control"/>
    <w:p>
      <w:pPr>
        <w:pStyle w:val="Heading2"/>
      </w:pPr>
      <w:r>
        <w:t xml:space="preserve">7.3 Release control</w:t>
      </w:r>
    </w:p>
    <w:p>
      <w:pPr>
        <w:pStyle w:val="FirstParagraph"/>
      </w:pPr>
      <w:r>
        <w:t xml:space="preserve">The drug substance is released against the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6</w:t>
        </w:r>
      </w:hyperlink>
      <w:r>
        <w:t xml:space="preserve">. Release testing</w:t>
      </w:r>
      <w:r>
        <w:t xml:space="preserve"> </w:t>
      </w:r>
      <w:r>
        <w:t xml:space="preserve">confirms the outcome of the control strategy and is not the means by which the outcome is</w:t>
      </w:r>
      <w:r>
        <w:t xml:space="preserve"> </w:t>
      </w:r>
      <w:r>
        <w:t xml:space="preserve">achieved, which is the distinction the lifecycle approach draws between a controlled process</w:t>
      </w:r>
      <w:r>
        <w:t xml:space="preserve"> </w:t>
      </w:r>
      <w:r>
        <w:t xml:space="preserve">and a tested one</w:t>
      </w:r>
      <w:r>
        <w:t xml:space="preserve"> </w:t>
      </w:r>
      <w:r>
        <w:t xml:space="preserve">(U.S. Food and Drug Administration 2011)</w:t>
      </w:r>
      <w:r>
        <w:t xml:space="preserve">. Viral safety is not a release test at all. It is assured by the</w:t>
      </w:r>
      <w:r>
        <w:t xml:space="preserve"> </w:t>
      </w:r>
      <w:r>
        <w:t xml:space="preserve">cleared log reduction of §6 together with the testing of the cell banks and the unprocessed</w:t>
      </w:r>
      <w:r>
        <w:t xml:space="preserve"> </w:t>
      </w:r>
      <w:r>
        <w:t xml:space="preserve">bulk, and no release assay could substitute for it.</w:t>
      </w:r>
    </w:p>
    <w:bookmarkEnd w:id="62"/>
    <w:bookmarkStart w:id="63" w:name="life-cycle-control"/>
    <w:p>
      <w:pPr>
        <w:pStyle w:val="Heading2"/>
      </w:pPr>
      <w:r>
        <w:t xml:space="preserve">7.4 Life-cycle control</w:t>
      </w:r>
    </w:p>
    <w:p>
      <w:pPr>
        <w:pStyle w:val="FirstParagraph"/>
      </w:pPr>
      <w:r>
        <w:t xml:space="preserve">Part of the strategy consists of life-cycle controls and not of parameter ranges. The capture</w:t>
      </w:r>
      <w:r>
        <w:t xml:space="preserve"> </w:t>
      </w:r>
      <w:r>
        <w:t xml:space="preserve">resin carries a validated life-cycle in cycles, because leached Protein A rises with resin age</w:t>
      </w:r>
      <w:r>
        <w:t xml:space="preserve"> </w:t>
      </w:r>
      <w:r>
        <w:t xml:space="preserve">and no set-point controls it (PCR-005). The virus filter is single-use and is</w:t>
      </w:r>
      <w:r>
        <w:t xml:space="preserve"> </w:t>
      </w:r>
      <w:r>
        <w:t xml:space="preserve">integrity-tested after every batch, because the clearance claim depends on membrane integrity</w:t>
      </w:r>
      <w:r>
        <w:t xml:space="preserve"> </w:t>
      </w:r>
      <w:r>
        <w:t xml:space="preserve">and not on an operating parameter that can be monitored during the run (PCR-009). The</w:t>
      </w:r>
      <w:r>
        <w:t xml:space="preserve"> </w:t>
      </w:r>
      <w:r>
        <w:t xml:space="preserve">polishing resins carry sanitization and storage requirements under the same procedure.</w:t>
      </w:r>
    </w:p>
    <w:bookmarkEnd w:id="63"/>
    <w:bookmarkStart w:id="64" w:name="what-the-control-strategy-does-not-cover"/>
    <w:p>
      <w:pPr>
        <w:pStyle w:val="Heading2"/>
      </w:pPr>
      <w:r>
        <w:t xml:space="preserve">7.5 What the control strategy does not cover</w:t>
      </w:r>
    </w:p>
    <w:p>
      <w:pPr>
        <w:pStyle w:val="FirstParagraph"/>
      </w:pPr>
      <w:r>
        <w:t xml:space="preserve">The strategy covers the drug substance process at the receiving site and nothing beyond it.</w:t>
      </w:r>
      <w:r>
        <w:t xml:space="preserve"> </w:t>
      </w:r>
      <w:r>
        <w:t xml:space="preserve">It does not cover drug product manufacture, the shipping and storage of drug substance, or</w:t>
      </w:r>
      <w:r>
        <w:t xml:space="preserve"> </w:t>
      </w:r>
      <w:r>
        <w:t xml:space="preserve">the qualification of the commercial equipment train, each of which is addressed in its own</w:t>
      </w:r>
      <w:r>
        <w:t xml:space="preserve"> </w:t>
      </w:r>
      <w:r>
        <w:t xml:space="preserve">package. It does not establish commercial-scale reproducibility, which is the object of Stage</w:t>
      </w:r>
      <w:r>
        <w:t xml:space="preserve"> </w:t>
      </w:r>
      <w:r>
        <w:t xml:space="preserve">2. It also assumes that the raw materials and the cell bank remain those characterized here,</w:t>
      </w:r>
      <w:r>
        <w:t xml:space="preserve"> </w:t>
      </w:r>
      <w:r>
        <w:t xml:space="preserve">and a change to either requires the comparability assessment described in PTP-001.</w:t>
      </w:r>
    </w:p>
    <w:bookmarkEnd w:id="64"/>
    <w:bookmarkEnd w:id="65"/>
    <w:bookmarkStart w:id="71" w:name="deviations-across-the-campaign"/>
    <w:p>
      <w:pPr>
        <w:pStyle w:val="Heading1"/>
      </w:pPr>
      <w:r>
        <w:t xml:space="preserve">8. Deviations across the campaign</w:t>
      </w:r>
    </w:p>
    <w:p>
      <w:pPr>
        <w:pStyle w:val="FirstParagraph"/>
      </w:pPr>
      <w:r>
        <w:t xml:space="preserve">One deviation in this campaign invalidated a complete designed experiment. The first anion</w:t>
      </w:r>
      <w:r>
        <w:t xml:space="preserve"> </w:t>
      </w:r>
      <w:r>
        <w:t xml:space="preserve">exchange execution, 47 runs across a screening design and a</w:t>
      </w:r>
      <w:r>
        <w:t xml:space="preserve"> </w:t>
      </w:r>
      <w:r>
        <w:t xml:space="preserve">response-surface design, was found to have been run on a non-representative load and was</w:t>
      </w:r>
      <w:r>
        <w:t xml:space="preserve"> </w:t>
      </w:r>
      <w:r>
        <w:t xml:space="preserve">discarded for the purpose of defining an operating region. The whole study was executed again</w:t>
      </w:r>
      <w:r>
        <w:t xml:space="preserve"> </w:t>
      </w:r>
      <w:r>
        <w:t xml:space="preserve">on requalified material, and it is the second execution that PCR-008 reports and that this</w:t>
      </w:r>
      <w:r>
        <w:t xml:space="preserve"> </w:t>
      </w:r>
      <w:r>
        <w:t xml:space="preserve">document consolidates. 17 deviations were recorded in total across</w:t>
      </w:r>
      <w:r>
        <w:t xml:space="preserve"> </w:t>
      </w:r>
      <w:r>
        <w:t xml:space="preserve">8 reports, and each was investigated, dispositioned and</w:t>
      </w:r>
      <w:r>
        <w:t xml:space="preserve"> </w:t>
      </w:r>
      <w:r>
        <w:t xml:space="preserve">impact-assessed in the report for its step. None of them is reinvestigated here.</w:t>
      </w:r>
    </w:p>
    <w:bookmarkStart w:id="67" w:name="the-register"/>
    <w:p>
      <w:pPr>
        <w:pStyle w:val="Heading2"/>
      </w:pPr>
      <w:r>
        <w:t xml:space="preserve">8.1 The register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The complete deviation register for the characterization campaign. The document named beside each identifier is the report that investigated it.</w:t>
            </w:r>
          </w:p>
          <w:tbl>
            <w:tblPr>
              <w:tblStyle w:val="Table"/>
              <w:tblW w:type="pct" w:w="4880"/>
              <w:tblLayout w:type="fixed"/>
              <w:tblLook w:firstRow="1" w:lastRow="0" w:firstColumn="0" w:lastColumn="0" w:noHBand="0" w:noVBand="0" w:val="0020"/>
            </w:tblPr>
            <w:tblGrid>
              <w:gridCol w:w="1457"/>
              <w:gridCol w:w="1203"/>
              <w:gridCol w:w="2090"/>
              <w:gridCol w:w="1710"/>
              <w:gridCol w:w="12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happened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Root cause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DEV-003-01 (PCR-003)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Bioreactor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Dissolved-CO2 probe drift</w:t>
                  </w:r>
                  <w:r>
                    <w:t xml:space="preserve"> </w:t>
                  </w:r>
                  <w:r>
                    <w:t xml:space="preserve">during screening run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probe drift between</w:t>
                  </w:r>
                  <w:r>
                    <w:t xml:space="preserve"> </w:t>
                  </w:r>
                  <w:r>
                    <w:t xml:space="preserve">calibrations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DEV-003-02 (PCR-003)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Bioreactor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Nutrient feed-1 under-delivery</w:t>
                  </w:r>
                  <w:r>
                    <w:t xml:space="preserve"> </w:t>
                  </w:r>
                  <w:r>
                    <w:t xml:space="preserve">on a centre-point batch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feed pump calibration</w:t>
                  </w:r>
                  <w:r>
                    <w:t xml:space="preserve"> </w:t>
                  </w: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DEV-004-01 (PCR-004)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Harvest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Depth-filter lot pre-use flush</w:t>
                  </w:r>
                  <w:r>
                    <w:t xml:space="preserve"> </w:t>
                  </w:r>
                  <w:r>
                    <w:t xml:space="preserve">turbidity above alert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insufficient initial</w:t>
                  </w:r>
                  <w:r>
                    <w:t xml:space="preserve"> </w:t>
                  </w:r>
                  <w:r>
                    <w:t xml:space="preserve">flush volume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DEV-004-02 (PCR-004)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Harvest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Post-clarification turbidity</w:t>
                  </w:r>
                  <w:r>
                    <w:t xml:space="preserve"> </w:t>
                  </w:r>
                  <w:r>
                    <w:t xml:space="preserve">excursion above NOR on one run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depth filter loading</w:t>
                  </w:r>
                  <w:r>
                    <w:t xml:space="preserve"> </w:t>
                  </w:r>
                  <w:r>
                    <w:t xml:space="preserve">near maximum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DEV-005-01 (PCR-005)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Elution-buffer pH prepared</w:t>
                  </w:r>
                  <w:r>
                    <w:t xml:space="preserve"> </w:t>
                  </w:r>
                  <w:r>
                    <w:t xml:space="preserve">below target on an RSM run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titration endpoint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DEV-005-02 (PCR-005)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Leached Protein A result</w:t>
                  </w:r>
                  <w:r>
                    <w:t xml:space="preserve"> </w:t>
                  </w:r>
                  <w:r>
                    <w:t xml:space="preserve">initially out-of-trend; re-</w:t>
                  </w:r>
                  <w:r>
                    <w:t xml:space="preserve"> </w:t>
                  </w:r>
                  <w:r>
                    <w:t xml:space="preserve">assayed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assay carryover</w:t>
                  </w:r>
                  <w:r>
                    <w:t xml:space="preserve"> </w:t>
                  </w:r>
                  <w:r>
                    <w:t xml:space="preserve">suspected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DEV-006-01 (PCR-006)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Low-pH hold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Hold-time record discrepancy</w:t>
                  </w:r>
                  <w:r>
                    <w:t xml:space="preserve"> </w:t>
                  </w:r>
                  <w:r>
                    <w:t xml:space="preserve">between DCS and manual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clock synchronisation</w:t>
                  </w:r>
                  <w:r>
                    <w:t xml:space="preserve"> </w:t>
                  </w: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DEV-006-02 (PCR-006)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Low-pH hold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XMuLV infectivity assay</w:t>
                  </w:r>
                  <w:r>
                    <w:t xml:space="preserve"> </w:t>
                  </w:r>
                  <w:r>
                    <w:t xml:space="preserve">cytotoxicity at low dilution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matrix</w:t>
                  </w:r>
                  <w:r>
                    <w:t xml:space="preserve"> </w:t>
                  </w:r>
                  <w:r>
                    <w:t xml:space="preserve">cytotoxicity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DEV-007-01 (PCR-007)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Expired Tris load/wash buffer</w:t>
                  </w:r>
                  <w:r>
                    <w:t xml:space="preserve"> </w:t>
                  </w:r>
                  <w:r>
                    <w:t xml:space="preserve">lot used in screening run 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 expiry not</w:t>
                  </w:r>
                  <w:r>
                    <w:t xml:space="preserve"> </w:t>
                  </w:r>
                  <w:r>
                    <w:t xml:space="preserve">checked at preparation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DEV-007-02 (PCR-007)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inlet temperature</w:t>
                  </w:r>
                  <w:r>
                    <w:t xml:space="preserve"> </w:t>
                  </w:r>
                  <w:r>
                    <w:t xml:space="preserve">excursion during RSM run 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controller setpoint</w:t>
                  </w:r>
                  <w:r>
                    <w:t xml:space="preserve"> </w:t>
                  </w: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DEV-008-01 (PCR-008)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Non-representative</w:t>
                  </w:r>
                  <w:r>
                    <w:t xml:space="preserve"> </w:t>
                  </w:r>
                  <w:r>
                    <w:t xml:space="preserve">(deamidated) load in the first</w:t>
                  </w:r>
                  <w:r>
                    <w:t xml:space="preserve"> </w:t>
                  </w:r>
                  <w:r>
                    <w:t xml:space="preserve">DoE execution; designs</w:t>
                  </w:r>
                  <w:r>
                    <w:t xml:space="preserve"> </w:t>
                  </w:r>
                  <w:r>
                    <w:t xml:space="preserve">invalidated and re-executed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extended neutralized</w:t>
                  </w:r>
                  <w:r>
                    <w:t xml:space="preserve"> </w:t>
                  </w:r>
                  <w:r>
                    <w:t xml:space="preserve">hold promoted asparagine</w:t>
                  </w:r>
                  <w:r>
                    <w:t xml:space="preserve"> </w:t>
                  </w:r>
                  <w:r>
                    <w:t xml:space="preserve">deamidation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invalidated and</w:t>
                  </w:r>
                  <w:r>
                    <w:t xml:space="preserve"> </w:t>
                  </w:r>
                  <w:r>
                    <w:t xml:space="preserve">re-executed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DEV-008-02 (PCR-008)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Trailing-edge UV pool-</w:t>
                  </w:r>
                  <w:r>
                    <w:t xml:space="preserve"> </w:t>
                  </w:r>
                  <w:r>
                    <w:t xml:space="preserve">collection set-point slightly</w:t>
                  </w:r>
                  <w:r>
                    <w:t xml:space="preserve"> </w:t>
                  </w:r>
                  <w:r>
                    <w:t xml:space="preserve">permissive in both executions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permissive UV pool stop</w:t>
                  </w:r>
                  <w:r>
                    <w:t xml:space="preserve"> </w:t>
                  </w:r>
                  <w:r>
                    <w:t xml:space="preserve">setpoint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corrected by</w:t>
                  </w:r>
                  <w:r>
                    <w:t xml:space="preserve"> </w:t>
                  </w:r>
                  <w:r>
                    <w:t xml:space="preserve">modelling and</w:t>
                  </w:r>
                  <w:r>
                    <w:t xml:space="preserve"> </w:t>
                  </w:r>
                  <w:r>
                    <w:t xml:space="preserve">verification runs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DEV-008-03 (PCR-008)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Equilibration/Wash-1 buffer</w:t>
                  </w:r>
                  <w:r>
                    <w:t xml:space="preserve"> </w:t>
                  </w:r>
                  <w:r>
                    <w:t xml:space="preserve">released below its pH</w:t>
                  </w:r>
                  <w:r>
                    <w:t xml:space="preserve"> </w:t>
                  </w:r>
                  <w:r>
                    <w:t xml:space="preserve">acceptance range on one</w:t>
                  </w:r>
                  <w:r>
                    <w:t xml:space="preserve"> </w:t>
                  </w:r>
                  <w:r>
                    <w:t xml:space="preserve">screening run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titration endpoint error</w:t>
                  </w:r>
                  <w:r>
                    <w:t xml:space="preserve"> </w:t>
                  </w:r>
                  <w:r>
                    <w:t xml:space="preserve">at buffer preparation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DEV-009-01 (PCR-009)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Virus filtration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Transient filtration-pressure</w:t>
                  </w:r>
                  <w:r>
                    <w:t xml:space="preserve"> </w:t>
                  </w:r>
                  <w:r>
                    <w:t xml:space="preserve">excursion above NOR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pump ramp overshoot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DEV-009-02 (PCR-009)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Virus filtration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Filter membrane lot flux below</w:t>
                  </w:r>
                  <w:r>
                    <w:t xml:space="preserve"> </w:t>
                  </w:r>
                  <w:r>
                    <w:t xml:space="preserve">vendor-typical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membrane lot</w:t>
                  </w:r>
                  <w:r>
                    <w:t xml:space="preserve"> </w:t>
                  </w:r>
                  <w:r>
                    <w:t xml:space="preserve">permeability variation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DEV-010-01 (PCR-010)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UF/DF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Transmembrane-pressure</w:t>
                  </w:r>
                  <w:r>
                    <w:t xml:space="preserve"> </w:t>
                  </w:r>
                  <w:r>
                    <w:t xml:space="preserve">excursion above NOR during</w:t>
                  </w:r>
                  <w:r>
                    <w:t xml:space="preserve"> </w:t>
                  </w:r>
                  <w:r>
                    <w:t xml:space="preserve">concentration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membrane fouling</w:t>
                  </w:r>
                  <w:r>
                    <w:t xml:space="preserve"> </w:t>
                  </w:r>
                  <w:r>
                    <w:t xml:space="preserve">transient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DEV-010-02 (PCR-010)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UF/DF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Final DS concentration below</w:t>
                  </w:r>
                  <w:r>
                    <w:t xml:space="preserve"> </w:t>
                  </w:r>
                  <w:r>
                    <w:t xml:space="preserve">target on one run; topped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hold up volume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66"/>
          <w:p/>
        </w:tc>
      </w:tr>
    </w:tbl>
    <w:p>
      <w:pPr>
        <w:pStyle w:val="BodyText"/>
      </w:pPr>
      <w:r>
        <w:t xml:space="preserve">The register is given in full in</w:t>
      </w:r>
      <w:r>
        <w:t xml:space="preserve"> </w:t>
      </w:r>
      <w:hyperlink w:anchor="tbl-dev">
        <w:r>
          <w:rPr>
            <w:rStyle w:val="Hyperlink"/>
          </w:rPr>
          <w:t xml:space="preserve">Table 13</w:t>
        </w:r>
      </w:hyperlink>
      <w:r>
        <w:t xml:space="preserve">, because the dispositions are not uniform. 15 deviations were retained, which means the affected data</w:t>
      </w:r>
      <w:r>
        <w:t xml:space="preserve"> </w:t>
      </w:r>
      <w:r>
        <w:t xml:space="preserve">were used as executed with a documented impact assessment. One was invalidated and</w:t>
      </w:r>
      <w:r>
        <w:t xml:space="preserve"> </w:t>
      </w:r>
      <w:r>
        <w:t xml:space="preserve">re-executed, and one was corrected by modelling and verification runs. Both of the latter</w:t>
      </w:r>
      <w:r>
        <w:t xml:space="preserve"> </w:t>
      </w:r>
      <w:r>
        <w:t xml:space="preserve">occurred at anion exchange and both are described in §8.2.</w:t>
      </w:r>
    </w:p>
    <w:bookmarkEnd w:id="67"/>
    <w:bookmarkStart w:id="68" w:name="the-anion-exchange-deviations"/>
    <w:p>
      <w:pPr>
        <w:pStyle w:val="Heading2"/>
      </w:pPr>
      <w:r>
        <w:t xml:space="preserve">8.2 The anion exchange deviations</w:t>
      </w:r>
    </w:p>
    <w:p>
      <w:pPr>
        <w:pStyle w:val="FirstParagraph"/>
      </w:pPr>
      <w:r>
        <w:t xml:space="preserve">The load used for the first anion exchange execution was not representative of a routine</w:t>
      </w:r>
      <w:r>
        <w:t xml:space="preserve"> </w:t>
      </w:r>
      <w:r>
        <w:t xml:space="preserve">cation exchange pool. Its acidic charge-variant content was</w:t>
      </w:r>
      <w:r>
        <w:t xml:space="preserve"> </w:t>
      </w:r>
      <w:r>
        <w:t xml:space="preserve">33.5 %, against</w:t>
      </w:r>
      <w:r>
        <w:t xml:space="preserve"> </w:t>
      </w:r>
      <w:r>
        <w:t xml:space="preserve">21.0 % in the requalified material</w:t>
      </w:r>
      <w:r>
        <w:t xml:space="preserve"> </w:t>
      </w:r>
      <w:r>
        <w:t xml:space="preserve">used for the second execution. The cause was an extended neutralized hold of</w:t>
      </w:r>
      <w:r>
        <w:t xml:space="preserve"> </w:t>
      </w:r>
      <w:r>
        <w:t xml:space="preserve">36 hours before loading, which promoted</w:t>
      </w:r>
      <w:r>
        <w:t xml:space="preserve"> </w:t>
      </w:r>
      <w:r>
        <w:t xml:space="preserve">asparagine deamidation (verified by icIEF under AMV-3013). The deamidated load altered the charge the antibody presented to the</w:t>
      </w:r>
      <w:r>
        <w:t xml:space="preserve"> </w:t>
      </w:r>
      <w:r>
        <w:t xml:space="preserve">resin and produced an anomalous interaction between protein load and wash conductivity, and at</w:t>
      </w:r>
      <w:r>
        <w:t xml:space="preserve"> </w:t>
      </w:r>
      <w:r>
        <w:t xml:space="preserve">the corner where both were high the flow-through pool left its in-process limit, which is the</w:t>
      </w:r>
      <w:r>
        <w:t xml:space="preserve"> </w:t>
      </w:r>
      <w:r>
        <w:t xml:space="preserve">observation that prompted the investigation. PCR-008 documents that investigation and the root</w:t>
      </w:r>
      <w:r>
        <w:t xml:space="preserve"> </w:t>
      </w:r>
      <w:r>
        <w:t xml:space="preserve">cause.</w:t>
      </w:r>
    </w:p>
    <w:p>
      <w:pPr>
        <w:pStyle w:val="BodyText"/>
      </w:pPr>
      <w:r>
        <w:t xml:space="preserve">Both affected designs were invalidated for the purpose of defining an operating region and</w:t>
      </w:r>
      <w:r>
        <w:t xml:space="preserve"> </w:t>
      </w:r>
      <w:r>
        <w:t xml:space="preserve">were re-executed in full. The re-executed screening and response-surface studies are the ones</w:t>
      </w:r>
      <w:r>
        <w:t xml:space="preserve"> </w:t>
      </w:r>
      <w:r>
        <w:t xml:space="preserve">analysed in PCR-008 and summarized in</w:t>
      </w:r>
      <w:r>
        <w:t xml:space="preserve"> </w:t>
      </w:r>
      <w:hyperlink w:anchor="tbl-studies">
        <w:r>
          <w:rPr>
            <w:rStyle w:val="Hyperlink"/>
          </w:rPr>
          <w:t xml:space="preserve">Table 3</w:t>
        </w:r>
      </w:hyperlink>
      <w:r>
        <w:t xml:space="preserve">. The first execution is retained as a</w:t>
      </w:r>
      <w:r>
        <w:t xml:space="preserve"> </w:t>
      </w:r>
      <w:r>
        <w:t xml:space="preserve">controlled record and is referenced there to confirm the root cause, since the anomalous</w:t>
      </w:r>
      <w:r>
        <w:t xml:space="preserve"> </w:t>
      </w:r>
      <w:r>
        <w:t xml:space="preserve">interaction is statistically absent from the requalified data, and it is not analysed further,</w:t>
      </w:r>
      <w:r>
        <w:t xml:space="preserve"> </w:t>
      </w:r>
      <w:r>
        <w:t xml:space="preserve">so no conclusion in this package rests on it. The load-material verification introduced during</w:t>
      </w:r>
      <w:r>
        <w:t xml:space="preserve"> </w:t>
      </w:r>
      <w:r>
        <w:t xml:space="preserve">the investigation is now a routine input control on the step, as §7.2 records.</w:t>
      </w:r>
    </w:p>
    <w:p>
      <w:pPr>
        <w:pStyle w:val="BodyText"/>
      </w:pPr>
      <w:r>
        <w:t xml:space="preserve">The second anion exchange deviation is smaller and was present in both executions. The</w:t>
      </w:r>
      <w:r>
        <w:t xml:space="preserve"> </w:t>
      </w:r>
      <w:r>
        <w:t xml:space="preserve">trailing-edge collection set-point was permissive, so pool collection continued further down</w:t>
      </w:r>
      <w:r>
        <w:t xml:space="preserve"> </w:t>
      </w:r>
      <w:r>
        <w:t xml:space="preserve">the descending edge of the peak than intended, at</w:t>
      </w:r>
      <w:r>
        <w:t xml:space="preserve"> </w:t>
      </w:r>
      <w:r>
        <w:t xml:space="preserve">180 mAU against the</w:t>
      </w:r>
      <w:r>
        <w:t xml:space="preserve"> </w:t>
      </w:r>
      <w:r>
        <w:t xml:space="preserve">120 mAU the process requires. The effect</w:t>
      </w:r>
      <w:r>
        <w:t xml:space="preserve"> </w:t>
      </w:r>
      <w:r>
        <w:t xml:space="preserve">on the pool was quantified from the fitted model and the corrected set-point was confirmed</w:t>
      </w:r>
      <w:r>
        <w:t xml:space="preserve"> </w:t>
      </w:r>
      <w:r>
        <w:t xml:space="preserve">experimentally in 3 verification runs (PCR-008). The data were</w:t>
      </w:r>
      <w:r>
        <w:t xml:space="preserve"> </w:t>
      </w:r>
      <w:r>
        <w:t xml:space="preserve">not discarded, because the fitted model covers the collection range that was actually used.</w:t>
      </w:r>
    </w:p>
    <w:bookmarkEnd w:id="68"/>
    <w:bookmarkStart w:id="69" w:name="the-retained-deviations"/>
    <w:p>
      <w:pPr>
        <w:pStyle w:val="Heading2"/>
      </w:pPr>
      <w:r>
        <w:t xml:space="preserve">8.3 The retained deviations</w:t>
      </w:r>
    </w:p>
    <w:p>
      <w:pPr>
        <w:pStyle w:val="FirstParagraph"/>
      </w:pPr>
      <w:r>
        <w:t xml:space="preserve">The retained deviations divide into parameter excursions, material and buffer findings,</w:t>
      </w:r>
      <w:r>
        <w:t xml:space="preserve"> </w:t>
      </w:r>
      <w:r>
        <w:t xml:space="preserve">instrument findings, and analytical or record findings, and none of them changed a conclusion.</w:t>
      </w:r>
      <w:r>
        <w:t xml:space="preserve"> </w:t>
      </w:r>
      <w:r>
        <w:t xml:space="preserve">Excursions of a process parameter beyond its normal operating range were recorded at harvest,</w:t>
      </w:r>
      <w:r>
        <w:t xml:space="preserve"> </w:t>
      </w:r>
      <w:r>
        <w:t xml:space="preserve">at the cation exchange column, at the virus filter and at the ultrafiltration skid</w:t>
      </w:r>
      <w:r>
        <w:t xml:space="preserve"> </w:t>
      </w:r>
      <w:r>
        <w:t xml:space="preserve">(DEV-004-02, DEV-007-02, DEV-009-01, DEV-010-01). Buffer preparation, material expiry and</w:t>
      </w:r>
      <w:r>
        <w:t xml:space="preserve"> </w:t>
      </w:r>
      <w:r>
        <w:t xml:space="preserve">consumable variation account for the largest group (DEV-004-01, DEV-005-01, DEV-007-01,</w:t>
      </w:r>
      <w:r>
        <w:t xml:space="preserve"> </w:t>
      </w:r>
      <w:r>
        <w:t xml:space="preserve">DEV-008-03, DEV-009-02). Two were instrument findings, a drifting dissolved carbon dioxide</w:t>
      </w:r>
      <w:r>
        <w:t xml:space="preserve"> </w:t>
      </w:r>
      <w:r>
        <w:t xml:space="preserve">probe and a feed pump calibration offset (DEV-003-01, DEV-003-02). The remainder were</w:t>
      </w:r>
      <w:r>
        <w:t xml:space="preserve"> </w:t>
      </w:r>
      <w:r>
        <w:t xml:space="preserve">analytical or record findings raised after execution (DEV-005-02, DEV-006-01, DEV-006-02,</w:t>
      </w:r>
      <w:r>
        <w:t xml:space="preserve"> </w:t>
      </w:r>
      <w:r>
        <w:t xml:space="preserve">DEV-010-02).</w:t>
      </w:r>
    </w:p>
    <w:p>
      <w:pPr>
        <w:pStyle w:val="BodyText"/>
      </w:pPr>
      <w:r>
        <w:t xml:space="preserve">The parameter excursions share a bounding argument, and it is the same argument in each case.</w:t>
      </w:r>
      <w:r>
        <w:t xml:space="preserve"> </w:t>
      </w:r>
      <w:r>
        <w:t xml:space="preserve">The excursion took the parameter outside its normal operating range but left it inside the</w:t>
      </w:r>
      <w:r>
        <w:t xml:space="preserve"> </w:t>
      </w:r>
      <w:r>
        <w:t xml:space="preserve">range over which that parameter was characterized, so the fitted model already covers the</w:t>
      </w:r>
      <w:r>
        <w:t xml:space="preserve"> </w:t>
      </w:r>
      <w:r>
        <w:t xml:space="preserve">condition that occurred. Filtration pressure reached</w:t>
      </w:r>
      <w:r>
        <w:t xml:space="preserve"> </w:t>
      </w:r>
      <w:r>
        <w:t xml:space="preserve">22 psi against a normal operating range of</w:t>
      </w:r>
      <w:r>
        <w:t xml:space="preserve"> </w:t>
      </w:r>
      <w:r>
        <w:t xml:space="preserve">10 to 20 psi and a characterized range of</w:t>
      </w:r>
      <w:r>
        <w:t xml:space="preserve"> </w:t>
      </w:r>
      <w:r>
        <w:t xml:space="preserve">8 to 30 psi (DEV-009-01). Transmembrane pressure at</w:t>
      </w:r>
      <w:r>
        <w:t xml:space="preserve"> </w:t>
      </w:r>
      <w:r>
        <w:t xml:space="preserve">ultrafiltration reached 14.6 psi against a normal range of</w:t>
      </w:r>
      <w:r>
        <w:t xml:space="preserve"> </w:t>
      </w:r>
      <w:r>
        <w:t xml:space="preserve">10 to 14 psi and a characterized range of</w:t>
      </w:r>
      <w:r>
        <w:t xml:space="preserve"> </w:t>
      </w:r>
      <w:r>
        <w:t xml:space="preserve">10 to 15 psi (DEV-010-01). The Protein A elution buffer prepared below</w:t>
      </w:r>
      <w:r>
        <w:t xml:space="preserve"> </w:t>
      </w:r>
      <w:r>
        <w:t xml:space="preserve">target at 3.38 fell below the normal range of</w:t>
      </w:r>
      <w:r>
        <w:t xml:space="preserve"> </w:t>
      </w:r>
      <w:r>
        <w:t xml:space="preserve">3.4 to 3.7 but inside the characterized range of</w:t>
      </w:r>
      <w:r>
        <w:t xml:space="preserve"> </w:t>
      </w:r>
      <w:r>
        <w:t xml:space="preserve">3.2 to 3.9 (DEV-005-01).</w:t>
      </w:r>
    </w:p>
    <w:p>
      <w:pPr>
        <w:pStyle w:val="BodyText"/>
      </w:pPr>
      <w:r>
        <w:t xml:space="preserve">Two of the retained deviations produced a result worse than expected before they were</w:t>
      </w:r>
      <w:r>
        <w:t xml:space="preserve"> </w:t>
      </w:r>
      <w:r>
        <w:t xml:space="preserve">dispositioned. Post-clarification turbidity reached</w:t>
      </w:r>
      <w:r>
        <w:t xml:space="preserve"> </w:t>
      </w:r>
      <w:r>
        <w:t xml:space="preserve">12.5 NTU on one harvest run, against a normal</w:t>
      </w:r>
      <w:r>
        <w:t xml:space="preserve"> </w:t>
      </w:r>
      <w:r>
        <w:t xml:space="preserve">operating range of 1 to 10 NTU and a characterized range</w:t>
      </w:r>
      <w:r>
        <w:t xml:space="preserve"> </w:t>
      </w:r>
      <w:r>
        <w:t xml:space="preserve">of 1 to 20 NTU, with depth filter loading near its maximum as</w:t>
      </w:r>
      <w:r>
        <w:t xml:space="preserve"> </w:t>
      </w:r>
      <w:r>
        <w:t xml:space="preserve">the cause (DEV-004-02, PCR-004). A virus filter membrane lot delivered flux</w:t>
      </w:r>
      <w:r>
        <w:t xml:space="preserve"> </w:t>
      </w:r>
      <w:r>
        <w:t xml:space="preserve">12 % below the vendor-typical value, and PCR-009</w:t>
      </w:r>
      <w:r>
        <w:t xml:space="preserve"> </w:t>
      </w:r>
      <w:r>
        <w:t xml:space="preserve">assessed it against the retention claim before the affected run was retained (DEV-009-02).</w:t>
      </w:r>
      <w:r>
        <w:t xml:space="preserve"> </w:t>
      </w:r>
      <w:r>
        <w:t xml:space="preserve">Neither finding moved the associated attribute outside its limit.</w:t>
      </w:r>
    </w:p>
    <w:bookmarkEnd w:id="69"/>
    <w:bookmarkStart w:id="70" w:name="campaign-level-impact"/>
    <w:p>
      <w:pPr>
        <w:pStyle w:val="Heading2"/>
      </w:pPr>
      <w:r>
        <w:t xml:space="preserve">8.4 Campaign-level impact</w:t>
      </w:r>
    </w:p>
    <w:p>
      <w:pPr>
        <w:pStyle w:val="FirstParagraph"/>
      </w:pPr>
      <w:r>
        <w:t xml:space="preserve">No deviation changed a parameter classification, an operating region or a viral clearance</w:t>
      </w:r>
      <w:r>
        <w:t xml:space="preserve"> </w:t>
      </w:r>
      <w:r>
        <w:t xml:space="preserve">claim, and the classifications in</w:t>
      </w:r>
      <w:r>
        <w:t xml:space="preserve"> </w:t>
      </w:r>
      <w:hyperlink w:anchor="tbl-cpp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lasse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are those the re-executed and</w:t>
      </w:r>
      <w:r>
        <w:t xml:space="preserve"> </w:t>
      </w:r>
      <w:r>
        <w:t xml:space="preserve">retained data support. No design space was widened or narrowed as a result of a deviation,</w:t>
      </w:r>
      <w:r>
        <w:t xml:space="preserve"> </w:t>
      </w:r>
      <w:r>
        <w:t xml:space="preserve">and the clearance increments in</w:t>
      </w:r>
      <w:r>
        <w:t xml:space="preserve"> </w:t>
      </w:r>
      <w:hyperlink w:anchor="tbl-viral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come from studies that no deviation touched.</w:t>
      </w:r>
    </w:p>
    <w:p>
      <w:pPr>
        <w:pStyle w:val="BodyText"/>
      </w:pPr>
      <w:r>
        <w:t xml:space="preserve">One control-strategy element did change. The trailing-edge collection set-point at anion</w:t>
      </w:r>
      <w:r>
        <w:t xml:space="preserve"> </w:t>
      </w:r>
      <w:r>
        <w:t xml:space="preserve">exchange was tightened, as §8.2 describes, and the load-material verification became a routine</w:t>
      </w:r>
      <w:r>
        <w:t xml:space="preserve"> </w:t>
      </w:r>
      <w:r>
        <w:t xml:space="preserve">input control. Both are improvements to the control strategy and neither reflects a defect in</w:t>
      </w:r>
      <w:r>
        <w:t xml:space="preserve"> </w:t>
      </w:r>
      <w:r>
        <w:t xml:space="preserve">the data reported here. The campaign also carries one enduring consequence in its records,</w:t>
      </w:r>
      <w:r>
        <w:t xml:space="preserve"> </w:t>
      </w:r>
      <w:r>
        <w:t xml:space="preserve">which is that a complete designed experiment at anion exchange exists in superseded form and</w:t>
      </w:r>
      <w:r>
        <w:t xml:space="preserve"> </w:t>
      </w:r>
      <w:r>
        <w:t xml:space="preserve">is retained as such.</w:t>
      </w:r>
    </w:p>
    <w:bookmarkEnd w:id="70"/>
    <w:bookmarkEnd w:id="71"/>
    <w:bookmarkStart w:id="75" w:name="conclusions-and-stage-2-readiness"/>
    <w:p>
      <w:pPr>
        <w:pStyle w:val="Heading1"/>
      </w:pPr>
      <w:r>
        <w:t xml:space="preserve">9. Conclusions and Stage 2 readiness</w:t>
      </w:r>
    </w:p>
    <w:bookmarkStart w:id="72" w:name="what-the-campaign-established"/>
    <w:p>
      <w:pPr>
        <w:pStyle w:val="Heading2"/>
      </w:pPr>
      <w:r>
        <w:t xml:space="preserve">9.1 What the campaign established</w:t>
      </w:r>
    </w:p>
    <w:p>
      <w:pPr>
        <w:pStyle w:val="FirstParagraph"/>
      </w:pPr>
      <w:r>
        <w:t xml:space="preserve">The A-Mab drug substance process is characterized across all 8 unit</w:t>
      </w:r>
      <w:r>
        <w:t xml:space="preserve"> </w:t>
      </w:r>
      <w:r>
        <w:t xml:space="preserve">operations and its control strategy is defined. Every drug substance quality attribute meets</w:t>
      </w:r>
      <w:r>
        <w:t xml:space="preserve"> </w:t>
      </w:r>
      <w:r>
        <w:t xml:space="preserve">its acceptance criterion at commercial scale, with a lowest capability index of</w:t>
      </w:r>
      <w:r>
        <w:t xml:space="preserve"> </w:t>
      </w:r>
      <w:r>
        <w:t xml:space="preserve">1.51 on the cumulative MVM clearance. Cumulative viral clearance</w:t>
      </w:r>
      <w:r>
        <w:t xml:space="preserve"> </w:t>
      </w:r>
      <w:r>
        <w:t xml:space="preserve">exceeds its requirement by 2.17 log₁₀ for XMuLV and</w:t>
      </w:r>
      <w:r>
        <w:t xml:space="preserve"> </w:t>
      </w:r>
      <w:r>
        <w:t xml:space="preserve">1.43 log₁₀ for MVM, from 3 steps whose</w:t>
      </w:r>
      <w:r>
        <w:t xml:space="preserve"> </w:t>
      </w:r>
      <w:r>
        <w:t xml:space="preserve">mechanisms are independent. All 37 process parameters are classified, and</w:t>
      </w:r>
      <w:r>
        <w:t xml:space="preserve"> </w:t>
      </w:r>
      <w:r>
        <w:t xml:space="preserve">only the inactivation pH of the low-pH hold requires the most stringent control.</w:t>
      </w:r>
    </w:p>
    <w:p>
      <w:pPr>
        <w:pStyle w:val="BodyText"/>
      </w:pPr>
      <w:r>
        <w:t xml:space="preserve">The process understanding behind those statements is multivariate where it needs to be.</w:t>
      </w:r>
      <w:r>
        <w:t xml:space="preserve"> </w:t>
      </w:r>
      <w:r>
        <w:t xml:space="preserve">22 parameters were studied in designed experiments and</w:t>
      </w:r>
      <w:r>
        <w:t xml:space="preserve"> </w:t>
      </w:r>
      <w:r>
        <w:t xml:space="preserve">15 univariately, the assignment follows the risk basis in RA-001 and not</w:t>
      </w:r>
      <w:r>
        <w:t xml:space="preserve"> </w:t>
      </w:r>
      <w:r>
        <w:t xml:space="preserve">convenience, and interactions were estimated wherever two parameters could plausibly act</w:t>
      </w:r>
      <w:r>
        <w:t xml:space="preserve"> </w:t>
      </w:r>
      <w:r>
        <w:t xml:space="preserve">together on the same attribute. The significant interactions are reported in the step reports,</w:t>
      </w:r>
      <w:r>
        <w:t xml:space="preserve"> </w:t>
      </w:r>
      <w:r>
        <w:t xml:space="preserve">and the one quality-linked parameter assessed univariately is identified in §4.</w:t>
      </w:r>
    </w:p>
    <w:bookmarkEnd w:id="72"/>
    <w:bookmarkStart w:id="73" w:name="limitations"/>
    <w:p>
      <w:pPr>
        <w:pStyle w:val="Heading2"/>
      </w:pPr>
      <w:r>
        <w:t xml:space="preserve">9.2 Limitations</w:t>
      </w:r>
    </w:p>
    <w:p>
      <w:pPr>
        <w:pStyle w:val="FirstParagraph"/>
      </w:pPr>
      <w:r>
        <w:t xml:space="preserve">Design spaces are not confirmed at commercial scale at the edges of their ranges. The</w:t>
      </w:r>
      <w:r>
        <w:t xml:space="preserve"> </w:t>
      </w:r>
      <w:r>
        <w:t xml:space="preserve">response-surface models predict mean levels over the characterized ranges, and the reliability</w:t>
      </w:r>
      <w:r>
        <w:t xml:space="preserve"> </w:t>
      </w:r>
      <w:r>
        <w:t xml:space="preserve">of a mean-level model at the edge of its own region is lower than at its centre.</w:t>
      </w:r>
    </w:p>
    <w:p>
      <w:pPr>
        <w:pStyle w:val="BodyText"/>
      </w:pPr>
      <w:r>
        <w:t xml:space="preserve">Capability is estimated and not observed. The values in</w:t>
      </w:r>
      <w:r>
        <w:t xml:space="preserve"> </w:t>
      </w:r>
      <w:hyperlink w:anchor="tbl-cap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come from simulation of</w:t>
      </w:r>
      <w:r>
        <w:t xml:space="preserve"> </w:t>
      </w:r>
      <w:r>
        <w:t xml:space="preserve">qualified scale-down models with every parameter inside its normal operating range, so they</w:t>
      </w:r>
      <w:r>
        <w:t xml:space="preserve"> </w:t>
      </w:r>
      <w:r>
        <w:t xml:space="preserve">describe routine operation of a model of the process and not the process itself.</w:t>
      </w:r>
    </w:p>
    <w:p>
      <w:pPr>
        <w:pStyle w:val="BodyText"/>
      </w:pPr>
      <w:r>
        <w:t xml:space="preserve">Viral clearance is measured in small-scale spiking studies. No production material is spiked,</w:t>
      </w:r>
      <w:r>
        <w:t xml:space="preserve"> </w:t>
      </w:r>
      <w:r>
        <w:t xml:space="preserve">the model viruses stand in for classes of adventitious agent, and the cumulative figure is a</w:t>
      </w:r>
      <w:r>
        <w:t xml:space="preserve"> </w:t>
      </w:r>
      <w:r>
        <w:t xml:space="preserve">sum of independent studies rather than a measurement of the whole train.</w:t>
      </w:r>
    </w:p>
    <w:p>
      <w:pPr>
        <w:pStyle w:val="BodyText"/>
      </w:pPr>
      <w:r>
        <w:t xml:space="preserve">The campaign ran a limited number of batches at each condition. A characterization study</w:t>
      </w:r>
      <w:r>
        <w:t xml:space="preserve"> </w:t>
      </w:r>
      <w:r>
        <w:t xml:space="preserve">cannot capture the batch-to-batch variability that commercial manufacture will show, and the</w:t>
      </w:r>
      <w:r>
        <w:t xml:space="preserve"> </w:t>
      </w:r>
      <w:r>
        <w:t xml:space="preserve">scale-down models cannot reproduce every scale-dependent effect of a</w:t>
      </w:r>
      <w:r>
        <w:t xml:space="preserve"> </w:t>
      </w:r>
      <w:r>
        <w:t xml:space="preserve">15,000 L vessel or a commercial column.</w:t>
      </w:r>
    </w:p>
    <w:p>
      <w:pPr>
        <w:pStyle w:val="BodyText"/>
      </w:pPr>
      <w:r>
        <w:t xml:space="preserve">One designed experiment exists in superseded form. The anion exchange conclusions rest</w:t>
      </w:r>
      <w:r>
        <w:t xml:space="preserve"> </w:t>
      </w:r>
      <w:r>
        <w:t xml:space="preserve">entirely on the re-executed studies, and the superseded dataset is retained as a record and</w:t>
      </w:r>
      <w:r>
        <w:t xml:space="preserve"> </w:t>
      </w:r>
      <w:r>
        <w:t xml:space="preserve">referenced only for root-cause confirmation.</w:t>
      </w:r>
    </w:p>
    <w:bookmarkEnd w:id="73"/>
    <w:bookmarkStart w:id="74" w:name="stage-2-readiness"/>
    <w:p>
      <w:pPr>
        <w:pStyle w:val="Heading2"/>
      </w:pPr>
      <w:r>
        <w:t xml:space="preserve">9.3 Stage 2 readiness</w:t>
      </w:r>
    </w:p>
    <w:p>
      <w:pPr>
        <w:pStyle w:val="FirstParagraph"/>
      </w:pPr>
      <w:r>
        <w:t xml:space="preserve">The characterization package supports entry into Stage 2. The process description, the</w:t>
      </w:r>
      <w:r>
        <w:t xml:space="preserve"> </w:t>
      </w:r>
      <w:r>
        <w:t xml:space="preserve">parameter ranges, the in-process controls and the analytical methods are defined, and the</w:t>
      </w:r>
      <w:r>
        <w:t xml:space="preserve"> </w:t>
      </w:r>
      <w:r>
        <w:t xml:space="preserve">receiving site can execute the process as described. The deliverables that Stage 2 requires</w:t>
      </w:r>
      <w:r>
        <w:t xml:space="preserve"> </w:t>
      </w:r>
      <w:r>
        <w:t xml:space="preserve">from Stage 1 are complete, and the gaps that remain are the ones Stage 2 exists to close.</w:t>
      </w:r>
    </w:p>
    <w:p>
      <w:pPr>
        <w:pStyle w:val="BodyText"/>
      </w:pPr>
      <w:r>
        <w:t xml:space="preserve">Stage 2 will qualify the process at commercial scale on 5 process</w:t>
      </w:r>
      <w:r>
        <w:t xml:space="preserve"> </w:t>
      </w:r>
      <w:r>
        <w:t xml:space="preserve">performance qualification batches, confirm that the capability estimated here is realised, and</w:t>
      </w:r>
      <w:r>
        <w:t xml:space="preserve"> </w:t>
      </w:r>
      <w:r>
        <w:t xml:space="preserve">begin the continued process verification (Stage 3) that carries the control strategy through</w:t>
      </w:r>
      <w:r>
        <w:t xml:space="preserve"> </w:t>
      </w:r>
      <w:r>
        <w:t xml:space="preserve">the product life-cycle. Until those batches are executed no claim in this report about</w:t>
      </w:r>
      <w:r>
        <w:t xml:space="preserve"> </w:t>
      </w:r>
      <w:r>
        <w:t xml:space="preserve">commercial-scale performance is confirmed. This report should be read as the evidence that</w:t>
      </w:r>
      <w:r>
        <w:t xml:space="preserve"> </w:t>
      </w:r>
      <w:r>
        <w:t xml:space="preserve">the process is understood well enough to be qualified, and not as evidence that it has been.</w:t>
      </w:r>
    </w:p>
    <w:bookmarkEnd w:id="74"/>
    <w:bookmarkEnd w:id="75"/>
    <w:bookmarkStart w:id="84" w:name="references"/>
    <w:p>
      <w:pPr>
        <w:pStyle w:val="Heading1"/>
      </w:pPr>
      <w:r>
        <w:t xml:space="preserve">References</w:t>
      </w:r>
    </w:p>
    <w:bookmarkStart w:id="83" w:name="refs"/>
    <w:bookmarkStart w:id="76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76"/>
    <w:bookmarkStart w:id="77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77"/>
    <w:bookmarkStart w:id="78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78"/>
    <w:bookmarkStart w:id="79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79"/>
    <w:bookmarkStart w:id="80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80"/>
    <w:bookmarkStart w:id="81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81"/>
    <w:bookmarkStart w:id="82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41" Target="media/rId41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Master Report</dc:title>
  <dc:creator>Process Development / Manufacturing Science &amp; Technology (MSAT)</dc:creator>
  <cp:keywords/>
  <dcterms:created xsi:type="dcterms:W3CDTF">2026-08-03T04:59:13Z</dcterms:created>
  <dcterms:modified xsi:type="dcterms:W3CDTF">2026-08-03T04:59:13Z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PCMR-001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