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Cation Exchange Chromatography (Step 7) — PCP-007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 and complete; AMV,</w:t>
      </w:r>
      <w:r>
        <w:t xml:space="preserve"> </w:t>
      </w:r>
      <w:r>
        <w:t xml:space="preserve">analytical method validation; CEX, cation exchange chromatography; CV, coefficient of</w:t>
      </w:r>
      <w:r>
        <w:t xml:space="preserve"> </w:t>
      </w:r>
      <w:r>
        <w:t xml:space="preserve">variation; DNA, deoxyribonucleic acid; DoE, design of experiments; ELISA, enzyme-linked</w:t>
      </w:r>
      <w:r>
        <w:t xml:space="preserve"> </w:t>
      </w:r>
      <w:r>
        <w:t xml:space="preserve">immunosorbent assay; ELN, electronic laboratory notebook; HCP, host cell protein; HMW,</w:t>
      </w:r>
      <w:r>
        <w:t xml:space="preserve"> </w:t>
      </w:r>
      <w:r>
        <w:t xml:space="preserve">high molecular weight; ICH, International Council for Harmonisation; IgG1, immunoglobulin</w:t>
      </w:r>
      <w:r>
        <w:t xml:space="preserve"> </w:t>
      </w:r>
      <w:r>
        <w:t xml:space="preserve">G subclass 1; LIMS, laboratory information management system; MSAT, Manufacturing Science</w:t>
      </w:r>
      <w:r>
        <w:t xml:space="preserve"> </w:t>
      </w:r>
      <w:r>
        <w:t xml:space="preserve">and Technology; NOR, normal operating range; OD, optical density; PAR, proven acceptable</w:t>
      </w:r>
      <w:r>
        <w:t xml:space="preserve"> </w:t>
      </w:r>
      <w:r>
        <w:t xml:space="preserve">range; PD, Process Development; PRESS, predicted residual error sum of squares; QA, Quality</w:t>
      </w:r>
      <w:r>
        <w:t xml:space="preserve"> </w:t>
      </w:r>
      <w:r>
        <w:t xml:space="preserve">Assurance; qPCR, quantitative polymerase chain reaction; RSM, response-surface methodology;</w:t>
      </w:r>
      <w:r>
        <w:t xml:space="preserve"> </w:t>
      </w:r>
      <w:r>
        <w:t xml:space="preserve">SEC-HPLC, size-exclusion high-performance liquid chromatography; SOP, standard operating</w:t>
      </w:r>
      <w:r>
        <w:t xml:space="preserve"> </w:t>
      </w:r>
      <w:r>
        <w:t xml:space="preserve">procedure.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Cation exchange chromatography is the first of the two polishing steps in the A-Mab</w:t>
      </w:r>
      <w:r>
        <w:t xml:space="preserve"> </w:t>
      </w:r>
      <w:r>
        <w:t xml:space="preserve">purification train. The step uses a strong cation exchange resin in bind and elute mode,</w:t>
      </w:r>
      <w:r>
        <w:t xml:space="preserve"> </w:t>
      </w:r>
      <w:r>
        <w:t xml:space="preserve">and a step elution separates the antibody from the impurities that survive capture and</w:t>
      </w:r>
      <w:r>
        <w:t xml:space="preserve"> </w:t>
      </w:r>
      <w:r>
        <w:t xml:space="preserve">low-pH inactivation (PCR-005, PCR-006). It is the principal aggregate reduction step in the</w:t>
      </w:r>
      <w:r>
        <w:t xml:space="preserve"> </w:t>
      </w:r>
      <w:r>
        <w:t xml:space="preserve">process, and it also provides substantial clearance of host cell protein, residual DNA and</w:t>
      </w:r>
      <w:r>
        <w:t xml:space="preserve"> </w:t>
      </w:r>
      <w:r>
        <w:t xml:space="preserve">leached Protein A.</w:t>
      </w:r>
    </w:p>
    <w:p>
      <w:pPr>
        <w:pStyle w:val="BodyText"/>
      </w:pPr>
      <w:r>
        <w:t xml:space="preserve">No step downstream of cation exchange reduces aggregate. Anion exchange (PCR-008) and</w:t>
      </w:r>
      <w:r>
        <w:t xml:space="preserve"> </w:t>
      </w:r>
      <w:r>
        <w:t xml:space="preserve">small-virus retentive filtration (PCR-009) act on impurities and on virus, and the</w:t>
      </w:r>
      <w:r>
        <w:t xml:space="preserve"> </w:t>
      </w:r>
      <w:r>
        <w:t xml:space="preserve">ultrafiltration and diafiltration step (PCR-010) concentrates the product and exchanges the</w:t>
      </w:r>
      <w:r>
        <w:t xml:space="preserve"> </w:t>
      </w:r>
      <w:r>
        <w:t xml:space="preserve">buffer, so none of the three removes high molecular weight species. The aggregate content</w:t>
      </w:r>
      <w:r>
        <w:t xml:space="preserve"> </w:t>
      </w:r>
      <w:r>
        <w:t xml:space="preserve">of the drug substance is set by what this step delivers, and the study defined here has to</w:t>
      </w:r>
      <w:r>
        <w:t xml:space="preserve"> </w:t>
      </w:r>
      <w:r>
        <w:t xml:space="preserve">support that claim across the conditions the commercial process may see.</w:t>
      </w:r>
    </w:p>
    <w:p>
      <w:pPr>
        <w:pStyle w:val="BodyText"/>
      </w:pPr>
      <w:r>
        <w:t xml:space="preserve">This plan defines the process characterization study for the step. It states the parameters</w:t>
      </w:r>
      <w:r>
        <w:t xml:space="preserve"> </w:t>
      </w:r>
      <w:r>
        <w:t xml:space="preserve">to be studied, the ranges over which they will be varied, the analytical methods, the</w:t>
      </w:r>
      <w:r>
        <w:t xml:space="preserve"> </w:t>
      </w:r>
      <w:r>
        <w:t xml:space="preserve">statistical analysis and the criteria by which the results will be judged. The study will be</w:t>
      </w:r>
      <w:r>
        <w:t xml:space="preserve"> </w:t>
      </w:r>
      <w:r>
        <w:t xml:space="preserve">executed on a qualified scale-down model at the sending site, and its conclusions will be</w:t>
      </w:r>
      <w:r>
        <w:t xml:space="preserve"> </w:t>
      </w:r>
      <w:r>
        <w:t xml:space="preserve">applied to the commercial process at the receiving site through that model. Results,</w:t>
      </w:r>
      <w:r>
        <w:t xml:space="preserve"> </w:t>
      </w:r>
      <w:r>
        <w:t xml:space="preserve">parameter classifications and the operating region will be reported in PCR-007.</w:t>
      </w:r>
    </w:p>
    <w:p>
      <w:pPr>
        <w:pStyle w:val="BodyText"/>
      </w:pPr>
      <w:r>
        <w:t xml:space="preserve">The parameters in scope are the 5 listed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which are the</w:t>
      </w:r>
      <w:r>
        <w:t xml:space="preserve"> </w:t>
      </w:r>
      <w:r>
        <w:t xml:space="preserve">parameters the risk assessment assigned to this step for characterization (RA-001). Resin</w:t>
      </w:r>
      <w:r>
        <w:t xml:space="preserve"> </w:t>
      </w:r>
      <w:r>
        <w:t xml:space="preserve">type, column dimensions, buffer compositions and the collection start threshold are fixed by</w:t>
      </w:r>
      <w:r>
        <w:t xml:space="preserve"> </w:t>
      </w:r>
      <w:r>
        <w:t xml:space="preserve">the platform and by SOP-2010, and are held constant in every run. Resin life-cycle, packing</w:t>
      </w:r>
      <w:r>
        <w:t xml:space="preserve"> </w:t>
      </w:r>
      <w:r>
        <w:t xml:space="preserve">quality and sanitization are governed by SOP-2008 and are not characterized here.</w:t>
      </w:r>
    </w:p>
    <w:p>
      <w:pPr>
        <w:pStyle w:val="BodyText"/>
      </w:pPr>
      <w:r>
        <w:t xml:space="preserve">Although some clearance of enveloped virus can be demonstrated across a cation exchange</w:t>
      </w:r>
      <w:r>
        <w:t xml:space="preserve"> </w:t>
      </w:r>
      <w:r>
        <w:t xml:space="preserve">step, no viral clearance claim will be made for this step, and no virus spiking runs are</w:t>
      </w:r>
      <w:r>
        <w:t xml:space="preserve"> </w:t>
      </w:r>
      <w:r>
        <w:t xml:space="preserve">included in this plan. The cumulative clearance claim rests on the low-pH hold (PCR-006),</w:t>
      </w:r>
      <w:r>
        <w:t xml:space="preserve"> </w:t>
      </w:r>
      <w:r>
        <w:t xml:space="preserve">the anion exchange step (PCR-008) and the small-virus retentive filter (PCR-009), and it is</w:t>
      </w:r>
      <w:r>
        <w:t xml:space="preserve"> </w:t>
      </w:r>
      <w:r>
        <w:t xml:space="preserve">consolidated in PCMR-001.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listed below in the order in which the sections of this plan</w:t>
      </w:r>
      <w:r>
        <w:t xml:space="preserve"> </w:t>
      </w:r>
      <w:r>
        <w:t xml:space="preserve">address them.</w:t>
      </w:r>
    </w:p>
    <w:p>
      <w:pPr>
        <w:pStyle w:val="Compact"/>
        <w:numPr>
          <w:ilvl w:val="0"/>
          <w:numId w:val="1001"/>
        </w:numPr>
      </w:pPr>
      <w:r>
        <w:t xml:space="preserve">To quantify the effect of protein load, load and wash conductivity, elution buffer pH</w:t>
      </w:r>
      <w:r>
        <w:t xml:space="preserve"> </w:t>
      </w:r>
      <w:r>
        <w:t xml:space="preserve">and elution stop collect on pool aggregate, pool host cell protein and step yield, over</w:t>
      </w:r>
      <w:r>
        <w:t xml:space="preserve"> </w:t>
      </w:r>
      <w:r>
        <w:t xml:space="preserve">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resolve the interaction between protein load and the conductivity of the load and wash</w:t>
      </w:r>
      <w:r>
        <w:t xml:space="preserve"> </w:t>
      </w:r>
      <w:r>
        <w:t xml:space="preserve">buffers that platform experience predicts for host cell protein clearance, together with</w:t>
      </w:r>
      <w:r>
        <w:t xml:space="preserve"> </w:t>
      </w:r>
      <w:r>
        <w:t xml:space="preserve">any further two-factor interaction the screening design finds active.</w:t>
      </w:r>
    </w:p>
    <w:p>
      <w:pPr>
        <w:pStyle w:val="Compact"/>
        <w:numPr>
          <w:ilvl w:val="0"/>
          <w:numId w:val="1001"/>
        </w:numPr>
      </w:pPr>
      <w:r>
        <w:t xml:space="preserve">To define the multivariate region over which the attributes this step governs remain</w:t>
      </w:r>
      <w:r>
        <w:t xml:space="preserve"> </w:t>
      </w:r>
      <w:r>
        <w:t xml:space="preserve">within their acceptance criteria, using a response-surface model fitted to the</w:t>
      </w:r>
      <w:r>
        <w:t xml:space="preserve"> </w:t>
      </w:r>
      <w:r>
        <w:t xml:space="preserve">4 multivariate parameters.</w:t>
      </w:r>
    </w:p>
    <w:p>
      <w:pPr>
        <w:pStyle w:val="Compact"/>
        <w:numPr>
          <w:ilvl w:val="0"/>
          <w:numId w:val="1001"/>
        </w:numPr>
      </w:pPr>
      <w:r>
        <w:t xml:space="preserve">To establish a proven acceptable range for each parameter and each governed attribute,</w:t>
      </w:r>
      <w:r>
        <w:t xml:space="preserve"> </w:t>
      </w:r>
      <w:r>
        <w:t xml:space="preserve">both at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  <w:r>
        <w:t xml:space="preserve">To provide the evidence on which each parameter will be classified (SOP-4001) and on</w:t>
      </w:r>
      <w:r>
        <w:t xml:space="preserve"> </w:t>
      </w:r>
      <w:r>
        <w:t xml:space="preserve">which this step’s contribution to the control strategy will be based.</w:t>
      </w:r>
    </w:p>
    <w:p>
      <w:pPr>
        <w:pStyle w:val="FirstParagraph"/>
      </w:pPr>
      <w:r>
        <w:t xml:space="preserve">The study is a Stage 1 process design activity in the sense of the lifecycle approach to</w:t>
      </w:r>
      <w:r>
        <w:t xml:space="preserve"> </w:t>
      </w:r>
      <w:r>
        <w:t xml:space="preserve">process validation</w:t>
      </w:r>
      <w:r>
        <w:t xml:space="preserve"> </w:t>
      </w:r>
      <w:r>
        <w:t xml:space="preserve">(U.S. Food and Drug Administration 2011)</w:t>
      </w:r>
      <w:r>
        <w:t xml:space="preserve">, and it follows the enhanced development approach of ICH Q8</w:t>
      </w:r>
      <w:r>
        <w:t xml:space="preserve"> </w:t>
      </w:r>
      <w:r>
        <w:t xml:space="preserve">and ICH Q11</w:t>
      </w:r>
      <w:r>
        <w:t xml:space="preserve"> </w:t>
      </w:r>
      <w:r>
        <w:t xml:space="preserve">(International Council for Harmonisation 2009, 2012)</w:t>
      </w:r>
      <w:r>
        <w:t xml:space="preserve">. The methodology, the attribute framework and the</w:t>
      </w:r>
      <w:r>
        <w:t xml:space="preserve"> </w:t>
      </w:r>
      <w:r>
        <w:t xml:space="preserve">classification logic follow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under three parent documents and is paired with one report, and all of them</w:t>
      </w:r>
      <w:r>
        <w:t xml:space="preserve"> </w:t>
      </w:r>
      <w:r>
        <w:t xml:space="preserve">are listed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with the relationship each bears to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5"/>
              <w:gridCol w:w="4677"/>
              <w:gridCol w:w="2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procedures that govern execution of the study are listed in</w:t>
      </w:r>
      <w:r>
        <w:t xml:space="preserve"> </w:t>
      </w:r>
      <w:hyperlink w:anchor="tbl-sops">
        <w:r>
          <w:rPr>
            <w:rStyle w:val="Hyperlink"/>
          </w:rPr>
          <w:t xml:space="preserve">Table 3</w:t>
        </w:r>
      </w:hyperlink>
      <w:r>
        <w:t xml:space="preserve">, and the validated</w:t>
      </w:r>
      <w:r>
        <w:t xml:space="preserve"> </w:t>
      </w:r>
      <w:r>
        <w:t xml:space="preserve">analytical methods are listed separately in the analytical methods section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Procedures governing execution of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A-Mab downstream process is a platform process, and the cation exchange step is operated</w:t>
      </w:r>
      <w:r>
        <w:t xml:space="preserve"> </w:t>
      </w:r>
      <w:r>
        <w:t xml:space="preserve">in the same mode as it is for three earlier humanized IgG1 products (X-Mab, Y-Mab and</w:t>
      </w:r>
      <w:r>
        <w:t xml:space="preserve"> </w:t>
      </w:r>
      <w:r>
        <w:t xml:space="preserve">Z-Mab). The resin chemistry, the buffer system and the step elution are common to all four</w:t>
      </w:r>
      <w:r>
        <w:t xml:space="preserve"> </w:t>
      </w:r>
      <w:r>
        <w:t xml:space="preserve">products. That experience establishes the mechanism of the separation and the conditions</w:t>
      </w:r>
      <w:r>
        <w:t xml:space="preserve"> </w:t>
      </w:r>
      <w:r>
        <w:t xml:space="preserve">under which the step behaves predictably, so this study is expected to confirm and bound</w:t>
      </w:r>
      <w:r>
        <w:t xml:space="preserve"> </w:t>
      </w:r>
      <w:r>
        <w:t xml:space="preserve">platform behaviour and not to discover it.</w:t>
      </w:r>
    </w:p>
    <w:p>
      <w:pPr>
        <w:pStyle w:val="BodyText"/>
      </w:pPr>
      <w:r>
        <w:t xml:space="preserve">Aggregate separation on a cation exchanger follows from avidity. A high molecular weight</w:t>
      </w:r>
      <w:r>
        <w:t xml:space="preserve"> </w:t>
      </w:r>
      <w:r>
        <w:t xml:space="preserve">species presents more of the antibody surface to the resin than the monomer does, binds more</w:t>
      </w:r>
      <w:r>
        <w:t xml:space="preserve"> </w:t>
      </w:r>
      <w:r>
        <w:t xml:space="preserve">strongly and elutes later, so the descending edge of the elution peak is enriched in</w:t>
      </w:r>
      <w:r>
        <w:t xml:space="preserve"> </w:t>
      </w:r>
      <w:r>
        <w:t xml:space="preserve">aggregate. Three of the parameters in scope act on that separation, and each acts on a</w:t>
      </w:r>
      <w:r>
        <w:t xml:space="preserve"> </w:t>
      </w:r>
      <w:r>
        <w:t xml:space="preserve">different part of it. Protein load determines how much of the column capacity is occupied</w:t>
      </w:r>
      <w:r>
        <w:t xml:space="preserve"> </w:t>
      </w:r>
      <w:r>
        <w:t xml:space="preserve">and how well the species are resolved, elution buffer pH determines how strongly both</w:t>
      </w:r>
      <w:r>
        <w:t xml:space="preserve"> </w:t>
      </w:r>
      <w:r>
        <w:t xml:space="preserve">species are held at the point of elution, and the stop collect set-point determines how much</w:t>
      </w:r>
      <w:r>
        <w:t xml:space="preserve"> </w:t>
      </w:r>
      <w:r>
        <w:t xml:space="preserve">of the descending edge enters the product pool.</w:t>
      </w:r>
    </w:p>
    <w:p>
      <w:pPr>
        <w:pStyle w:val="BodyText"/>
      </w:pPr>
      <w:r>
        <w:t xml:space="preserve">Host cell protein clearance depends on protein load and on the conductivity of the load and</w:t>
      </w:r>
      <w:r>
        <w:t xml:space="preserve"> </w:t>
      </w:r>
      <w:r>
        <w:t xml:space="preserve">wash buffers. Host cell proteins are a heterogeneous population and much of that population</w:t>
      </w:r>
      <w:r>
        <w:t xml:space="preserve"> </w:t>
      </w:r>
      <w:r>
        <w:t xml:space="preserve">binds the resin weakly. Raising the conductivity screens those weak interactions, so more of</w:t>
      </w:r>
      <w:r>
        <w:t xml:space="preserve"> </w:t>
      </w:r>
      <w:r>
        <w:t xml:space="preserve">the population passes into the flow-through and the wash. Raising the protein load lowers the</w:t>
      </w:r>
      <w:r>
        <w:t xml:space="preserve"> </w:t>
      </w:r>
      <w:r>
        <w:t xml:space="preserve">fraction removed, because the antibody competes for binding sites and displaced species can</w:t>
      </w:r>
      <w:r>
        <w:t xml:space="preserve"> </w:t>
      </w:r>
      <w:r>
        <w:t xml:space="preserve">co-elute with it. The two effects are not additive. Their product sets the pool level, so the</w:t>
      </w:r>
      <w:r>
        <w:t xml:space="preserve"> </w:t>
      </w:r>
      <w:r>
        <w:t xml:space="preserve">rise in pool host cell protein with load is larger when the conductivity is low, and platform</w:t>
      </w:r>
      <w:r>
        <w:t xml:space="preserve"> </w:t>
      </w:r>
      <w:r>
        <w:t xml:space="preserve">experience predicts a significant interaction between the two parameters.</w:t>
      </w:r>
    </w:p>
    <w:p>
      <w:pPr>
        <w:pStyle w:val="BodyText"/>
      </w:pPr>
      <w:r>
        <w:t xml:space="preserve">The step does not discriminate charge variants or glycosylation variants under platform</w:t>
      </w:r>
      <w:r>
        <w:t xml:space="preserve"> </w:t>
      </w:r>
      <w:r>
        <w:t xml:space="preserve">conditions, and neither class of variant is measured in this study. Both are formed in the</w:t>
      </w:r>
      <w:r>
        <w:t xml:space="preserve"> </w:t>
      </w:r>
      <w:r>
        <w:t xml:space="preserve">production bioreactor and are controlled there (PCR-003). Clearance of residual DNA and of</w:t>
      </w:r>
      <w:r>
        <w:t xml:space="preserve"> </w:t>
      </w:r>
      <w:r>
        <w:t xml:space="preserve">leached Protein A is expected to be independent of the parameters studied. Residual DNA is</w:t>
      </w:r>
      <w:r>
        <w:t xml:space="preserve"> </w:t>
      </w:r>
      <w:r>
        <w:t xml:space="preserve">polyanionic and does</w:t>
      </w:r>
      <w:r>
        <w:t xml:space="preserve"> </w:t>
      </w:r>
      <w:r>
        <w:t xml:space="preserve">not bind the resin under the load conditions used, and leached Protein A is removed largely</w:t>
      </w:r>
      <w:r>
        <w:t xml:space="preserve"> </w:t>
      </w:r>
      <w:r>
        <w:t xml:space="preserve">in the wash, so both clearances follow from the chemistry of the step and not from its</w:t>
      </w:r>
      <w:r>
        <w:t xml:space="preserve"> </w:t>
      </w:r>
      <w:r>
        <w:t xml:space="preserve">operating point.</w:t>
      </w:r>
    </w:p>
    <w:p>
      <w:pPr>
        <w:pStyle w:val="BodyText"/>
      </w:pPr>
      <w:r>
        <w:t xml:space="preserve">The material loaded onto the step is the neutralized and filtered pool from the low-pH viral</w:t>
      </w:r>
      <w:r>
        <w:t xml:space="preserve"> </w:t>
      </w:r>
      <w:r>
        <w:t xml:space="preserve">inactivation step. That hold adds aggregate to the intermediate (PCR-006), so the burden this</w:t>
      </w:r>
      <w:r>
        <w:t xml:space="preserve"> </w:t>
      </w:r>
      <w:r>
        <w:t xml:space="preserve">step has to remove is set upstream and is not constant. At nominal process conditions the</w:t>
      </w:r>
      <w:r>
        <w:t xml:space="preserve"> </w:t>
      </w:r>
      <w:r>
        <w:t xml:space="preserve">intermediate carries about 1.9 % HMW, so the study has to characterize</w:t>
      </w:r>
      <w:r>
        <w:t xml:space="preserve"> </w:t>
      </w:r>
      <w:r>
        <w:t xml:space="preserve">the step at an aggregate burden above nominal as well as at nominal, and the worst-case</w:t>
      </w:r>
      <w:r>
        <w:t xml:space="preserve"> </w:t>
      </w:r>
      <w:r>
        <w:t xml:space="preserve">challenge below defines how that is done.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This step sets no quality attribute of its own, because every attribute it governs is formed</w:t>
      </w:r>
      <w:r>
        <w:t xml:space="preserve"> </w:t>
      </w:r>
      <w:r>
        <w:t xml:space="preserve">upstream and reduced here. The attributes in scope are therefore clearance attributes, and</w:t>
      </w:r>
      <w:r>
        <w:t xml:space="preserve"> </w:t>
      </w:r>
      <w:r>
        <w:t xml:space="preserve">they are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with their drug-substance acceptance criteria and with the</w:t>
      </w:r>
      <w:r>
        <w:t xml:space="preserve"> </w:t>
      </w:r>
      <w:r>
        <w:t xml:space="preserve">criticality assigned in the risk assessment (RA-001), which follows the continuum of</w:t>
      </w:r>
      <w:r>
        <w:t xml:space="preserve"> </w:t>
      </w:r>
      <w:r>
        <w:t xml:space="preserve">criticality of ICH Q9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this step controls or clears, with drug-substance acceptance criteria.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Aggregate determines the design of this study, because it is of high criticality, it is</w:t>
      </w:r>
      <w:r>
        <w:t xml:space="preserve"> </w:t>
      </w:r>
      <w:r>
        <w:t xml:space="preserve">reduced at this step alone, and its acceptance criterion is a drug-substance limit of</w:t>
      </w:r>
      <w:r>
        <w:t xml:space="preserve"> </w:t>
      </w:r>
      <w:r>
        <w:t xml:space="preserve">5 % HMW by SEC. Host cell protein is of moderate to high criticality</w:t>
      </w:r>
      <w:r>
        <w:t xml:space="preserve"> </w:t>
      </w:r>
      <w:r>
        <w:t xml:space="preserve">and is reduced at three steps. Protein A capture provides the largest single reduction</w:t>
      </w:r>
      <w:r>
        <w:t xml:space="preserve"> </w:t>
      </w:r>
      <w:r>
        <w:t xml:space="preserve">(PCR-005), this step provides a further reduction, and anion exchange provides the last</w:t>
      </w:r>
      <w:r>
        <w:t xml:space="preserve"> </w:t>
      </w:r>
      <w:r>
        <w:t xml:space="preserve">(PCR-008). This step’s contribution will be reported both as a clearance factor and as a</w:t>
      </w:r>
      <w:r>
        <w:t xml:space="preserve"> </w:t>
      </w:r>
      <w:r>
        <w:t xml:space="preserve">pool level, and neither figure can be judged in isolation from the other two steps.</w:t>
      </w:r>
    </w:p>
    <w:p>
      <w:pPr>
        <w:pStyle w:val="BodyText"/>
      </w:pPr>
      <w:r>
        <w:t xml:space="preserve">Residual DNA and leached Protein A are of low to very low criticality at drug-substance level</w:t>
      </w:r>
      <w:r>
        <w:t xml:space="preserve"> </w:t>
      </w:r>
      <w:r>
        <w:t xml:space="preserve">and are cleared with margin by the train as a whole. They will be measured across the step to</w:t>
      </w:r>
      <w:r>
        <w:t xml:space="preserve"> </w:t>
      </w:r>
      <w:r>
        <w:t xml:space="preserve">confirm the platform expectation stated above, but they are not responses of the designed</w:t>
      </w:r>
      <w:r>
        <w:t xml:space="preserve"> </w:t>
      </w:r>
      <w:r>
        <w:t xml:space="preserve">experiments, because no parameter in scope is expected to change them.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The pre-characterization risk assessment set the scope of this study (RA-001), and each</w:t>
      </w:r>
      <w:r>
        <w:t xml:space="preserve"> </w:t>
      </w:r>
      <w:r>
        <w:t xml:space="preserve">parameter was ranked there for its potential impact on quality attributes and for its</w:t>
      </w:r>
      <w:r>
        <w:t xml:space="preserve"> </w:t>
      </w:r>
      <w:r>
        <w:t xml:space="preserve">potential to interact with other parameters, with the combined score determining the study</w:t>
      </w:r>
      <w:r>
        <w:t xml:space="preserve"> </w:t>
      </w:r>
      <w:r>
        <w:t xml:space="preserve">type. Of the 5 parameters in scope, 4 were assigned</w:t>
      </w:r>
      <w:r>
        <w:t xml:space="preserve"> </w:t>
      </w:r>
      <w:r>
        <w:t xml:space="preserve">to the multivariate design and 1 to univariate assessment.</w:t>
      </w:r>
    </w:p>
    <w:p>
      <w:pPr>
        <w:pStyle w:val="BodyText"/>
      </w:pPr>
      <w:r>
        <w:t xml:space="preserve">The ranges to be studied are wider than the routine control ranges, and each characterization</w:t>
      </w:r>
      <w:r>
        <w:t xml:space="preserve"> </w:t>
      </w:r>
      <w:r>
        <w:t xml:space="preserve">range spans between 1.3 and 2.1 times the</w:t>
      </w:r>
      <w:r>
        <w:t xml:space="preserve"> </w:t>
      </w:r>
      <w:r>
        <w:t xml:space="preserve">width of the corresponding normal operating range (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). The widening serves two</w:t>
      </w:r>
      <w:r>
        <w:t xml:space="preserve"> </w:t>
      </w:r>
      <w:r>
        <w:t xml:space="preserve">purposes: it places the edges of the studied region far enough outside routine operation that</w:t>
      </w:r>
      <w:r>
        <w:t xml:space="preserve"> </w:t>
      </w:r>
      <w:r>
        <w:t xml:space="preserve">an excursion can be assessed against data, and it leaves room for later movement within the</w:t>
      </w:r>
      <w:r>
        <w:t xml:space="preserve"> </w:t>
      </w:r>
      <w:r>
        <w:t xml:space="preserve">design space without a new study.</w:t>
      </w:r>
    </w:p>
    <w:p>
      <w:pPr>
        <w:pStyle w:val="BodyText"/>
      </w:pPr>
      <w:r>
        <w:t xml:space="preserve">The rationale for each range is as follows.</w:t>
      </w:r>
    </w:p>
    <w:p>
      <w:pPr>
        <w:pStyle w:val="Compact"/>
        <w:numPr>
          <w:ilvl w:val="0"/>
          <w:numId w:val="1002"/>
        </w:numPr>
      </w:pPr>
      <w:r>
        <w:t xml:space="preserve">Protein load will be studied from 10 to 40 g/L resin, against a routine range of</w:t>
      </w:r>
      <w:r>
        <w:t xml:space="preserve"> </w:t>
      </w:r>
      <w:r>
        <w:t xml:space="preserve">18 to 32, because it is the parameter most likely to move in manufacture,</w:t>
      </w:r>
      <w:r>
        <w:t xml:space="preserve"> </w:t>
      </w:r>
      <w:r>
        <w:t xml:space="preserve">following the harvest titre and the recovery of the two preceding steps.</w:t>
      </w:r>
    </w:p>
    <w:p>
      <w:pPr>
        <w:pStyle w:val="Compact"/>
        <w:numPr>
          <w:ilvl w:val="0"/>
          <w:numId w:val="1002"/>
        </w:numPr>
      </w:pPr>
      <w:r>
        <w:t xml:space="preserve">Load and wash conductivity will be studied from 3 to 7 mS/cm, a range</w:t>
      </w:r>
      <w:r>
        <w:t xml:space="preserve"> </w:t>
      </w:r>
      <w:r>
        <w:t xml:space="preserve">that covers the buffer preparation tolerance together with the conductivity of the</w:t>
      </w:r>
      <w:r>
        <w:t xml:space="preserve"> </w:t>
      </w:r>
      <w:r>
        <w:t xml:space="preserve">neutralized feed, which varies with the volume of titrant used at the low-pH step.</w:t>
      </w:r>
    </w:p>
    <w:p>
      <w:pPr>
        <w:pStyle w:val="Compact"/>
        <w:numPr>
          <w:ilvl w:val="0"/>
          <w:numId w:val="1002"/>
        </w:numPr>
      </w:pPr>
      <w:r>
        <w:t xml:space="preserve">Elution buffer pH will be studied from 5.8 to 6.2 pH, a range that is</w:t>
      </w:r>
      <w:r>
        <w:t xml:space="preserve"> </w:t>
      </w:r>
      <w:r>
        <w:t xml:space="preserve">narrow in absolute terms because a step elution is sensitive to small changes in pH, and</w:t>
      </w:r>
      <w:r>
        <w:t xml:space="preserve"> </w:t>
      </w:r>
      <w:r>
        <w:t xml:space="preserve">that is still wider than the control range the commercial skid can hold.</w:t>
      </w:r>
    </w:p>
    <w:p>
      <w:pPr>
        <w:pStyle w:val="Compact"/>
        <w:numPr>
          <w:ilvl w:val="0"/>
          <w:numId w:val="1002"/>
        </w:numPr>
      </w:pPr>
      <w:r>
        <w:t xml:space="preserve">Elution stop collect will be studied from 0.5 to 1.5 OD desc., which spans</w:t>
      </w:r>
      <w:r>
        <w:t xml:space="preserve"> </w:t>
      </w:r>
      <w:r>
        <w:t xml:space="preserve">collection stops well before and well after the routine point on the descending edge of</w:t>
      </w:r>
      <w:r>
        <w:t xml:space="preserve"> </w:t>
      </w:r>
      <w:r>
        <w:t xml:space="preserve">the peak.</w:t>
      </w:r>
    </w:p>
    <w:p>
      <w:pPr>
        <w:pStyle w:val="Compact"/>
        <w:numPr>
          <w:ilvl w:val="0"/>
          <w:numId w:val="1002"/>
        </w:numPr>
      </w:pPr>
      <w:r>
        <w:t xml:space="preserve">Elution flow rate will be assessed univariately from 100 to 300 cm/hr, since it</w:t>
      </w:r>
      <w:r>
        <w:t xml:space="preserve"> </w:t>
      </w:r>
      <w:r>
        <w:t xml:space="preserve">acts through residence time and through the pressure drop across the bed and not through</w:t>
      </w:r>
      <w:r>
        <w:t xml:space="preserve"> </w:t>
      </w:r>
      <w:r>
        <w:t xml:space="preserve">the binding chemistry, so no interaction with the other parameters is expected.</w:t>
      </w:r>
    </w:p>
    <w:bookmarkEnd w:id="20"/>
    <w:bookmarkEnd w:id="21"/>
    <w:bookmarkStart w:id="29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executed on a scale-down model of the commercial column, qualified against</w:t>
      </w:r>
      <w:r>
        <w:t xml:space="preserve"> </w:t>
      </w:r>
      <w:r>
        <w:t xml:space="preserve">manufacturing-scale data under SOP-1001. The model holds the bed height, the linear velocity,</w:t>
      </w:r>
      <w:r>
        <w:t xml:space="preserve"> </w:t>
      </w:r>
      <w:r>
        <w:t xml:space="preserve">the load in grams per litre of resin and all buffer volumes expressed in column volumes, so</w:t>
      </w:r>
      <w:r>
        <w:t xml:space="preserve"> </w:t>
      </w:r>
      <w:r>
        <w:t xml:space="preserve">that the residence time and the ratio of impurity to available binding capacity match the</w:t>
      </w:r>
      <w:r>
        <w:t xml:space="preserve"> </w:t>
      </w:r>
      <w:r>
        <w:t xml:space="preserve">commercial step. Column efficiency will be verified before each block of runs by plate count</w:t>
      </w:r>
      <w:r>
        <w:t xml:space="preserve"> </w:t>
      </w:r>
      <w:r>
        <w:t xml:space="preserve">and peak asymmetry, and a column outside the acceptance criteria of SOP-2010 will be repacked</w:t>
      </w:r>
      <w:r>
        <w:t xml:space="preserve"> </w:t>
      </w:r>
      <w:r>
        <w:t xml:space="preserve">before use.</w:t>
      </w:r>
    </w:p>
    <w:p>
      <w:pPr>
        <w:pStyle w:val="BodyText"/>
      </w:pPr>
      <w:r>
        <w:t xml:space="preserve">Qualification will compare the scale-down model with the commercial-scale process at the</w:t>
      </w:r>
      <w:r>
        <w:t xml:space="preserve"> </w:t>
      </w:r>
      <w:r>
        <w:t xml:space="preserve">set-point condition, and the comparison covers step yield, pool volume, pool aggregate and</w:t>
      </w:r>
      <w:r>
        <w:t xml:space="preserve"> </w:t>
      </w:r>
      <w:r>
        <w:t xml:space="preserve">pool host cell protein, using replicate runs so that means are compared and not single</w:t>
      </w:r>
      <w:r>
        <w:t xml:space="preserve"> </w:t>
      </w:r>
      <w:r>
        <w:t xml:space="preserve">values. The model will be accepted when no statistically significant difference is found in</w:t>
      </w:r>
      <w:r>
        <w:t xml:space="preserve"> </w:t>
      </w:r>
      <w:r>
        <w:t xml:space="preserve">those attributes at alpha = 0.05. The qualification result will be reported in PCR-007 ahead</w:t>
      </w:r>
      <w:r>
        <w:t xml:space="preserve"> </w:t>
      </w:r>
      <w:r>
        <w:t xml:space="preserve">of any characterization result, because every claim in that report depends on it.</w:t>
      </w:r>
    </w:p>
    <w:p>
      <w:pPr>
        <w:pStyle w:val="BodyText"/>
      </w:pPr>
      <w:r>
        <w:t xml:space="preserve">Resin used in the study will be within the cycle range qualified under SOP-2008 and the cycle</w:t>
      </w:r>
      <w:r>
        <w:t xml:space="preserve"> </w:t>
      </w:r>
      <w:r>
        <w:t xml:space="preserve">number of each run will be recorded, since resin life-cycle is characterized separately and</w:t>
      </w:r>
      <w:r>
        <w:t xml:space="preserve"> </w:t>
      </w:r>
      <w:r>
        <w:t xml:space="preserve">is not a factor here.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step will be operated as described in SOP-2010, and each run comprises equilibration,</w:t>
      </w:r>
      <w:r>
        <w:t xml:space="preserve"> </w:t>
      </w:r>
      <w:r>
        <w:t xml:space="preserve">load, a post-load wash at the conductivity under study, a step elution, and a strip and</w:t>
      </w:r>
      <w:r>
        <w:t xml:space="preserve"> </w:t>
      </w:r>
      <w:r>
        <w:t xml:space="preserve">sanitization cycle. Product collection starts on the ascending edge of the elution peak at a</w:t>
      </w:r>
      <w:r>
        <w:t xml:space="preserve"> </w:t>
      </w:r>
      <w:r>
        <w:t xml:space="preserve">fixed absorbance threshold and ends at the stop collect set-point on the descending edge. The</w:t>
      </w:r>
      <w:r>
        <w:t xml:space="preserve"> </w:t>
      </w:r>
      <w:r>
        <w:t xml:space="preserve">start threshold is held at the platform value in every run, so that the pool boundary under</w:t>
      </w:r>
      <w:r>
        <w:t xml:space="preserve"> </w:t>
      </w:r>
      <w:r>
        <w:t xml:space="preserve">study is the stop point alone.</w:t>
      </w:r>
    </w:p>
    <w:p>
      <w:pPr>
        <w:pStyle w:val="BodyText"/>
      </w:pPr>
      <w:r>
        <w:t xml:space="preserve">Load material will be the neutralized and filtered pool from the low-pH viral inactivation</w:t>
      </w:r>
      <w:r>
        <w:t xml:space="preserve"> </w:t>
      </w:r>
      <w:r>
        <w:t xml:space="preserve">step, prepared as a single pooled lot so that feed variability does not confound the factor</w:t>
      </w:r>
      <w:r>
        <w:t xml:space="preserve"> </w:t>
      </w:r>
      <w:r>
        <w:t xml:space="preserve">effects. The pool will be characterized for aggregate, host cell protein, residual DNA and</w:t>
      </w:r>
      <w:r>
        <w:t xml:space="preserve"> </w:t>
      </w:r>
      <w:r>
        <w:t xml:space="preserve">leached Protein A before execution begins, and those values will be reported in PCR-007 as</w:t>
      </w:r>
      <w:r>
        <w:t xml:space="preserve"> </w:t>
      </w:r>
      <w:r>
        <w:t xml:space="preserve">the study feed composition. Aliquots that cannot be run on the day they are drawn will be</w:t>
      </w:r>
      <w:r>
        <w:t xml:space="preserve"> </w:t>
      </w:r>
      <w:r>
        <w:t xml:space="preserve">held under the storage conditions qualified in SOP-2010.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4 validated methods that support the study are listed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, and size</w:t>
      </w:r>
      <w:r>
        <w:t xml:space="preserve"> </w:t>
      </w:r>
      <w:r>
        <w:t xml:space="preserve">variants by SEC-HPLC (AMV-3011) is the primary one, reporting the high molecular weight</w:t>
      </w:r>
      <w:r>
        <w:t xml:space="preserve"> </w:t>
      </w:r>
      <w:r>
        <w:t xml:space="preserve">content of both the load and the pool. Host cell protein is measured by ELISA (AMV-3012),</w:t>
      </w:r>
      <w:r>
        <w:t xml:space="preserve"> </w:t>
      </w:r>
      <w:r>
        <w:t xml:space="preserve">residual DNA by qPCR (AMV-3014) and leached Protein A by ELISA (AMV-3016). Accuracy,</w:t>
      </w:r>
      <w:r>
        <w:t xml:space="preserve"> </w:t>
      </w:r>
      <w:r>
        <w:t xml:space="preserve">precision and reportable range are defined in each validation report and are not repeated</w:t>
      </w:r>
      <w:r>
        <w:t xml:space="preserve"> </w:t>
      </w:r>
      <w:r>
        <w:t xml:space="preserve">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used in the study.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Samples will be assayed in the analytical laboratory at the sending site, under the same</w:t>
      </w:r>
      <w:r>
        <w:t xml:space="preserve"> </w:t>
      </w:r>
      <w:r>
        <w:t xml:space="preserve">methods used for release testing. The centre-point replicates carry process and assay</w:t>
      </w:r>
      <w:r>
        <w:t xml:space="preserve"> </w:t>
      </w:r>
      <w:r>
        <w:t xml:space="preserve">variability together, so the pure-error term used in the lack-of-fit test includes the assay</w:t>
      </w:r>
      <w:r>
        <w:t xml:space="preserve"> </w:t>
      </w:r>
      <w:r>
        <w:t xml:space="preserve">contribution. Where an effect is statistically significant but small against that error,</w:t>
      </w:r>
      <w:r>
        <w:t xml:space="preserve"> </w:t>
      </w:r>
      <w:r>
        <w:t xml:space="preserve">PCR-007 will report it as such and will state the practical size of the change over the range</w:t>
      </w:r>
      <w:r>
        <w:t xml:space="preserve"> </w:t>
      </w:r>
      <w:r>
        <w:t xml:space="preserve">studied.</w:t>
      </w:r>
    </w:p>
    <w:bookmarkEnd w:id="25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Two samples will be taken from every run: the load sample from the prepared pool aliquot, and</w:t>
      </w:r>
      <w:r>
        <w:t xml:space="preserve"> </w:t>
      </w:r>
      <w:r>
        <w:t xml:space="preserve">the product sample from the collected eluate after mixing and before any hold.</w:t>
      </w:r>
    </w:p>
    <w:p>
      <w:pPr>
        <w:pStyle w:val="BodyText"/>
      </w:pPr>
      <w:r>
        <w:t xml:space="preserve">Aggregate and host cell protein will be measured on the load and on the pool of every run in</w:t>
      </w:r>
      <w:r>
        <w:t xml:space="preserve"> </w:t>
      </w:r>
      <w:r>
        <w:t xml:space="preserve">both designs, since they are the responses of the fitted models. Residual DNA and leached</w:t>
      </w:r>
      <w:r>
        <w:t xml:space="preserve"> </w:t>
      </w:r>
      <w:r>
        <w:t xml:space="preserve">Protein A will be measured on the centre-point runs and on the runs at the extremes of</w:t>
      </w:r>
      <w:r>
        <w:t xml:space="preserve"> </w:t>
      </w:r>
      <w:r>
        <w:t xml:space="preserve">protein load and conductivity, which is sufficient to confirm the clearance expectation</w:t>
      </w:r>
      <w:r>
        <w:t xml:space="preserve"> </w:t>
      </w:r>
      <w:r>
        <w:t xml:space="preserve">stated above without adding assay burden that supports no model. Step yield will be</w:t>
      </w:r>
      <w:r>
        <w:t xml:space="preserve"> </w:t>
      </w:r>
      <w:r>
        <w:t xml:space="preserve">calculated for every run from the pool volume and the pool concentration.</w:t>
      </w:r>
    </w:p>
    <w:p>
      <w:pPr>
        <w:pStyle w:val="BodyText"/>
      </w:pPr>
      <w:r>
        <w:t xml:space="preserve">The two designs carry different numbers of centre points, in that the screening design</w:t>
      </w:r>
      <w:r>
        <w:t xml:space="preserve"> </w:t>
      </w:r>
      <w:r>
        <w:t xml:space="preserve">carries 3 and the response-surface design carries</w:t>
      </w:r>
      <w:r>
        <w:t xml:space="preserve"> </w:t>
      </w:r>
      <w:r>
        <w:t xml:space="preserve">4, which reflects the greater weight the response-surface analysis</w:t>
      </w:r>
      <w:r>
        <w:t xml:space="preserve"> </w:t>
      </w:r>
      <w:r>
        <w:t xml:space="preserve">places on the pure-error estimate. The whole sampling plan is summarized in</w:t>
      </w:r>
      <w:r>
        <w:t xml:space="preserve"> 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ampl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sampling and testing per run.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Attribute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Load (pool aliquot)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 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DNA, leached Protein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AMV-3014, AMV-3016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Centre points and load/conductivity extremes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 pool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Volume and concentration (step yield)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run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models will be fitted on coded factors, using coded levels −1/0/+1, where the centre</w:t>
      </w:r>
      <w:r>
        <w:t xml:space="preserve"> </w:t>
      </w:r>
      <w:r>
        <w:t xml:space="preserve">level is the set-point and ±1 are the edges of the characterization range. The screening</w:t>
      </w:r>
      <w:r>
        <w:t xml:space="preserve"> </w:t>
      </w:r>
      <w:r>
        <w:t xml:space="preserve">design will be analysed by ordinary least squares, with all main effects and all two-factor</w:t>
      </w:r>
      <w:r>
        <w:t xml:space="preserve"> </w:t>
      </w:r>
      <w:r>
        <w:t xml:space="preserve">interactions in the model. An effect</w:t>
      </w:r>
      <w:r>
        <w:t xml:space="preserve"> </w:t>
      </w:r>
      <w:r>
        <w:t xml:space="preserve">is reported as twice the coded coefficient, so that it expresses the change in the response</w:t>
      </w:r>
      <w:r>
        <w:t xml:space="preserve"> </w:t>
      </w:r>
      <w:r>
        <w:t xml:space="preserve">across the full studied range of the factor, and significance will be assessed at</w:t>
      </w:r>
      <w:r>
        <w:t xml:space="preserve"> </w:t>
      </w:r>
      <w:r>
        <w:t xml:space="preserve">alpha = 0.05.</w:t>
      </w:r>
    </w:p>
    <w:p>
      <w:pPr>
        <w:pStyle w:val="BodyText"/>
      </w:pPr>
      <w:r>
        <w:t xml:space="preserve">The screening analysis identifies which factors and interactions are active. It does not</w:t>
      </w:r>
      <w:r>
        <w:t xml:space="preserve"> </w:t>
      </w:r>
      <w:r>
        <w:t xml:space="preserve">provide the predictive model. The response-surface design adds the axial runs needed to</w:t>
      </w:r>
      <w:r>
        <w:t xml:space="preserve"> </w:t>
      </w:r>
      <w:r>
        <w:t xml:space="preserve">estimate curvature, and the full quadratic model fitted to that design is the model used for</w:t>
      </w:r>
      <w:r>
        <w:t xml:space="preserve"> </w:t>
      </w:r>
      <w:r>
        <w:t xml:space="preserve">the operating region, for the proven acceptable ranges and for every prediction reported in</w:t>
      </w:r>
      <w:r>
        <w:t xml:space="preserve"> </w:t>
      </w:r>
      <w:r>
        <w:t xml:space="preserve">PCR-007. That distinction between the two models will be stated in the report wherever a</w:t>
      </w:r>
      <w:r>
        <w:t xml:space="preserve"> </w:t>
      </w:r>
      <w:r>
        <w:t xml:space="preserve">model is used.</w:t>
      </w:r>
    </w:p>
    <w:p>
      <w:pPr>
        <w:pStyle w:val="BodyText"/>
      </w:pPr>
      <w:r>
        <w:t xml:space="preserve">Model adequacy will be judged on four criteria: a significant model F test; a lack-of-fit F</w:t>
      </w:r>
      <w:r>
        <w:t xml:space="preserve"> </w:t>
      </w:r>
      <w:r>
        <w:t xml:space="preserve">test that is not significant against the pure error from the centre points (</w:t>
      </w:r>
      <w:hyperlink w:anchor="tbl-sampling">
        <w:r>
          <w:rPr>
            <w:rStyle w:val="Hyperlink"/>
          </w:rPr>
          <w:t xml:space="preserve">Table 6</w:t>
        </w:r>
      </w:hyperlink>
      <w:r>
        <w:t xml:space="preserve">);</w:t>
      </w:r>
      <w:r>
        <w:t xml:space="preserve"> </w:t>
      </w:r>
      <w:r>
        <w:t xml:space="preserve">agreement between the adjusted and the predicted coefficient of determination (computed from</w:t>
      </w:r>
      <w:r>
        <w:t xml:space="preserve"> </w:t>
      </w:r>
      <w:r>
        <w:t xml:space="preserve">PRESS); and residual diagnostics showing no structure against the fitted values and no material</w:t>
      </w:r>
      <w:r>
        <w:t xml:space="preserve"> </w:t>
      </w:r>
      <w:r>
        <w:t xml:space="preserve">departure from normality. A model that fails on lack of fit will be augmented before it is</w:t>
      </w:r>
      <w:r>
        <w:t xml:space="preserve"> </w:t>
      </w:r>
      <w:r>
        <w:t xml:space="preserve">used, and PCR-007 will describe the augmentation. A response for which no factor is active</w:t>
      </w:r>
      <w:r>
        <w:t xml:space="preserve"> </w:t>
      </w:r>
      <w:r>
        <w:t xml:space="preserve">will be reported as robust over the ranges studied, and that absence of effect will be</w:t>
      </w:r>
      <w:r>
        <w:t xml:space="preserve"> </w:t>
      </w:r>
      <w:r>
        <w:t xml:space="preserve">retained in the knowledge space as evidence of robustness.</w:t>
      </w:r>
    </w:p>
    <w:p>
      <w:pPr>
        <w:pStyle w:val="BodyText"/>
      </w:pPr>
      <w:r>
        <w:t xml:space="preserve">Statements about assurance will be made with the other parameters varying and not held. The</w:t>
      </w:r>
      <w:r>
        <w:t xml:space="preserve"> </w:t>
      </w:r>
      <w:r>
        <w:t xml:space="preserve">proven acceptable range analysis propagates the normal operating ranges of the remaining</w:t>
      </w:r>
      <w:r>
        <w:t xml:space="preserve"> </w:t>
      </w:r>
      <w:r>
        <w:t xml:space="preserve">parameters by Monte-Carlo simulation, using 2,000 draws at each of</w:t>
      </w:r>
      <w:r>
        <w:t xml:space="preserve"> </w:t>
      </w:r>
      <w:r>
        <w:t xml:space="preserve">81 points across the characterization range of the parameter under</w:t>
      </w:r>
      <w:r>
        <w:t xml:space="preserve"> </w:t>
      </w:r>
      <w:r>
        <w:t xml:space="preserve">analysis.</w:t>
      </w:r>
    </w:p>
    <w:bookmarkEnd w:id="28"/>
    <w:bookmarkEnd w:id="29"/>
    <w:bookmarkStart w:id="37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The design has to do two things: separate the effects of parameters that are known to act on</w:t>
      </w:r>
      <w:r>
        <w:t xml:space="preserve"> </w:t>
      </w:r>
      <w:r>
        <w:t xml:space="preserve">the same attribute, and describe the curvature that a clearance step shows near its limits.</w:t>
      </w:r>
      <w:r>
        <w:t xml:space="preserve"> </w:t>
      </w:r>
      <w:r>
        <w:t xml:space="preserve">The parameters, their set-points, their characterization ranges, their normal operating</w:t>
      </w:r>
      <w:r>
        <w:t xml:space="preserve"> </w:t>
      </w:r>
      <w:r>
        <w:t xml:space="preserve">ranges and their assigned study type are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classification appears</w:t>
      </w:r>
      <w:r>
        <w:t xml:space="preserve"> </w:t>
      </w:r>
      <w:r>
        <w:t xml:space="preserve">there, because classification is an outcome of the study and is assigned in PCR-007.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 in scope, with the ranges to be studied and the assigned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968"/>
              <w:gridCol w:w="1144"/>
              <w:gridCol w:w="1496"/>
              <w:gridCol w:w="968"/>
              <w:gridCol w:w="123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4 multivariate parameters are coded A to D in the designs and in every</w:t>
      </w:r>
      <w:r>
        <w:t xml:space="preserve"> </w:t>
      </w:r>
      <w:r>
        <w:t xml:space="preserve">table of PCR-007, as set out in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. Elution flow rate does not appear there, because</w:t>
      </w:r>
      <w:r>
        <w:t xml:space="preserve"> </w:t>
      </w:r>
      <w:r>
        <w:t xml:space="preserve">it is assessed one factor at a time.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Factor legend for the multivariate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design is a full two-level factorial in the 4 multivariate</w:t>
      </w:r>
      <w:r>
        <w:t xml:space="preserve"> </w:t>
      </w:r>
      <w:r>
        <w:t xml:space="preserve">parameters with 3 centre points, giving 19 runs</w:t>
      </w:r>
      <w:r>
        <w:t xml:space="preserve"> </w:t>
      </w:r>
      <w:r>
        <w:t xml:space="preserve">(Appendix A). It estimates all 4 main effects and all</w:t>
      </w:r>
      <w:r>
        <w:t xml:space="preserve"> </w:t>
      </w:r>
      <w:r>
        <w:t xml:space="preserve">6 two-factor interactions without aliasing. A resolution IV fraction</w:t>
      </w:r>
      <w:r>
        <w:t xml:space="preserve"> </w:t>
      </w:r>
      <w:r>
        <w:t xml:space="preserve">would have cost fewer runs, but it would confound the two-factor interactions in pairs, and</w:t>
      </w:r>
      <w:r>
        <w:t xml:space="preserve"> </w:t>
      </w:r>
      <w:r>
        <w:t xml:space="preserve">the interaction between protein load and conductivity is the one result this study cannot</w:t>
      </w:r>
      <w:r>
        <w:t xml:space="preserve"> </w:t>
      </w:r>
      <w:r>
        <w:t xml:space="preserve">leave confounded.</w:t>
      </w:r>
    </w:p>
    <w:p>
      <w:pPr>
        <w:pStyle w:val="BodyText"/>
      </w:pPr>
      <w:r>
        <w:t xml:space="preserve">Runs will be executed in random order (SOP-1002), and the centre points will be distributed</w:t>
      </w:r>
      <w:r>
        <w:t xml:space="preserve"> </w:t>
      </w:r>
      <w:r>
        <w:t xml:space="preserve">through the run order so that any drift over the execution window appears in the pure-error</w:t>
      </w:r>
      <w:r>
        <w:t xml:space="preserve"> </w:t>
      </w:r>
      <w:r>
        <w:t xml:space="preserve">estimate and not in a factor effect.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design is a face-centred central composite in the same</w:t>
      </w:r>
      <w:r>
        <w:t xml:space="preserve"> </w:t>
      </w:r>
      <w:r>
        <w:t xml:space="preserve">4 parameters (Appendix B). It comprises 16</w:t>
      </w:r>
      <w:r>
        <w:t xml:space="preserve"> </w:t>
      </w:r>
      <w:r>
        <w:t xml:space="preserve">factorial runs, 8 axial runs at the faces of the cube and</w:t>
      </w:r>
      <w:r>
        <w:t xml:space="preserve"> </w:t>
      </w:r>
      <w:r>
        <w:t xml:space="preserve">4 centre points, giving 28 runs. The axial runs</w:t>
      </w:r>
      <w:r>
        <w:t xml:space="preserve"> </w:t>
      </w:r>
      <w:r>
        <w:t xml:space="preserve">sit on the faces and not outside the cube, so that no run is executed outside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Together the two designs comprise</w:t>
      </w:r>
      <w:r>
        <w:t xml:space="preserve"> </w:t>
      </w:r>
      <w:r>
        <w:t xml:space="preserve">47 runs, and both will be executed on the same feed pool.</w:t>
      </w:r>
    </w:p>
    <w:p>
      <w:pPr>
        <w:pStyle w:val="BodyText"/>
      </w:pPr>
      <w:r>
        <w:t xml:space="preserve">The quadratic terms matter most for aggregate, whose pool level is the load level divided by</w:t>
      </w:r>
      <w:r>
        <w:t xml:space="preserve"> </w:t>
      </w:r>
      <w:r>
        <w:t xml:space="preserve">the clearance the step achieves, so a proportional loss of clearance produces a rise in the</w:t>
      </w:r>
      <w:r>
        <w:t xml:space="preserve"> </w:t>
      </w:r>
      <w:r>
        <w:t xml:space="preserve">pool that is more than proportional. A first-order model would describe that only near the</w:t>
      </w:r>
      <w:r>
        <w:t xml:space="preserve"> </w:t>
      </w:r>
      <w:r>
        <w:t xml:space="preserve">centre of the region, and an operating region has to be defined at its edges.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Elution flow rate will be assessed one factor at a time at the low, centre and high settings</w:t>
      </w:r>
      <w:r>
        <w:t xml:space="preserve"> </w:t>
      </w:r>
      <w:r>
        <w:t xml:space="preserve">of its range, with the 4 multivariate parameters held at their set-points. Each setting</w:t>
      </w:r>
      <w:r>
        <w:t xml:space="preserve"> </w:t>
      </w:r>
      <w:r>
        <w:t xml:space="preserve">will be run in duplicate. Flow is expected to act on the separation only through residence</w:t>
      </w:r>
      <w:r>
        <w:t xml:space="preserve"> </w:t>
      </w:r>
      <w:r>
        <w:t xml:space="preserve">time and pressure drop, and platform experience gives no reason to expect an interaction with</w:t>
      </w:r>
      <w:r>
        <w:t xml:space="preserve"> </w:t>
      </w:r>
      <w:r>
        <w:t xml:space="preserve">the binding chemistry.</w:t>
      </w:r>
    </w:p>
    <w:p>
      <w:pPr>
        <w:pStyle w:val="BodyText"/>
      </w:pPr>
      <w:r>
        <w:t xml:space="preserve">The assessment carries a decision rule. If a flow setting changes pool aggregate or pool host</w:t>
      </w:r>
      <w:r>
        <w:t xml:space="preserve"> </w:t>
      </w:r>
      <w:r>
        <w:t xml:space="preserve">cell protein by more than the centre-point variability of the response-surface design, flow</w:t>
      </w:r>
      <w:r>
        <w:t xml:space="preserve"> </w:t>
      </w:r>
      <w:r>
        <w:t xml:space="preserve">will be carried into a follow-up multivariate study, and PCR-007 will state that the region</w:t>
      </w:r>
      <w:r>
        <w:t xml:space="preserve"> </w:t>
      </w:r>
      <w:r>
        <w:t xml:space="preserve">defined here does not cover flow.</w:t>
      </w:r>
    </w:p>
    <w:bookmarkEnd w:id="35"/>
    <w:bookmarkStart w:id="36" w:name="worst-case-aggregate-challenge"/>
    <w:p>
      <w:pPr>
        <w:pStyle w:val="Heading2"/>
      </w:pPr>
      <w:r>
        <w:t xml:space="preserve">6.5 Worst-case aggregate challenge</w:t>
      </w:r>
    </w:p>
    <w:p>
      <w:pPr>
        <w:pStyle w:val="FirstParagraph"/>
      </w:pPr>
      <w:r>
        <w:t xml:space="preserve">Executing both designs on one feed pool controls feed variability, and it leaves one question</w:t>
      </w:r>
      <w:r>
        <w:t xml:space="preserve"> </w:t>
      </w:r>
      <w:r>
        <w:t xml:space="preserve">open. It does not show whether the step still meets the aggregate criterion when the material</w:t>
      </w:r>
      <w:r>
        <w:t xml:space="preserve"> </w:t>
      </w:r>
      <w:r>
        <w:t xml:space="preserve">it receives is worse than nominal. Since no downstream step reduces aggregate, that question</w:t>
      </w:r>
      <w:r>
        <w:t xml:space="preserve"> </w:t>
      </w:r>
      <w:r>
        <w:t xml:space="preserve">has to be answered here.</w:t>
      </w:r>
    </w:p>
    <w:p>
      <w:pPr>
        <w:pStyle w:val="BodyText"/>
      </w:pPr>
      <w:r>
        <w:t xml:space="preserve">A worst-case challenge will therefore be run separately from the designed experiments. The</w:t>
      </w:r>
      <w:r>
        <w:t xml:space="preserve"> </w:t>
      </w:r>
      <w:r>
        <w:t xml:space="preserve">challenge feed will be prepared by blending the study pool with material of elevated high</w:t>
      </w:r>
      <w:r>
        <w:t xml:space="preserve"> </w:t>
      </w:r>
      <w:r>
        <w:t xml:space="preserve">molecular weight content, generated by extending the low-pH hold of the same intermediate</w:t>
      </w:r>
      <w:r>
        <w:t xml:space="preserve"> </w:t>
      </w:r>
      <w:r>
        <w:t xml:space="preserve">(PCR-006), to an aggregate level at the drug-substance limit of 5 %</w:t>
      </w:r>
      <w:r>
        <w:t xml:space="preserve"> </w:t>
      </w:r>
      <w:r>
        <w:t xml:space="preserve">HMW. That is a conservative bound on any material this step can be asked to process. The</w:t>
      </w:r>
      <w:r>
        <w:t xml:space="preserve"> </w:t>
      </w:r>
      <w:r>
        <w:t xml:space="preserve">intermediate entering the step at nominal conditions carries about</w:t>
      </w:r>
      <w:r>
        <w:t xml:space="preserve"> </w:t>
      </w:r>
      <w:r>
        <w:t xml:space="preserve">1.9 % HMW (PCR-006), so the challenge loads the step at about</w:t>
      </w:r>
      <w:r>
        <w:t xml:space="preserve"> </w:t>
      </w:r>
      <w:r>
        <w:t xml:space="preserve">2.6 times the expected burden.</w:t>
      </w:r>
    </w:p>
    <w:p>
      <w:pPr>
        <w:pStyle w:val="BodyText"/>
      </w:pPr>
      <w:r>
        <w:t xml:space="preserve">The challenge will be run in triplicate at the corner of the characterized region that the</w:t>
      </w:r>
      <w:r>
        <w:t xml:space="preserve"> </w:t>
      </w:r>
      <w:r>
        <w:t xml:space="preserve">fitted response-surface model identifies as least favourable for aggregate clearance, and</w:t>
      </w:r>
      <w:r>
        <w:t xml:space="preserve"> </w:t>
      </w:r>
      <w:r>
        <w:t xml:space="preserve">once at the set-point condition on the same feed for reference. Its acceptance criterion is</w:t>
      </w:r>
      <w:r>
        <w:t xml:space="preserve"> </w:t>
      </w:r>
      <w:r>
        <w:t xml:space="preserve">given below.</w:t>
      </w:r>
    </w:p>
    <w:bookmarkEnd w:id="36"/>
    <w:bookmarkEnd w:id="37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will be judged against criteria fixed before execution. They fall into three</w:t>
      </w:r>
      <w:r>
        <w:t xml:space="preserve"> </w:t>
      </w:r>
      <w:r>
        <w:t xml:space="preserve">groups: the qualification of the scale-down model, the adequacy of the fitted models, and the</w:t>
      </w:r>
      <w:r>
        <w:t xml:space="preserve"> </w:t>
      </w:r>
      <w:r>
        <w:t xml:space="preserve">quality outcome at the product pool.</w:t>
      </w:r>
    </w:p>
    <w:p>
      <w:pPr>
        <w:pStyle w:val="BodyText"/>
      </w:pPr>
      <w:r>
        <w:t xml:space="preserve">The scale-down model criteria are given above. No characterization result will be interpreted</w:t>
      </w:r>
      <w:r>
        <w:t xml:space="preserve"> </w:t>
      </w:r>
      <w:r>
        <w:t xml:space="preserve">until the model has been qualified against manufacturing-scale data.</w:t>
      </w:r>
    </w:p>
    <w:p>
      <w:pPr>
        <w:pStyle w:val="BodyText"/>
      </w:pPr>
      <w:r>
        <w:t xml:space="preserve">The model adequacy criteria are the four given above. A response whose response-surface model</w:t>
      </w:r>
      <w:r>
        <w:t xml:space="preserve"> </w:t>
      </w:r>
      <w:r>
        <w:t xml:space="preserve">meets all four will be used for prediction, for the operating region and for the proven</w:t>
      </w:r>
      <w:r>
        <w:t xml:space="preserve"> </w:t>
      </w:r>
      <w:r>
        <w:t xml:space="preserve">acceptable ranges. A response whose model fails one of them will be reported with the failure</w:t>
      </w:r>
      <w:r>
        <w:t xml:space="preserve"> </w:t>
      </w:r>
      <w:r>
        <w:t xml:space="preserve">stated, and any range claim resting on it will be restricted to the conditions actually</w:t>
      </w:r>
      <w:r>
        <w:t xml:space="preserve"> </w:t>
      </w:r>
      <w:r>
        <w:t xml:space="preserve">tested.</w:t>
      </w:r>
    </w:p>
    <w:p>
      <w:pPr>
        <w:pStyle w:val="BodyText"/>
      </w:pPr>
      <w:r>
        <w:t xml:space="preserve">The quality criteria are in-process limits derived from the drug-substance specifications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Pool aggregate is held below the specification of 5 % HMW</w:t>
      </w:r>
      <w:r>
        <w:t xml:space="preserve"> </w:t>
      </w:r>
      <w:r>
        <w:t xml:space="preserve">by an assurance margin, since no later step removes aggregate. Pool host cell protein is</w:t>
      </w:r>
      <w:r>
        <w:t xml:space="preserve"> </w:t>
      </w:r>
      <w:r>
        <w:t xml:space="preserve">assessed against a limit derived from the drug-substance limit of</w:t>
      </w:r>
      <w:r>
        <w:t xml:space="preserve"> </w:t>
      </w:r>
      <w:r>
        <w:t xml:space="preserve">100 ng/mg carried back through the anion exchange clearance, and this</w:t>
      </w:r>
      <w:r>
        <w:t xml:space="preserve"> </w:t>
      </w:r>
      <w:r>
        <w:t xml:space="preserve">step is one of three that determine whether the specification is met.</w:t>
      </w:r>
    </w:p>
    <w:p>
      <w:pPr>
        <w:pStyle w:val="BodyText"/>
      </w:pPr>
      <w:r>
        <w:t xml:space="preserve">Host cell protein needs a second criterion, because a single step cannot be judged alone</w:t>
      </w:r>
      <w:r>
        <w:t xml:space="preserve"> </w:t>
      </w:r>
      <w:r>
        <w:t xml:space="preserve">against a limit that three steps deliver together. The pool level will be assessed against</w:t>
      </w:r>
      <w:r>
        <w:t xml:space="preserve"> </w:t>
      </w:r>
      <w:r>
        <w:t xml:space="preserve">the drug-substance limit, and it will also be assessed as a clearance factor relative to the</w:t>
      </w:r>
      <w:r>
        <w:t xml:space="preserve"> </w:t>
      </w:r>
      <w:r>
        <w:t xml:space="preserve">measured load level. Where the pool level exceeds the drug-substance limit somewhere in the</w:t>
      </w:r>
      <w:r>
        <w:t xml:space="preserve"> </w:t>
      </w:r>
      <w:r>
        <w:t xml:space="preserve">studied region, that condition is not by itself a failure of the step. It becomes a</w:t>
      </w:r>
      <w:r>
        <w:t xml:space="preserve"> </w:t>
      </w:r>
      <w:r>
        <w:t xml:space="preserve">constraint on the operating conditions of the anion exchange step, and the two steps will be</w:t>
      </w:r>
      <w:r>
        <w:t xml:space="preserve"> </w:t>
      </w:r>
      <w:r>
        <w:t xml:space="preserve">reconciled in PCMR-001. One alternative was considered and rejected. Setting an arbitrary</w:t>
      </w:r>
      <w:r>
        <w:t xml:space="preserve"> </w:t>
      </w:r>
      <w:r>
        <w:t xml:space="preserve">in-process limit on host cell protein at this step would be simpler to administer, but it</w:t>
      </w:r>
      <w:r>
        <w:t xml:space="preserve"> </w:t>
      </w:r>
      <w:r>
        <w:t xml:space="preserve">would constrain the operating region without evidence that the constraint is needed.</w:t>
      </w:r>
    </w:p>
    <w:p>
      <w:pPr>
        <w:pStyle w:val="BodyText"/>
      </w:pPr>
      <w:r>
        <w:t xml:space="preserve">The worst-case challenge has a single criterion. Pool aggregate must be at or below</w:t>
      </w:r>
      <w:r>
        <w:t xml:space="preserve"> </w:t>
      </w:r>
      <w:r>
        <w:t xml:space="preserve">5 % HMW in every challenge run, with the feed at the drug-substance</w:t>
      </w:r>
      <w:r>
        <w:t xml:space="preserve"> </w:t>
      </w:r>
      <w:r>
        <w:t xml:space="preserve">limit.</w:t>
      </w:r>
    </w:p>
    <w:p>
      <w:pPr>
        <w:pStyle w:val="BodyText"/>
      </w:pPr>
      <w:r>
        <w:t xml:space="preserve">Step yield carries no drug-substance specification and is characterized as a process</w:t>
      </w:r>
      <w:r>
        <w:t xml:space="preserve"> </w:t>
      </w:r>
      <w:r>
        <w:t xml:space="preserve">performance attribute. A yield loss at any studied condition will be reported together with</w:t>
      </w:r>
      <w:r>
        <w:t xml:space="preserve"> </w:t>
      </w:r>
      <w:r>
        <w:t xml:space="preserve">the conditions that produce it.</w:t>
      </w:r>
    </w:p>
    <w:p>
      <w:pPr>
        <w:pStyle w:val="BodyText"/>
      </w:pPr>
      <w:r>
        <w:t xml:space="preserve">The study will be reported as complete when the scale-down model has been qualified, both</w:t>
      </w:r>
      <w:r>
        <w:t xml:space="preserve"> </w:t>
      </w:r>
      <w:r>
        <w:t xml:space="preserve">designs have been executed and analysed, the univariate assessment and the worst-case</w:t>
      </w:r>
      <w:r>
        <w:t xml:space="preserve"> </w:t>
      </w:r>
      <w:r>
        <w:t xml:space="preserve">challenge have been executed, and every parameter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has been classified under</w:t>
      </w:r>
      <w:r>
        <w:t xml:space="preserve"> </w:t>
      </w:r>
      <w:r>
        <w:t xml:space="preserve">SOP-4001. If a design has to be repeated, the reason, the disposition of the affected data</w:t>
      </w:r>
      <w:r>
        <w:t xml:space="preserve"> </w:t>
      </w:r>
      <w:r>
        <w:t xml:space="preserve">and the re-executed design will be described in the deviations section of PCR-007.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will be determined for each parameter and each governed attribute.</w:t>
      </w:r>
      <w:r>
        <w:t xml:space="preserve"> </w:t>
      </w:r>
      <w:r>
        <w:t xml:space="preserve">The design space is multivariate and a proven acceptable range is not, so the two will be</w:t>
      </w:r>
      <w:r>
        <w:t xml:space="preserve"> </w:t>
      </w:r>
      <w:r>
        <w:t xml:space="preserve">reported side by side and neither replaces the other.</w:t>
      </w:r>
    </w:p>
    <w:p>
      <w:pPr>
        <w:pStyle w:val="BodyText"/>
      </w:pPr>
      <w:r>
        <w:t xml:space="preserve">The acceptance basis is the in-process limit for this pool and not the drug-substance</w:t>
      </w:r>
      <w:r>
        <w:t xml:space="preserve"> </w:t>
      </w:r>
      <w:r>
        <w:t xml:space="preserve">specification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Both attributes this step governs are carried forward, aggregate</w:t>
      </w:r>
      <w:r>
        <w:t xml:space="preserve"> </w:t>
      </w:r>
      <w:r>
        <w:t xml:space="preserve">to the drug substance without further removal and host cell protein to anion exchange, so</w:t>
      </w:r>
      <w:r>
        <w:t xml:space="preserve"> </w:t>
      </w:r>
      <w:r>
        <w:t xml:space="preserve">each limit is derived from the drug-substance criterion by carrying it back through whatever</w:t>
      </w:r>
      <w:r>
        <w:t xml:space="preserve"> </w:t>
      </w:r>
      <w:r>
        <w:t xml:space="preserve">clearance still follows and then dividing by an assurance margin. For aggregate no clearance</w:t>
      </w:r>
      <w:r>
        <w:t xml:space="preserve"> </w:t>
      </w:r>
      <w:r>
        <w:t xml:space="preserve">follows, so the margin is the whole of the protection. This step has no viral clearance</w:t>
      </w:r>
      <w:r>
        <w:t xml:space="preserve"> </w:t>
      </w:r>
      <w:r>
        <w:t xml:space="preserve">response, so no criterion is back-calculated from a cumulative clearance requirement.</w:t>
      </w:r>
    </w:p>
    <w:p>
      <w:pPr>
        <w:pStyle w:val="BodyText"/>
      </w:pPr>
      <w:r>
        <w:t xml:space="preserve">Two analyses will be run for each parameter and each attribute. The first holds the remaining</w:t>
      </w:r>
      <w:r>
        <w:t xml:space="preserve"> </w:t>
      </w:r>
      <w:r>
        <w:t xml:space="preserve">parameters at their set-points and scans the parameter across its characterization range, and</w:t>
      </w:r>
      <w:r>
        <w:t xml:space="preserve"> </w:t>
      </w:r>
      <w:r>
        <w:t xml:space="preserve">it gives the range over which the fitted model predicts an in-limit result under otherwise</w:t>
      </w:r>
      <w:r>
        <w:t xml:space="preserve"> </w:t>
      </w:r>
      <w:r>
        <w:t xml:space="preserve">nominal operation. The second varies the remaining parameters within their normal operating</w:t>
      </w:r>
      <w:r>
        <w:t xml:space="preserve"> </w:t>
      </w:r>
      <w:r>
        <w:t xml:space="preserve">ranges by Monte-Carlo simulation of the fitted model, and it gives the range that survives</w:t>
      </w:r>
      <w:r>
        <w:t xml:space="preserve"> </w:t>
      </w:r>
      <w:r>
        <w:t xml:space="preserve">routine co-variation of everything else.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around the set-point over which the predicted response meets the</w:t>
      </w:r>
      <w:r>
        <w:t xml:space="preserve"> </w:t>
      </w:r>
      <w:r>
        <w:t xml:space="preserve">acceptance criterion. Where the two analyses agree across the whole characterization range,</w:t>
      </w:r>
      <w:r>
        <w:t xml:space="preserve"> </w:t>
      </w:r>
      <w:r>
        <w:t xml:space="preserve">the studied range is proven acceptable and robust to co-variation, and the binding constraint</w:t>
      </w:r>
      <w:r>
        <w:t xml:space="preserve"> </w:t>
      </w:r>
      <w:r>
        <w:t xml:space="preserve">on operation is the multivariate design space and not the range of any single parameter.</w:t>
      </w:r>
      <w:r>
        <w:t xml:space="preserve"> </w:t>
      </w:r>
      <w:r>
        <w:t xml:space="preserve">Where the second analysis is narrower, PCR-007 will name the attribute that binds it and will</w:t>
      </w:r>
      <w:r>
        <w:t xml:space="preserve"> </w:t>
      </w:r>
      <w:r>
        <w:t xml:space="preserve">give the remaining margin to the set-point.</w:t>
      </w:r>
    </w:p>
    <w:p>
      <w:pPr>
        <w:pStyle w:val="BodyText"/>
      </w:pPr>
      <w:r>
        <w:t xml:space="preserve">Each governed attribute will be presented with a plot of the response against its governing</w:t>
      </w:r>
      <w:r>
        <w:t xml:space="preserve"> </w:t>
      </w:r>
      <w:r>
        <w:t xml:space="preserve">parameter, with the acceptance limit drawn, the acceptable region shaded, and the set-point</w:t>
      </w:r>
      <w:r>
        <w:t xml:space="preserve"> </w:t>
      </w:r>
      <w:r>
        <w:t xml:space="preserve">and normal operating range marked. The two analyses will appear as the two panels of that</w:t>
      </w:r>
      <w:r>
        <w:t xml:space="preserve"> </w:t>
      </w:r>
      <w:r>
        <w:t xml:space="preserve">plot.</w:t>
      </w:r>
    </w:p>
    <w:p>
      <w:pPr>
        <w:pStyle w:val="BodyText"/>
      </w:pPr>
      <w:r>
        <w:t xml:space="preserve">Both analyses rest on the fitted response-surface model, so both are bounded by the</w:t>
      </w:r>
      <w:r>
        <w:t xml:space="preserve"> </w:t>
      </w:r>
      <w:r>
        <w:t xml:space="preserve">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by the validity of the scale-down model. Neither</w:t>
      </w:r>
      <w:r>
        <w:t xml:space="preserve"> </w:t>
      </w:r>
      <w:r>
        <w:t xml:space="preserve">extrapolates beyond the studied region. Neither replaces the confirmation of performance at</w:t>
      </w:r>
      <w:r>
        <w:t xml:space="preserve"> </w:t>
      </w:r>
      <w:r>
        <w:t xml:space="preserve">commercial scale, which is covered by PTP-001.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Study records will be maintained under the site data-integrity procedures and will meet the</w:t>
      </w:r>
      <w:r>
        <w:t xml:space="preserve"> </w:t>
      </w:r>
      <w:r>
        <w:t xml:space="preserve">ALCOA+ expectations. Run execution will be recorded in the electronic laboratory notebook,</w:t>
      </w:r>
      <w:r>
        <w:t xml:space="preserve"> </w:t>
      </w:r>
      <w:r>
        <w:t xml:space="preserve">analytical results in the laboratory information management system, and the statistical</w:t>
      </w:r>
      <w:r>
        <w:t xml:space="preserve"> </w:t>
      </w:r>
      <w:r>
        <w:t xml:space="preserve">analysis in a version-controlled script archived with the study record (SOP-1002). Raw</w:t>
      </w:r>
      <w:r>
        <w:t xml:space="preserve"> </w:t>
      </w:r>
      <w:r>
        <w:t xml:space="preserve">instrument files will be retained without modification, and every derived value in PCR-007</w:t>
      </w:r>
      <w:r>
        <w:t xml:space="preserve"> </w:t>
      </w:r>
      <w:r>
        <w:t xml:space="preserve">will be traceable to the file it came from. A second qualified person will review the</w:t>
      </w:r>
      <w:r>
        <w:t xml:space="preserve"> </w:t>
      </w:r>
      <w:r>
        <w:t xml:space="preserve">analysis before the report is issued.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Responsibilities are allocated as shown in</w:t>
      </w:r>
      <w:r>
        <w:t xml:space="preserve"> </w:t>
      </w:r>
      <w:hyperlink w:anchor="tbl-roles">
        <w:r>
          <w:rPr>
            <w:rStyle w:val="Hyperlink"/>
          </w:rPr>
          <w:t xml:space="preserve">Table 9</w:t>
        </w:r>
      </w:hyperlink>
      <w:r>
        <w:t xml:space="preserve">. Process Development at the sending</w:t>
      </w:r>
      <w:r>
        <w:t xml:space="preserve"> </w:t>
      </w:r>
      <w:r>
        <w:t xml:space="preserve">site owns the study and the report. Analytical Development owns the methods and the assay</w:t>
      </w:r>
      <w:r>
        <w:t xml:space="preserve"> </w:t>
      </w:r>
      <w:r>
        <w:t xml:space="preserve">data, Statistics owns the design and the analysis, and Quality Assurance approves this plan</w:t>
      </w:r>
      <w:r>
        <w:t xml:space="preserve"> </w:t>
      </w:r>
      <w:r>
        <w:t xml:space="preserve">and the report that follows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 (sending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ownership; scale-down model; execution; authorship of PCR-007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Validated methods; sample testing; assay data review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 generation and randomization; model fitting; region and range analysis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of commercial-scale equivalence and of the proposed ranges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Approval of this plan and of PCR-007; deviation oversight</w:t>
                  </w:r>
                </w:p>
              </w:tc>
            </w:tr>
          </w:tbl>
          <w:bookmarkEnd w:id="41"/>
          <w:p/>
        </w:tc>
      </w:tr>
    </w:tbl>
    <w:bookmarkEnd w:id="42"/>
    <w:bookmarkStart w:id="44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is PCR-007. It will report the executed designs, the fitted models, the</w:t>
      </w:r>
      <w:r>
        <w:t xml:space="preserve"> </w:t>
      </w:r>
      <w:r>
        <w:t xml:space="preserve">operating region, the proven acceptable ranges, the parameter classifications and any</w:t>
      </w:r>
      <w:r>
        <w:t xml:space="preserve"> </w:t>
      </w:r>
      <w:r>
        <w:t xml:space="preserve">departure from this plan.</w:t>
      </w:r>
    </w:p>
    <w:p>
      <w:pPr>
        <w:pStyle w:val="BodyText"/>
      </w:pPr>
      <w:r>
        <w:t xml:space="preserve">The study is executed in the sequential phases listed in</w:t>
      </w:r>
      <w:r>
        <w:t xml:space="preserve"> </w:t>
      </w:r>
      <w:hyperlink w:anchor="tbl-schedule">
        <w:r>
          <w:rPr>
            <w:rStyle w:val="Hyperlink"/>
          </w:rPr>
          <w:t xml:space="preserve">Table 10</w:t>
        </w:r>
      </w:hyperlink>
      <w:r>
        <w:t xml:space="preserve">. No calendar dates are</w:t>
      </w:r>
      <w:r>
        <w:t xml:space="preserve"> </w:t>
      </w:r>
      <w:r>
        <w:t xml:space="preserve">fixed here, since execution is scheduled against material availability. The univariate</w:t>
      </w:r>
      <w:r>
        <w:t xml:space="preserve"> </w:t>
      </w:r>
      <w:r>
        <w:t xml:space="preserve">assessment may run in parallel with the response-surface design, because it uses the same</w:t>
      </w:r>
      <w:r>
        <w:t xml:space="preserve"> </w:t>
      </w:r>
      <w:r>
        <w:t xml:space="preserve">feed pool and does not depend on the multivariate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Study phases and their outputs.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Scale-down model qualification against manufacturing-scale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Qualification data package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Feed pool preparation and characterization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Study feed composition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Active factors and interactions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Response-surface design execution and 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model for each response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Univariate assessment of elution flow 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Flow decision under the rule stated above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Worst-case aggregate challenge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Challenge result against the aggregate criterion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Region, range and classification analysis, and reporting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PCR-007</w:t>
                  </w:r>
                </w:p>
              </w:tc>
            </w:tr>
          </w:tbl>
          <w:bookmarkEnd w:id="43"/>
          <w:p/>
        </w:tc>
      </w:tr>
    </w:tbl>
    <w:bookmarkEnd w:id="44"/>
    <w:bookmarkStart w:id="45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Three assumptions carry the study, and each is stated here so that PCR-007 can be read</w:t>
      </w:r>
      <w:r>
        <w:t xml:space="preserve"> </w:t>
      </w:r>
      <w:r>
        <w:t xml:space="preserve">against them.</w:t>
      </w:r>
    </w:p>
    <w:p>
      <w:pPr>
        <w:pStyle w:val="BodyText"/>
      </w:pPr>
      <w:r>
        <w:t xml:space="preserve">The first assumption is that the scale-down model represents the commercial column. The</w:t>
      </w:r>
      <w:r>
        <w:t xml:space="preserve"> </w:t>
      </w:r>
      <w:r>
        <w:t xml:space="preserve">qualification described above tests that assumption at the set-point condition only.</w:t>
      </w:r>
      <w:r>
        <w:t xml:space="preserve"> </w:t>
      </w:r>
      <w:r>
        <w:t xml:space="preserve">Operating regions defined at scale-down are not confirmed at scale at the edges of their</w:t>
      </w:r>
      <w:r>
        <w:t xml:space="preserve"> </w:t>
      </w:r>
      <w:r>
        <w:t xml:space="preserve">ranges, and the strategy for confirming performance at the receiving site is defined in</w:t>
      </w:r>
      <w:r>
        <w:t xml:space="preserve"> </w:t>
      </w:r>
      <w:r>
        <w:t xml:space="preserve">PTP-001.</w:t>
      </w:r>
    </w:p>
    <w:p>
      <w:pPr>
        <w:pStyle w:val="BodyText"/>
      </w:pPr>
      <w:r>
        <w:t xml:space="preserve">The second assumption is that a single pooled feed represents the material the step will</w:t>
      </w:r>
      <w:r>
        <w:t xml:space="preserve"> </w:t>
      </w:r>
      <w:r>
        <w:t xml:space="preserve">receive. Aggregate and host cell protein in the feed vary with upstream operation. The study</w:t>
      </w:r>
      <w:r>
        <w:t xml:space="preserve"> </w:t>
      </w:r>
      <w:r>
        <w:t xml:space="preserve">addresses that variation in two ways, in that the load level of both attributes is measured</w:t>
      </w:r>
      <w:r>
        <w:t xml:space="preserve"> </w:t>
      </w:r>
      <w:r>
        <w:t xml:space="preserve">for every run, and the worst-case challenge tests the step at an aggregate burden above</w:t>
      </w:r>
      <w:r>
        <w:t xml:space="preserve"> </w:t>
      </w:r>
      <w:r>
        <w:t xml:space="preserve">nominal. Variation in feed host cell protein is not challenged here, and the range the</w:t>
      </w:r>
      <w:r>
        <w:t xml:space="preserve"> </w:t>
      </w:r>
      <w:r>
        <w:t xml:space="preserve">capture step delivers is reported in PCR-005.</w:t>
      </w:r>
    </w:p>
    <w:p>
      <w:pPr>
        <w:pStyle w:val="BodyText"/>
      </w:pPr>
      <w:r>
        <w:t xml:space="preserve">The third assumption is that charge variants and glycosylation variants are unaffected by the</w:t>
      </w:r>
      <w:r>
        <w:t xml:space="preserve"> </w:t>
      </w:r>
      <w:r>
        <w:t xml:space="preserve">step. This rests on the platform experience and the mechanism described above, and it is not</w:t>
      </w:r>
      <w:r>
        <w:t xml:space="preserve"> </w:t>
      </w:r>
      <w:r>
        <w:t xml:space="preserve">tested in this study.</w:t>
      </w:r>
    </w:p>
    <w:p>
      <w:pPr>
        <w:pStyle w:val="BodyText"/>
      </w:pPr>
      <w:r>
        <w:t xml:space="preserve">Two risks could delay the study or weaken its conclusions. Insufficient inactivated pool would</w:t>
      </w:r>
      <w:r>
        <w:t xml:space="preserve"> </w:t>
      </w:r>
      <w:r>
        <w:t xml:space="preserve">force execution onto more than one feed lot, which would add a blocking factor to both designs</w:t>
      </w:r>
      <w:r>
        <w:t xml:space="preserve"> </w:t>
      </w:r>
      <w:r>
        <w:t xml:space="preserve">and reduce the precision of the estimated effects. Assay variability at the low end of the</w:t>
      </w:r>
      <w:r>
        <w:t xml:space="preserve"> </w:t>
      </w:r>
      <w:r>
        <w:t xml:space="preserve">host cell protein range could widen the confidence intervals enough that a small effect cannot</w:t>
      </w:r>
      <w:r>
        <w:t xml:space="preserve"> </w:t>
      </w:r>
      <w:r>
        <w:t xml:space="preserve">be resolved, in which case PCR-007 will report the size of the effect the study was able to</w:t>
      </w:r>
      <w:r>
        <w:t xml:space="preserve"> </w:t>
      </w:r>
      <w:r>
        <w:t xml:space="preserve">detect.</w:t>
      </w:r>
    </w:p>
    <w:bookmarkEnd w:id="45"/>
    <w:bookmarkStart w:id="46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takes effect when the approval record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complete, and execution may</w:t>
      </w:r>
      <w:r>
        <w:t xml:space="preserve"> </w:t>
      </w:r>
      <w:r>
        <w:t xml:space="preserve">not begin before then. Any change to the design, to the ranges or to the acceptance criteria</w:t>
      </w:r>
      <w:r>
        <w:t xml:space="preserve"> </w:t>
      </w:r>
      <w:r>
        <w:t xml:space="preserve">after approval requires a revision of this plan. Any departure during execution will be</w:t>
      </w:r>
      <w:r>
        <w:t xml:space="preserve"> </w:t>
      </w:r>
      <w:r>
        <w:t xml:space="preserve">recorded at the time and assessed in PCR-007.</w:t>
      </w:r>
    </w:p>
    <w:bookmarkEnd w:id="46"/>
    <w:bookmarkStart w:id="51" w:name="appendices-ab-planned-design-matr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two planned design matrices are given below in coded form, and the natural-unit setting</w:t>
      </w:r>
      <w:r>
        <w:t xml:space="preserve"> </w:t>
      </w:r>
      <w:r>
        <w:t xml:space="preserve">for each coded level follows from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No response</w:t>
      </w:r>
      <w:r>
        <w:t xml:space="preserve"> </w:t>
      </w:r>
      <w:r>
        <w:t xml:space="preserve">data appear in either matrix, because none exist at the time of approval.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7"/>
          <w:p/>
        </w:tc>
      </w:tr>
    </w:tbl>
    <w:bookmarkEnd w:id="48"/>
    <w:bookmarkStart w:id="50" w:name="Xd035249cb2928fc67e6106bc8a61a8b12039d8a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response-surface design matrix, coded (factors A to D per</w:t>
            </w:r>
            <w:r>
              <w:t xml:space="preserve"> </w:t>
            </w:r>
            <w:hyperlink w:anchor="tbl-legend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Start w:id="58" w:name="references"/>
    <w:p>
      <w:pPr>
        <w:pStyle w:val="Heading1"/>
      </w:pPr>
      <w:r>
        <w:t xml:space="preserve">References</w:t>
      </w:r>
    </w:p>
    <w:bookmarkStart w:id="57" w:name="refs"/>
    <w:bookmarkStart w:id="5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2"/>
    <w:bookmarkStart w:id="5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3"/>
    <w:bookmarkStart w:id="5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4"/>
    <w:bookmarkStart w:id="5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5"/>
    <w:bookmarkStart w:id="56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2026-08-03T04:52:39Z</dcterms:created>
  <dcterms:modified xsi:type="dcterms:W3CDTF">2026-08-03T04:52:39Z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PCP-007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