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an in-process limit derived from the drug substance specification of</w:t>
      </w:r>
      <w:r>
        <w:t xml:space="preserve"> </w:t>
      </w:r>
      <w:r>
        <w:t xml:space="preserve">100 ng/mg by dividing it by an assurance margin. The step must meet</w:t>
      </w:r>
      <w:r>
        <w:t xml:space="preserve"> </w:t>
      </w:r>
      <w:r>
        <w:t xml:space="preserve">the drug substance limit at its own outlet, because no later step in the train is credited</w:t>
      </w:r>
      <w:r>
        <w:t xml:space="preserve"> </w:t>
      </w:r>
      <w:r>
        <w:t xml:space="preserve">with host cell protein clearance, and the margin is what keeps a batch at the in-process</w:t>
      </w:r>
      <w:r>
        <w:t xml:space="preserve"> </w:t>
      </w:r>
      <w:r>
        <w:t xml:space="preserve">limit clear of the specification.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2026-08-03T04:53:00Z</dcterms:created>
  <dcterms:modified xsi:type="dcterms:W3CDTF">2026-08-03T04:53:00Z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