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103.png" ContentType="image/png"/>
  <Override PartName="/word/media/rId75.png" ContentType="image/png"/>
  <Override PartName="/word/media/rId63.png" ContentType="image/png"/>
  <Override PartName="/word/media/rId79.png" ContentType="image/png"/>
  <Override PartName="/word/media/rId67.png" ContentType="image/png"/>
  <Override PartName="/word/media/rId71.png" ContentType="image/png"/>
  <Override PartName="/word/media/rId125.png" ContentType="image/png"/>
  <Override PartName="/word/media/rId113.png" ContentType="image/png"/>
  <Override PartName="/word/media/rId129.png" ContentType="image/png"/>
  <Override PartName="/word/media/rId117.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Production Bioreactor (Step 3) — PCR-003</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PCR-003</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Production Bioreactor (Step 3)</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PCR-003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2-AB</w:t>
            </w:r>
          </w:p>
        </w:tc>
        <w:tc>
          <w:tcPr/>
          <w:p>
            <w:pPr>
              <w:pStyle w:val="Compact"/>
              <w:jc w:val="left"/>
            </w:pPr>
            <w:r>
              <w:t xml:space="preserve">2-aminobenzamide</w:t>
            </w:r>
          </w:p>
        </w:tc>
      </w:tr>
      <w:tr>
        <w:tc>
          <w:tcPr/>
          <w:p>
            <w:pPr>
              <w:pStyle w:val="Compact"/>
              <w:jc w:val="left"/>
            </w:pPr>
            <w:r>
              <w:t xml:space="preserve">ADCC</w:t>
            </w:r>
          </w:p>
        </w:tc>
        <w:tc>
          <w:tcPr/>
          <w:p>
            <w:pPr>
              <w:pStyle w:val="Compact"/>
              <w:jc w:val="left"/>
            </w:pPr>
            <w:r>
              <w:t xml:space="preserve">antibody-dependent cellular cytotoxicity</w:t>
            </w:r>
          </w:p>
        </w:tc>
      </w:tr>
      <w:tr>
        <w:tc>
          <w:tcPr/>
          <w:p>
            <w:pPr>
              <w:pStyle w:val="Compact"/>
              <w:jc w:val="left"/>
            </w:pPr>
            <w:r>
              <w:t xml:space="preserve">Afuc.</w:t>
            </w:r>
          </w:p>
        </w:tc>
        <w:tc>
          <w:tcPr/>
          <w:p>
            <w:pPr>
              <w:pStyle w:val="Compact"/>
              <w:jc w:val="left"/>
            </w:pPr>
            <w:r>
              <w:t xml:space="preserve">afucosylation (table header)</w:t>
            </w:r>
          </w:p>
        </w:tc>
      </w:tr>
      <w:tr>
        <w:tc>
          <w:tcPr/>
          <w:p>
            <w:pPr>
              <w:pStyle w:val="Compact"/>
              <w:jc w:val="left"/>
            </w:pPr>
            <w:r>
              <w:t xml:space="preserve">AICc</w:t>
            </w:r>
          </w:p>
        </w:tc>
        <w:tc>
          <w:tcPr/>
          <w:p>
            <w:pPr>
              <w:pStyle w:val="Compact"/>
              <w:jc w:val="left"/>
            </w:pPr>
            <w:r>
              <w:t xml:space="preserve">Akaike’s information criterion with the small-sample correction</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CDC</w:t>
            </w:r>
          </w:p>
        </w:tc>
        <w:tc>
          <w:tcPr/>
          <w:p>
            <w:pPr>
              <w:pStyle w:val="Compact"/>
              <w:jc w:val="left"/>
            </w:pPr>
            <w:r>
              <w:t xml:space="preserve">complement-dependent cytotoxicity</w:t>
            </w:r>
          </w:p>
        </w:tc>
      </w:tr>
      <w:tr>
        <w:tc>
          <w:tcPr/>
          <w:p>
            <w:pPr>
              <w:pStyle w:val="Compact"/>
              <w:jc w:val="left"/>
            </w:pPr>
            <w:r>
              <w:t xml:space="preserve">CHO</w:t>
            </w:r>
          </w:p>
        </w:tc>
        <w:tc>
          <w:tcPr/>
          <w:p>
            <w:pPr>
              <w:pStyle w:val="Compact"/>
              <w:jc w:val="left"/>
            </w:pPr>
            <w:r>
              <w:t xml:space="preserve">Chinese hamster ovary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FcγRIIIa</w:t>
            </w:r>
          </w:p>
        </w:tc>
        <w:tc>
          <w:tcPr/>
          <w:p>
            <w:pPr>
              <w:pStyle w:val="Compact"/>
              <w:jc w:val="left"/>
            </w:pPr>
            <w:r>
              <w:t xml:space="preserve">Fc gamma receptor IIIa</w:t>
            </w:r>
          </w:p>
        </w:tc>
      </w:tr>
      <w:tr>
        <w:tc>
          <w:tcPr/>
          <w:p>
            <w:pPr>
              <w:pStyle w:val="Compact"/>
              <w:jc w:val="left"/>
            </w:pPr>
            <w:r>
              <w:t xml:space="preserve">Gal.</w:t>
            </w:r>
          </w:p>
        </w:tc>
        <w:tc>
          <w:tcPr/>
          <w:p>
            <w:pPr>
              <w:pStyle w:val="Compact"/>
              <w:jc w:val="left"/>
            </w:pPr>
            <w:r>
              <w:t xml:space="preserve">galactosylation (table header)</w:t>
            </w:r>
          </w:p>
        </w:tc>
      </w:tr>
      <w:tr>
        <w:tc>
          <w:tcPr/>
          <w:p>
            <w:pPr>
              <w:pStyle w:val="Compact"/>
              <w:jc w:val="left"/>
            </w:pPr>
            <w:r>
              <w:t xml:space="preserve">GDP</w:t>
            </w:r>
          </w:p>
        </w:tc>
        <w:tc>
          <w:tcPr/>
          <w:p>
            <w:pPr>
              <w:pStyle w:val="Compact"/>
              <w:jc w:val="left"/>
            </w:pPr>
            <w:r>
              <w:t xml:space="preserve">guanosine diphosphate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w:t>
            </w:r>
          </w:p>
        </w:tc>
        <w:tc>
          <w:tcPr/>
          <w:p>
            <w:pPr>
              <w:pStyle w:val="Compact"/>
              <w:jc w:val="left"/>
            </w:pPr>
            <w:r>
              <w:t xml:space="preserve">high (criticality level)</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HILIC</w:t>
            </w:r>
          </w:p>
        </w:tc>
        <w:tc>
          <w:tcPr/>
          <w:p>
            <w:pPr>
              <w:pStyle w:val="Compact"/>
              <w:jc w:val="left"/>
            </w:pPr>
            <w:r>
              <w:t xml:space="preserve">hydrophilic interaction liquid chromatography</w:t>
            </w:r>
          </w:p>
        </w:tc>
      </w:tr>
      <w:tr>
        <w:tc>
          <w:tcPr/>
          <w:p>
            <w:pPr>
              <w:pStyle w:val="Compact"/>
              <w:jc w:val="left"/>
            </w:pPr>
            <w:r>
              <w:t xml:space="preserve">HMW</w:t>
            </w:r>
          </w:p>
        </w:tc>
        <w:tc>
          <w:tcPr/>
          <w:p>
            <w:pPr>
              <w:pStyle w:val="Compact"/>
              <w:jc w:val="left"/>
            </w:pPr>
            <w:r>
              <w:t xml:space="preserve">high molecular weight species (aggregate)</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 (fragments)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M-H</w:t>
            </w:r>
          </w:p>
        </w:tc>
        <w:tc>
          <w:tcPr/>
          <w:p>
            <w:pPr>
              <w:pStyle w:val="Compact"/>
              <w:jc w:val="left"/>
            </w:pPr>
            <w:r>
              <w:t xml:space="preserve">moderate to high (criticality level)</w:t>
            </w:r>
          </w:p>
        </w:tc>
      </w:tr>
      <w:tr>
        <w:tc>
          <w:tcPr/>
          <w:p>
            <w:pPr>
              <w:pStyle w:val="Compact"/>
              <w:jc w:val="left"/>
            </w:pPr>
            <w:r>
              <w:t xml:space="preserve">Mfg</w:t>
            </w:r>
          </w:p>
        </w:tc>
        <w:tc>
          <w:tcPr/>
          <w:p>
            <w:pPr>
              <w:pStyle w:val="Compact"/>
              <w:jc w:val="left"/>
            </w:pPr>
            <w:r>
              <w:t xml:space="preserve">manufacturing scale (table header)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n.t.</w:t>
            </w:r>
          </w:p>
        </w:tc>
        <w:tc>
          <w:tcPr/>
          <w:p>
            <w:pPr>
              <w:pStyle w:val="Compact"/>
              <w:jc w:val="left"/>
            </w:pPr>
            <w:r>
              <w:t xml:space="preserve">not tested</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pCO2</w:t>
            </w:r>
          </w:p>
        </w:tc>
        <w:tc>
          <w:tcPr/>
          <w:p>
            <w:pPr>
              <w:pStyle w:val="Compact"/>
              <w:jc w:val="left"/>
            </w:pPr>
            <w:r>
              <w:t xml:space="preserve">CO2 partial pressure, the partial pressure of dissolved carbon dioxide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RMSEP</w:t>
            </w:r>
          </w:p>
        </w:tc>
        <w:tc>
          <w:tcPr/>
          <w:p>
            <w:pPr>
              <w:pStyle w:val="Compact"/>
              <w:jc w:val="left"/>
            </w:pPr>
            <w:r>
              <w:t xml:space="preserve">root mean square error of prediction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UDP</w:t>
            </w:r>
          </w:p>
        </w:tc>
        <w:tc>
          <w:tcPr/>
          <w:p>
            <w:pPr>
              <w:pStyle w:val="Compact"/>
              <w:jc w:val="left"/>
            </w:pPr>
            <w:r>
              <w:t xml:space="preserve">uridine diphosphate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UPLC</w:t>
            </w:r>
          </w:p>
        </w:tc>
        <w:tc>
          <w:tcPr/>
          <w:p>
            <w:pPr>
              <w:pStyle w:val="Compact"/>
              <w:jc w:val="left"/>
            </w:pPr>
            <w:r>
              <w:t xml:space="preserve">ultra-performance liquid chromatography</w:t>
            </w:r>
          </w:p>
        </w:tc>
      </w:tr>
      <w:tr>
        <w:tc>
          <w:tcPr/>
          <w:p>
            <w:pPr>
              <w:pStyle w:val="Compact"/>
              <w:jc w:val="left"/>
            </w:pPr>
            <w:r>
              <w:t xml:space="preserve">VH</w:t>
            </w:r>
          </w:p>
        </w:tc>
        <w:tc>
          <w:tcPr/>
          <w:p>
            <w:pPr>
              <w:pStyle w:val="Compact"/>
              <w:jc w:val="left"/>
            </w:pPr>
            <w:r>
              <w:t xml:space="preserve">very high (criticality level)</w:t>
            </w:r>
          </w:p>
        </w:tc>
      </w:tr>
      <w:tr>
        <w:tc>
          <w:tcPr/>
          <w:p>
            <w:pPr>
              <w:pStyle w:val="Compact"/>
              <w:jc w:val="left"/>
            </w:pPr>
            <w:r>
              <w:t xml:space="preserve">VL</w:t>
            </w:r>
          </w:p>
        </w:tc>
        <w:tc>
          <w:tcPr/>
          <w:p>
            <w:pPr>
              <w:pStyle w:val="Compact"/>
              <w:jc w:val="left"/>
            </w:pPr>
            <w:r>
              <w:t xml:space="preserve">very low (criticality level)</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3" w:name="executive-summary"/>
    <w:p>
      <w:pPr>
        <w:pStyle w:val="Heading1"/>
      </w:pPr>
      <w:r>
        <w:t xml:space="preserve">Executive summary</w:t>
      </w:r>
    </w:p>
    <w:p>
      <w:pPr>
        <w:pStyle w:val="FirstParagraph"/>
      </w:pPr>
      <w:r>
        <w:t xml:space="preserve">This report gives the results of the Stage 1 characterization of the production bioreactor, Step 3 of the A-Mab drug substance process. The production bioreactor is a fed-batch culture with a working volume of 15,000 L at commercial scale, and it forms the glycan, charge variant and aggregate quality attributes of A-Mab. The studies were run in a qualified scale-down model under the Process Characterization Plan PCP-003 and the Process Characterization Master Plan PCMP-001, following ICH Q8(R2), ICH Q11 and the A-Mab case study</w:t>
      </w:r>
      <w:r>
        <w:t xml:space="preserve"> </w:t>
      </w:r>
      <w:r>
        <w:t xml:space="preserve">(International Council for Harmonisation 2009, 2012; CMC Biotech Working Group 2009)</w:t>
      </w:r>
      <w:r>
        <w:t xml:space="preserve">. This is Version 2.0 of the report. It replaces Version 1.0 after the QA investigations INV-001, on the acceptance criteria, and INV-002, on the adequacy of the response-surface models (</w:t>
      </w:r>
      <w:hyperlink w:anchor="sec-changes">
        <w:r>
          <w:rPr>
            <w:rStyle w:val="Hyperlink"/>
          </w:rPr>
          <w:t xml:space="preserve">Section 1.4</w:t>
        </w:r>
      </w:hyperlink>
      <w:r>
        <w:t xml:space="preserve">).</w:t>
      </w:r>
    </w:p>
    <w:p>
      <w:pPr>
        <w:pStyle w:val="BodyText"/>
      </w:pPr>
      <w:r>
        <w:t xml:space="preserve">The scale-down model was compared with manufacturing scale in three runs at the set-points against five manufacturing-scale batches. A screening design of 19 runs varied the five parameters assigned to multivariate study, and a face-centred response-surface design of 28 runs then varied four of them. Under INV-002, 16 runs were added to the response-surface design as a second block, after the results of the planned runs were known. A univariate study varied the other four parameters one at a time. An osmolality study, made during the Version 2.0 re-analysis, varied osmolality with the other parameters at the combination of NOR settings least favourable for acidic variants.</w:t>
      </w:r>
    </w:p>
    <w:p>
      <w:pPr>
        <w:pStyle w:val="BodyText"/>
      </w:pPr>
      <w:r>
        <w:t xml:space="preserve">The response-surface model of each of the five modelled attributes was selected on all 44 runs, by the model selection that INV-002 adopted as its corrective action CA3. The scale comes from the Box-Cox profile, and the model is the one with the lowest AICc among all hierarchical submodels of the full quadratic. Every selected model meets the first three adequacy criteria of PCMP-001 §7.2, a significant model F-test, no significant lack of fit and predicted R² within 0.20 of R². For galactosylation and acidic variants the absolute residuals rise with the predicted value, so these two models do not meet the fourth criterion, on residuals and influential runs. They were used with that trend sized against their criteria (PD-003-04). With each run flagged by its Cook’s distance deleted in turn, every attribute kept its verdict over the normal operating range (NOR), and every proven acceptable range (PAR) still contained the NOR.</w:t>
      </w:r>
    </w:p>
    <w:p>
      <w:pPr>
        <w:pStyle w:val="BodyText"/>
      </w:pPr>
      <w:r>
        <w:t xml:space="preserve">Each attribute was judged on the 95 % prediction interval of a single run, at manufacturing scale, at every combination of NOR low, set-point and NOR high. Afucosylation, galactosylation, high mannose and aggregate meet their intermediate acceptance criteria. Acidic variants do not. At nine of the 81 combinations, all with pCO2 at its NOR high, the interval reaches below the lower limit of 18.0 %. At the least favourable combination the predicted median is 18.4 %, a margin above the limit smaller than the bias of the model at the set-point, and about 17.7 % with the initial viable cell concentration at its NOR low. The NOR was not narrowed. The risk was accepted as the producer’s. This report recommends an action limit for acidic variants at harvest, and the trending of acidic variants against the initial viable cell concentration in production (</w:t>
      </w:r>
      <w:hyperlink w:anchor="sec-control">
        <w:r>
          <w:rPr>
            <w:rStyle w:val="Hyperlink"/>
          </w:rPr>
          <w:t xml:space="preserve">Section 10</w:t>
        </w:r>
      </w:hyperlink>
      <w:r>
        <w:t xml:space="preserve">).</w:t>
      </w:r>
    </w:p>
    <w:p>
      <w:pPr>
        <w:pStyle w:val="BodyText"/>
      </w:pPr>
      <w:r>
        <w:t xml:space="preserve">All 20 PARs computed with the other parameters varying across their NORs contain the NOR, and 18 of them span the whole range studied. That every PAR contains the NOR rests on the 16 augmentation runs and on the model selection. On the 28 planned runs alone, the PARs of culture pH, culture temperature and pCO2 for acidic variants do not contain it. The design space covers 73.7 % of the region studied, and its boundary is set by the lower limit of acidic variants.</w:t>
      </w:r>
    </w:p>
    <w:p>
      <w:pPr>
        <w:pStyle w:val="BodyText"/>
      </w:pPr>
      <w:r>
        <w:t xml:space="preserve">Culture pH, culture temperature, pCO2 and culture duration were classified as well-controlled critical process parameters (WC-CPPs). Osmolality was classified as a critical process parameter (CPP), because no PAR from a model shows a wide margin between its acceptable range and its NOR. The initial viable cell concentration, basal medium concentration and nutrient feed-1 volume were classified as key process parameters (KPPs), and dissolved oxygen as a general process parameter (GPP). In the integrated model of the train the capability index of acidic variants in the drug substance is a Cpk of 1.05, between the minimum of 1.00 and the target of 1.33, and every other attribute that the step sets has a Cpk above the target. That model simulates manufacturing scale directly and carries no effect of the initial viable cell concentration on acidic variants (</w:t>
      </w:r>
      <w:hyperlink w:anchor="sec-capability">
        <w:r>
          <w:rPr>
            <w:rStyle w:val="Hyperlink"/>
          </w:rPr>
          <w:t xml:space="preserve">Section 8</w:t>
        </w:r>
      </w:hyperlink>
      <w:r>
        <w:t xml:space="preserve">).</w:t>
      </w:r>
    </w:p>
    <w:p>
      <w:pPr>
        <w:pStyle w:val="BodyText"/>
      </w:pPr>
      <w:r>
        <w:t xml:space="preserve">The record of the step holds two study events and 13 discrepancies from the plan (</w:t>
      </w:r>
      <w:hyperlink w:anchor="sec-record">
        <w:r>
          <w:rPr>
            <w:rStyle w:val="Hyperlink"/>
          </w:rPr>
          <w:t xml:space="preserve">Section 13</w:t>
        </w:r>
      </w:hyperlink>
      <w:r>
        <w:t xml:space="preserve">). The pCO2 probe drift in one screening run and the feed under-delivery to one centre-point batch (DEV-003-01 and DEV-003-02) left their runs in the analysis. Seven of the discrepancies are requirements of PCP-003 that the Version 2.0 re-analysis found unmet, among them the multivariate study that the univariate effect of the initial viable cell concentration on acidic variants calls for (PD-003-11).</w:t>
      </w:r>
    </w:p>
    <w:bookmarkEnd w:id="23"/>
    <w:bookmarkStart w:id="30" w:name="sec-intro"/>
    <w:p>
      <w:pPr>
        <w:pStyle w:val="Heading1"/>
      </w:pPr>
      <w:r>
        <w:t xml:space="preserve">1. Introduction</w:t>
      </w:r>
    </w:p>
    <w:bookmarkStart w:id="25" w:name="sec-product"/>
    <w:p>
      <w:pPr>
        <w:pStyle w:val="Heading2"/>
      </w:pPr>
      <w:r>
        <w:t xml:space="preserve">1.1 Product and unit operation</w:t>
      </w:r>
    </w:p>
    <w:p>
      <w:pPr>
        <w:pStyle w:val="FirstParagraph"/>
      </w:pPr>
      <w:r>
        <w:t xml:space="preserve">A-Mab is a humanized IgG1 monoclonal antibody whose main mechanism of action is antibody-dependent cellular cytotoxicity (ADCC). It is produced by a recombinant Chinese hamster ovary (CHO) cell line and purified by the platform train of Protein A capture, low-pH viral inactivation, cation exchange, anion exchange, small-virus retentive filtration and ultrafiltration and diafiltration (UF/DF)</w:t>
      </w:r>
      <w:r>
        <w:t xml:space="preserve"> </w:t>
      </w:r>
      <w:r>
        <w:t xml:space="preserve">(CMC Biotech Working Group 2009)</w:t>
      </w:r>
      <w:r>
        <w:t xml:space="preserve">.</w:t>
      </w:r>
    </w:p>
    <w:p>
      <w:pPr>
        <w:pStyle w:val="BodyText"/>
      </w:pPr>
      <w:r>
        <w:t xml:space="preserve">The production bioreactor is Step 3 of the drug substance process. It is a fed-batch culture with a working volume of 15,000 L at commercial scale. The cells secrete A-Mab into the medium over a culture of 17 days at the set-point, and the culture fluid passes to harvest and clarification (Step 4) at the end of the run. The production bioreactor is the only step of the A-Mab drug substance process at which product quality attributes are formed. Cation and anion exchange separate by net charge, and core fucose, galactose and mannose carry none, so no purification step retains one neutral glycoform in preference to another (PCP-003 §4.1). The neutral glycoforms of the drug substance are therefore those of the harvest. They are set mainly in the Golgi before secretion, and glycosidases released by lysed cells can trim them further in the culture fluid. Acidic variants form in the cell and in the culture fluid, mainly as asparagine deamidates, and aggregate forms as antibody molecules associate in the culture fluid. Both rise with the time the antibody spends at culture temperature. Host cell protein and DNA enter the culture fluid when cells die and lyse, so their load at harvest rises as viability falls late in the culture.</w:t>
      </w:r>
    </w:p>
    <w:p>
      <w:pPr>
        <w:pStyle w:val="BodyText"/>
      </w:pPr>
      <w:r>
        <w:t xml:space="preserve">This report gives the results of the studies planned in PCP-003. It applies the strategy, the statistical methods and the acceptance criteria of PCMP-001 Version 2.0, and it rolls up into the Process Characterization Master Report PCMR-001. The risk assessment RA-001 set the scope of the studies. The characterization supports the transfer of the process from the development site in Cambridge, MA to the commercial drug substance site in Grafton, WI under the Process Transfer Plan PTP-001.</w:t>
      </w:r>
      <w:r>
        <w:t xml:space="preserve"> </w:t>
      </w:r>
      <w:hyperlink w:anchor="tbl-related">
        <w:r>
          <w:rPr>
            <w:rStyle w:val="Hyperlink"/>
          </w:rPr>
          <w:t xml:space="preserve">Table 1</w:t>
        </w:r>
      </w:hyperlink>
      <w:r>
        <w:t xml:space="preserve"> </w:t>
      </w:r>
      <w:r>
        <w:t xml:space="preserve">lists these documents.</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Documents related to this report.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PCP-003</w:t>
                  </w:r>
                </w:p>
              </w:tc>
              <w:tc>
                <w:tcPr/>
                <w:p>
                  <w:pPr>
                    <w:pStyle w:val="Compact"/>
                    <w:jc w:val="left"/>
                    <w:jc w:val="center"/>
                  </w:pPr>
                  <w:r>
                    <w:t xml:space="preserve">Process Characterization Plan (Production Bioreactor (Step 3))</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r>
              <w:tc>
                <w:tcPr/>
                <w:p>
                  <w:pPr>
                    <w:pStyle w:val="Compact"/>
                    <w:jc w:val="left"/>
                    <w:jc w:val="center"/>
                  </w:pPr>
                  <w:r>
                    <w:t xml:space="preserve">INV-002</w:t>
                  </w:r>
                </w:p>
              </w:tc>
              <w:tc>
                <w:tcPr/>
                <w:p>
                  <w:pPr>
                    <w:pStyle w:val="Compact"/>
                    <w:jc w:val="left"/>
                    <w:jc w:val="center"/>
                  </w:pPr>
                  <w:r>
                    <w:t xml:space="preserve">Investigation Report (Response-surface models below the model-adequacy criteria of PCMP-001 Version 2.0)</w:t>
                  </w:r>
                </w:p>
              </w:tc>
              <w:tc>
                <w:tcPr/>
                <w:p>
                  <w:pPr>
                    <w:pStyle w:val="Compact"/>
                    <w:jc w:val="left"/>
                    <w:jc w:val="center"/>
                  </w:pPr>
                  <w:r>
                    <w:t xml:space="preserve">Model adequacy of the response-surface designs</w:t>
                  </w:r>
                </w:p>
              </w:tc>
            </w:tr>
          </w:tbl>
          <w:bookmarkEnd w:id="24"/>
          <w:p/>
        </w:tc>
      </w:tr>
    </w:tbl>
    <w:bookmarkEnd w:id="25"/>
    <w:bookmarkStart w:id="26" w:name="sec-objectives"/>
    <w:p>
      <w:pPr>
        <w:pStyle w:val="Heading2"/>
      </w:pPr>
      <w:r>
        <w:t xml:space="preserve">1.2 Objectives</w:t>
      </w:r>
    </w:p>
    <w:p>
      <w:pPr>
        <w:pStyle w:val="FirstParagraph"/>
      </w:pPr>
      <w:r>
        <w:t xml:space="preserve">PCP-003 §2 sets the following objectives, and</w:t>
      </w:r>
      <w:r>
        <w:t xml:space="preserve"> </w:t>
      </w:r>
      <w:hyperlink w:anchor="sec-conclusions">
        <w:r>
          <w:rPr>
            <w:rStyle w:val="Hyperlink"/>
          </w:rPr>
          <w:t xml:space="preserve">Section 12</w:t>
        </w:r>
      </w:hyperlink>
      <w:r>
        <w:t xml:space="preserve"> </w:t>
      </w:r>
      <w:r>
        <w:t xml:space="preserve">states the result against each.</w:t>
      </w:r>
    </w:p>
    <w:p>
      <w:pPr>
        <w:pStyle w:val="Compact"/>
        <w:numPr>
          <w:ilvl w:val="0"/>
          <w:numId w:val="1001"/>
        </w:numPr>
      </w:pPr>
      <w:r>
        <w:t xml:space="preserve">To quantify the relationship between each studied parameter and each of the five modelled responses over the ranges studied, and to identify the interactions between parameters.</w:t>
      </w:r>
    </w:p>
    <w:p>
      <w:pPr>
        <w:pStyle w:val="Compact"/>
        <w:numPr>
          <w:ilvl w:val="0"/>
          <w:numId w:val="1001"/>
        </w:numPr>
      </w:pPr>
      <w:r>
        <w:t xml:space="preserve">To define the multivariate region of the response-surface parameters over which every modelled attribute is predicted to meet its intermediate acceptance criterion.</w:t>
      </w:r>
    </w:p>
    <w:p>
      <w:pPr>
        <w:pStyle w:val="Compact"/>
        <w:numPr>
          <w:ilvl w:val="0"/>
          <w:numId w:val="1001"/>
        </w:numPr>
      </w:pPr>
      <w:r>
        <w:t xml:space="preserve">To establish a PAR for each parameter against each attribute whose fitted model contains a significant term in that parameter, and to confirm that the NOR lies inside that range.</w:t>
      </w:r>
    </w:p>
    <w:p>
      <w:pPr>
        <w:pStyle w:val="Compact"/>
        <w:numPr>
          <w:ilvl w:val="0"/>
          <w:numId w:val="1001"/>
        </w:numPr>
      </w:pPr>
      <w:r>
        <w:t xml:space="preserve">To provide the demonstrated effects and the operating risk from which each parameter is classified under the parameter classification procedure SOP-4001.</w:t>
      </w:r>
    </w:p>
    <w:p>
      <w:pPr>
        <w:pStyle w:val="Compact"/>
        <w:numPr>
          <w:ilvl w:val="0"/>
          <w:numId w:val="1001"/>
        </w:numPr>
      </w:pPr>
      <w:r>
        <w:t xml:space="preserve">To provide the process understanding and the capability estimate that justify the Stage 2 operating ranges and the contribution of this step to the control strategy.</w:t>
      </w:r>
    </w:p>
    <w:bookmarkEnd w:id="26"/>
    <w:bookmarkStart w:id="27" w:name="sec-regulatory"/>
    <w:p>
      <w:pPr>
        <w:pStyle w:val="Heading2"/>
      </w:pPr>
      <w:r>
        <w:t xml:space="preserve">1.3 Regulatory and scientific basis</w:t>
      </w:r>
    </w:p>
    <w:p>
      <w:pPr>
        <w:pStyle w:val="FirstParagraph"/>
      </w:pPr>
      <w:r>
        <w:t xml:space="preserve">The studies are Stage 1 process design studies in the lifecycle approach to process validation</w:t>
      </w:r>
      <w:r>
        <w:t xml:space="preserve"> </w:t>
      </w:r>
      <w:r>
        <w:t xml:space="preserve">(U.S. Food and Drug Administration 2011)</w:t>
      </w:r>
      <w:r>
        <w:t xml:space="preserve">. They follow the enhanced approach of ICH Q8(R2) and ICH Q11. Prior knowledge and risk assessment identify the parameters that may affect an attribute, and designed studies then measure and bound those effects</w:t>
      </w:r>
      <w:r>
        <w:t xml:space="preserve"> </w:t>
      </w:r>
      <w:r>
        <w:t xml:space="preserve">(International Council for Harmonisation 2009, 2012)</w:t>
      </w:r>
      <w:r>
        <w:t xml:space="preserve">. ICH Q8(R2) defines the design space and the proven acceptable range, and it treats the criticality of an attribute as a continuum. The risk tools follow ICH Q9</w:t>
      </w:r>
      <w:r>
        <w:t xml:space="preserve"> </w:t>
      </w:r>
      <w:r>
        <w:t xml:space="preserve">(International Council for Harmonisation 2023)</w:t>
      </w:r>
      <w:r>
        <w:t xml:space="preserve">. The A-Mab case study supplies the process model, the framework of quality attributes and the decision logic of parameter classification</w:t>
      </w:r>
      <w:r>
        <w:t xml:space="preserve"> </w:t>
      </w:r>
      <w:r>
        <w:t xml:space="preserve">(CMC Biotech Working Group 2009)</w:t>
      </w:r>
      <w:r>
        <w:t xml:space="preserve">. The designs and their analysis use response-surface methods</w:t>
      </w:r>
      <w:r>
        <w:t xml:space="preserve"> </w:t>
      </w:r>
      <w:r>
        <w:t xml:space="preserve">(Montgomery 2017)</w:t>
      </w:r>
      <w:r>
        <w:t xml:space="preserve">. The model selection uses the Box-Cox transformation and Akaike’s information criterion with the small-sample correction (AICc), and the augmentation of the response-surface design is D-optimal</w:t>
      </w:r>
      <w:r>
        <w:t xml:space="preserve"> </w:t>
      </w:r>
      <w:r>
        <w:t xml:space="preserve">(Box and Cox 1964; Hurvich and Tsai 1989; Burnham and Anderson 2002; Fedorov 1972)</w:t>
      </w:r>
      <w:r>
        <w:t xml:space="preserve">.</w:t>
      </w:r>
    </w:p>
    <w:bookmarkEnd w:id="27"/>
    <w:bookmarkStart w:id="29" w:name="sec-changes"/>
    <w:p>
      <w:pPr>
        <w:pStyle w:val="Heading2"/>
      </w:pPr>
      <w:r>
        <w:t xml:space="preserve">1.4 Changes in this revision</w:t>
      </w:r>
    </w:p>
    <w:p>
      <w:pPr>
        <w:pStyle w:val="FirstParagraph"/>
      </w:pPr>
      <w:r>
        <w:t xml:space="preserve">Version 1.0 of this report was approved on 2026-07-24. QA opened the investigation INV-001 on 2026-08-03 after its review of the master report PCMR-001 Version 1.0 for BLA readiness, and closed it on 2026-09-18 with the classification major. The investigation found that the criteria used to judge each step in the analysis of the proven acceptable ranges were in no approved protocol and had been set after the data were seen (INV-001 finding 1). For this step, the Version 1.0 limits of the glycans and acidic variants were the mean plus 2.5 standard deviations of the capability data they were then used to judge (finding 3). The Version 1.0 aggregate limit was the drug substance limit, back-calculated through the nominal downstream clearance of this campaign and divided by a margin of 6.8 (finding 2). Acidic variants carry the two-sided drug substance criterion of 18–40 %, and Version 1.0 assessed their capability against its upper end alone and judged their ranges against an upper limit alone, ≤ 25.8 % (finding 4). The records gave no execution dates (finding 5). The second investigation, INV-002, was opened on 2026-08-31 and closed on 2026-09-28 with the classification minor. It found that the full quadratic models of high mannose and acidic variants on the planned runs did not meet the limit on overfitting of PCMP-001 §7.2.</w:t>
      </w:r>
    </w:p>
    <w:p>
      <w:pPr>
        <w:pStyle w:val="BodyText"/>
      </w:pPr>
      <w:r>
        <w:t xml:space="preserve">This revision makes the following changes.</w:t>
      </w:r>
    </w:p>
    <w:p>
      <w:pPr>
        <w:pStyle w:val="Compact"/>
        <w:numPr>
          <w:ilvl w:val="0"/>
          <w:numId w:val="1002"/>
        </w:numPr>
      </w:pPr>
      <w:r>
        <w:t xml:space="preserve">Each output is judged against an intermediate acceptance criterion that PCMP-001 Version 2.0 derives a priori from the drug substance criterion and the platform worst case of every downstream step (</w:t>
      </w:r>
      <w:hyperlink w:anchor="tbl-criteria-change">
        <w:r>
          <w:rPr>
            <w:rStyle w:val="Hyperlink"/>
          </w:rPr>
          <w:t xml:space="preserve">Table 2</w:t>
        </w:r>
      </w:hyperlink>
      <w:r>
        <w:t xml:space="preserve">). The Version 1.0 limits were applied at analysis and appeared in no approved plan. Every upper limit in force is higher than the Version 1.0 limit, and acidic variants now carry a lower limit of 18.0 %. Verification of the platform worst cases tightened the aggregate criterion and then widened it, to 6.46 % against 9.30 % a priori (</w:t>
      </w:r>
      <w:hyperlink w:anchor="sec-criteria">
        <w:r>
          <w:rPr>
            <w:rStyle w:val="Hyperlink"/>
          </w:rPr>
          <w:t xml:space="preserve">Section 7.1</w:t>
        </w:r>
      </w:hyperlink>
      <w:r>
        <w:t xml:space="preserve">).</w:t>
      </w:r>
    </w:p>
    <w:p>
      <w:pPr>
        <w:pStyle w:val="Compact"/>
        <w:numPr>
          <w:ilvl w:val="0"/>
          <w:numId w:val="1002"/>
        </w:numPr>
      </w:pPr>
      <w:r>
        <w:t xml:space="preserve">Acidic variants are judged against both limits of their criterion, and their capability is assessed against both (</w:t>
      </w:r>
      <w:hyperlink w:anchor="sec-capability">
        <w:r>
          <w:rPr>
            <w:rStyle w:val="Hyperlink"/>
          </w:rPr>
          <w:t xml:space="preserve">Section 8</w:t>
        </w:r>
      </w:hyperlink>
      <w:r>
        <w:t xml:space="preserve">).</w:t>
      </w:r>
    </w:p>
    <w:p>
      <w:pPr>
        <w:pStyle w:val="Compact"/>
        <w:numPr>
          <w:ilvl w:val="0"/>
          <w:numId w:val="1002"/>
        </w:numPr>
      </w:pPr>
      <w:r>
        <w:t xml:space="preserve">The scale-down model is qualified for each output by its offset from manufacturing scale, and every result judged against a criterion is stated at manufacturing scale (</w:t>
      </w:r>
      <w:hyperlink w:anchor="sec-sdm">
        <w:r>
          <w:rPr>
            <w:rStyle w:val="Hyperlink"/>
          </w:rPr>
          <w:t xml:space="preserve">Section 3.1</w:t>
        </w:r>
      </w:hyperlink>
      <w:r>
        <w:t xml:space="preserve">).</w:t>
      </w:r>
    </w:p>
    <w:p>
      <w:pPr>
        <w:pStyle w:val="Compact"/>
        <w:numPr>
          <w:ilvl w:val="0"/>
          <w:numId w:val="1002"/>
        </w:numPr>
      </w:pPr>
      <w:r>
        <w:t xml:space="preserve">Every response-surface output is analysed by model selection on all runs of the design, with a block term (PD-003-03). The design was augmented by 16 runs under INV-002 (PD-003-02).</w:t>
      </w:r>
    </w:p>
    <w:p>
      <w:pPr>
        <w:pStyle w:val="Compact"/>
        <w:numPr>
          <w:ilvl w:val="0"/>
          <w:numId w:val="1002"/>
        </w:numPr>
      </w:pPr>
      <w:r>
        <w:t xml:space="preserve">The osmolality study S-BRX-OSM was made during the re-analysis (PD-003-01).</w:t>
      </w:r>
    </w:p>
    <w:p>
      <w:pPr>
        <w:pStyle w:val="Compact"/>
        <w:numPr>
          <w:ilvl w:val="0"/>
          <w:numId w:val="1002"/>
        </w:numPr>
      </w:pPr>
      <w:r>
        <w:t xml:space="preserve">The execution window of every study is recorded, and for every study of PCP-003 the calibration status of the pCO2 probe (</w:t>
      </w:r>
      <w:hyperlink w:anchor="sec-chronology">
        <w:r>
          <w:rPr>
            <w:rStyle w:val="Hyperlink"/>
          </w:rPr>
          <w:t xml:space="preserve">Section 4.6</w:t>
        </w:r>
      </w:hyperlink>
      <w:r>
        <w:t xml:space="preserve">).</w:t>
      </w:r>
    </w:p>
    <w:p>
      <w:pPr>
        <w:pStyle w:val="Compact"/>
        <w:numPr>
          <w:ilvl w:val="0"/>
          <w:numId w:val="1002"/>
        </w:numPr>
      </w:pPr>
      <w:r>
        <w:t xml:space="preserve">The results for host cell protein and DNA in the clarified harvest, which PCP-003 requires and Version 1.0 did not report, are given for information (</w:t>
      </w:r>
      <w:hyperlink w:anchor="sec-sampling">
        <w:r>
          <w:rPr>
            <w:rStyle w:val="Hyperlink"/>
          </w:rPr>
          <w:t xml:space="preserve">Section 3.4</w:t>
        </w:r>
      </w:hyperlink>
      <w:r>
        <w:t xml:space="preserve">).</w:t>
      </w:r>
    </w:p>
    <w:p>
      <w:pPr>
        <w:pStyle w:val="Compact"/>
        <w:numPr>
          <w:ilvl w:val="0"/>
          <w:numId w:val="1002"/>
        </w:numPr>
      </w:pPr>
      <w:r>
        <w:t xml:space="preserve">The description of the control of culture pH is corrected. Version 1.0 gave it as control by carbon dioxide and base addition, but carbon dioxide cannot set the pH where pCO2 is a factor of the designs (</w:t>
      </w:r>
      <w:hyperlink w:anchor="sec-operation">
        <w:r>
          <w:rPr>
            <w:rStyle w:val="Hyperlink"/>
          </w:rPr>
          <w:t xml:space="preserve">Section 3.2</w:t>
        </w:r>
      </w:hyperlink>
      <w:r>
        <w:t xml:space="preserve">).</w:t>
      </w:r>
    </w:p>
    <w:p>
      <w:pPr>
        <w:pStyle w:val="Compact"/>
        <w:numPr>
          <w:ilvl w:val="0"/>
          <w:numId w:val="1002"/>
        </w:numPr>
      </w:pPr>
      <w:r>
        <w:t xml:space="preserve">Version 1.0 recorded the events of execution as deviations. A process characterization study is not GMP manufacture, so this report records them as study events, and every departure from PCP-003 as a discrepancy from the plan. The departures that the Version 2.0 re-analysis found are PD-003-07 to PD-003-13 (</w:t>
      </w:r>
      <w:hyperlink w:anchor="sec-record">
        <w:r>
          <w:rPr>
            <w:rStyle w:val="Hyperlink"/>
          </w:rPr>
          <w:t xml:space="preserve">Section 13</w:t>
        </w:r>
      </w:hyperlink>
      <w:r>
        <w:t xml:space="preserve">).</w:t>
      </w:r>
    </w:p>
    <w:p>
      <w:pPr>
        <w:pStyle w:val="FirstParagraph"/>
      </w:pPr>
      <w:r>
        <w:t xml:space="preserve">The Version 1.0 analysis judged the full quadratic models of the planned runs against the Version 1.0 limits. Judged so, 13 of the 20 NOR-propagated PARs do not contain the NOR, and each of the five attributes has at least one such PAR. Judged against the criteria in force, the same models give the PAR of pCO2 for acidic variants as 40–115 mmHg, short of the NOR high, as INV-001 reports. The PARs of this report come from the selected models on all runs (</w:t>
      </w:r>
      <w:hyperlink w:anchor="sec-augmentation">
        <w:r>
          <w:rPr>
            <w:rStyle w:val="Hyperlink"/>
          </w:rPr>
          <w:t xml:space="preserve">Section 5.3.4</w:t>
        </w:r>
      </w:hyperlink>
      <w:r>
        <w:t xml:space="preserve">). The lower limit of acidic variants, which Version 1.0 did not apply, is the one criterion not met across the NOR (</w:t>
      </w:r>
      <w:hyperlink w:anchor="sec-criteria-results">
        <w:r>
          <w:rPr>
            <w:rStyle w:val="Hyperlink"/>
          </w:rPr>
          <w:t xml:space="preserve">Section 7.2</w:t>
        </w:r>
      </w:hyperlink>
      <w:r>
        <w:t xml:space="preserve">). The analytical method decision AMD-001 of 2026-03-20, which moved the measurement of fragments to non-reduced CE-SDS, changes no method of this report (</w:t>
      </w:r>
      <w:hyperlink w:anchor="tbl-methods-by-study">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criteria-change"/>
          <w:p>
            <w:pPr>
              <w:jc w:val="center"/>
            </w:pPr>
            <w:pPr>
              <w:jc w:val="start"/>
              <w:spacing w:before="200"/>
              <w:pStyle w:val="ImageCaption"/>
            </w:pPr>
            <w:r>
              <w:t xml:space="preserve">Table 2: Acceptance criteria for the step outputs in Version 1.0 and Version 2.0, production bioreactor.</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Acidic variants (%)</w:t>
                  </w:r>
                </w:p>
              </w:tc>
              <w:tc>
                <w:tcPr/>
                <w:p>
                  <w:pPr>
                    <w:pStyle w:val="Compact"/>
                    <w:jc w:val="center"/>
                  </w:pPr>
                  <w:r>
                    <w:t xml:space="preserve">≤ 25.8</w:t>
                  </w:r>
                </w:p>
              </w:tc>
              <w:tc>
                <w:tcPr/>
                <w:p>
                  <w:pPr>
                    <w:pStyle w:val="Compact"/>
                    <w:jc w:val="center"/>
                  </w:pPr>
                  <w:r>
                    <w:t xml:space="preserve">R2</w:t>
                  </w:r>
                </w:p>
              </w:tc>
              <w:tc>
                <w:tcPr/>
                <w:p>
                  <w:pPr>
                    <w:pStyle w:val="Compact"/>
                    <w:jc w:val="center"/>
                  </w:pPr>
                  <w:r>
                    <w:t xml:space="preserve">18.0–39.0</w:t>
                  </w:r>
                </w:p>
              </w:tc>
              <w:tc>
                <w:tcPr/>
                <w:p>
                  <w:pPr>
                    <w:pStyle w:val="Compact"/>
                    <w:jc w:val="center"/>
                  </w:pPr>
                  <w:r>
                    <w:t xml:space="preserve">Carried back</w:t>
                  </w:r>
                </w:p>
              </w:tc>
            </w:tr>
            <w:tr>
              <w:tc>
                <w:tcPr/>
                <w:p>
                  <w:pPr>
                    <w:pStyle w:val="Compact"/>
                    <w:jc w:val="center"/>
                  </w:pPr>
                  <w:r>
                    <w:t xml:space="preserve">Afucosylation (%)</w:t>
                  </w:r>
                </w:p>
              </w:tc>
              <w:tc>
                <w:tcPr/>
                <w:p>
                  <w:pPr>
                    <w:pStyle w:val="Compact"/>
                    <w:jc w:val="center"/>
                  </w:pPr>
                  <w:r>
                    <w:t xml:space="preserve">2.00–9.43</w:t>
                  </w:r>
                </w:p>
              </w:tc>
              <w:tc>
                <w:tcPr/>
                <w:p>
                  <w:pPr>
                    <w:pStyle w:val="Compact"/>
                    <w:jc w:val="center"/>
                  </w:pPr>
                  <w:r>
                    <w:t xml:space="preserve">R2</w:t>
                  </w:r>
                </w:p>
              </w:tc>
              <w:tc>
                <w:tcPr/>
                <w:p>
                  <w:pPr>
                    <w:pStyle w:val="Compact"/>
                    <w:jc w:val="center"/>
                  </w:pPr>
                  <w:r>
                    <w:t xml:space="preserve">2.00–13.0</w:t>
                  </w:r>
                </w:p>
              </w:tc>
              <w:tc>
                <w:tcPr/>
                <w:p>
                  <w:pPr>
                    <w:pStyle w:val="Compact"/>
                    <w:jc w:val="center"/>
                  </w:pPr>
                  <w:r>
                    <w:t xml:space="preserve">Drug substance</w:t>
                  </w:r>
                </w:p>
              </w:tc>
            </w:tr>
            <w:tr>
              <w:tc>
                <w:tcPr/>
                <w:p>
                  <w:pPr>
                    <w:pStyle w:val="Compact"/>
                    <w:jc w:val="center"/>
                  </w:pPr>
                  <w:r>
                    <w:t xml:space="preserve">Aggregates, HMW (%)</w:t>
                  </w:r>
                </w:p>
              </w:tc>
              <w:tc>
                <w:tcPr/>
                <w:p>
                  <w:pPr>
                    <w:pStyle w:val="Compact"/>
                    <w:jc w:val="center"/>
                  </w:pPr>
                  <w:r>
                    <w:t xml:space="preserve">≤ 1.86</w:t>
                  </w:r>
                </w:p>
              </w:tc>
              <w:tc>
                <w:tcPr/>
                <w:p>
                  <w:pPr>
                    <w:pStyle w:val="Compact"/>
                    <w:jc w:val="center"/>
                  </w:pPr>
                  <w:r>
                    <w:t xml:space="preserve">R1, margin 6.8</w:t>
                  </w:r>
                </w:p>
              </w:tc>
              <w:tc>
                <w:tcPr/>
                <w:p>
                  <w:pPr>
                    <w:pStyle w:val="Compact"/>
                    <w:jc w:val="center"/>
                  </w:pPr>
                  <w:r>
                    <w:t xml:space="preserve">≤ 6.46</w:t>
                  </w:r>
                </w:p>
              </w:tc>
              <w:tc>
                <w:tcPr/>
                <w:p>
                  <w:pPr>
                    <w:pStyle w:val="Compact"/>
                    <w:jc w:val="center"/>
                  </w:pPr>
                  <w:r>
                    <w:t xml:space="preserve">Carried back, tightened</w:t>
                  </w:r>
                  <w:r>
                    <w:rPr>
                      <w:vertAlign w:val="superscript"/>
                    </w:rPr>
                    <w:t xml:space="preserve">b)</w:t>
                  </w:r>
                  <w:r>
                    <w:t xml:space="preserve"> </w:t>
                  </w:r>
                  <w:r>
                    <w:t xml:space="preserve">and widened</w:t>
                  </w:r>
                  <w:r>
                    <w:rPr>
                      <w:vertAlign w:val="superscript"/>
                    </w:rPr>
                    <w:t xml:space="preserve">c)</w:t>
                  </w:r>
                  <w:r>
                    <w:t xml:space="preserve"> </w:t>
                  </w:r>
                  <w:r>
                    <w:t xml:space="preserve">from ≤ 9.30</w:t>
                  </w:r>
                </w:p>
              </w:tc>
            </w:tr>
            <w:tr>
              <w:tc>
                <w:tcPr/>
                <w:p>
                  <w:pPr>
                    <w:pStyle w:val="Compact"/>
                    <w:jc w:val="center"/>
                  </w:pPr>
                  <w:r>
                    <w:t xml:space="preserve">Galactosylation (%)</w:t>
                  </w:r>
                </w:p>
              </w:tc>
              <w:tc>
                <w:tcPr/>
                <w:p>
                  <w:pPr>
                    <w:pStyle w:val="Compact"/>
                    <w:jc w:val="center"/>
                  </w:pPr>
                  <w:r>
                    <w:t xml:space="preserve">10.0–30.1</w:t>
                  </w:r>
                </w:p>
              </w:tc>
              <w:tc>
                <w:tcPr/>
                <w:p>
                  <w:pPr>
                    <w:pStyle w:val="Compact"/>
                    <w:jc w:val="center"/>
                  </w:pPr>
                  <w:r>
                    <w:t xml:space="preserve">R2</w:t>
                  </w:r>
                </w:p>
              </w:tc>
              <w:tc>
                <w:tcPr/>
                <w:p>
                  <w:pPr>
                    <w:pStyle w:val="Compact"/>
                    <w:jc w:val="center"/>
                  </w:pPr>
                  <w:r>
                    <w:t xml:space="preserve">10.0–40.0</w:t>
                  </w:r>
                </w:p>
              </w:tc>
              <w:tc>
                <w:tcPr/>
                <w:p>
                  <w:pPr>
                    <w:pStyle w:val="Compact"/>
                    <w:jc w:val="center"/>
                  </w:pPr>
                  <w:r>
                    <w:t xml:space="preserve">Drug substance</w:t>
                  </w:r>
                </w:p>
              </w:tc>
            </w:tr>
            <w:tr>
              <w:tc>
                <w:tcPr/>
                <w:p>
                  <w:pPr>
                    <w:pStyle w:val="Compact"/>
                    <w:jc w:val="center"/>
                  </w:pPr>
                  <w:r>
                    <w:t xml:space="preserve">High mannose (%)</w:t>
                  </w:r>
                </w:p>
              </w:tc>
              <w:tc>
                <w:tcPr/>
                <w:p>
                  <w:pPr>
                    <w:pStyle w:val="Compact"/>
                    <w:jc w:val="center"/>
                  </w:pPr>
                  <w:r>
                    <w:t xml:space="preserve">3.00–7.28</w:t>
                  </w:r>
                </w:p>
              </w:tc>
              <w:tc>
                <w:tcPr/>
                <w:p>
                  <w:pPr>
                    <w:pStyle w:val="Compact"/>
                    <w:jc w:val="center"/>
                  </w:pPr>
                  <w:r>
                    <w:t xml:space="preserve">R2</w:t>
                  </w:r>
                </w:p>
              </w:tc>
              <w:tc>
                <w:tcPr/>
                <w:p>
                  <w:pPr>
                    <w:pStyle w:val="Compact"/>
                    <w:jc w:val="center"/>
                  </w:pPr>
                  <w:r>
                    <w:t xml:space="preserve">3.00–10.0</w:t>
                  </w:r>
                </w:p>
              </w:tc>
              <w:tc>
                <w:tcPr/>
                <w:p>
                  <w:pPr>
                    <w:pStyle w:val="Compact"/>
                    <w:jc w:val="center"/>
                  </w:pPr>
                  <w:r>
                    <w:t xml:space="preserve">Drug substance</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Tightened on verification: a downstream step did worse within its NOR than the platform worst case.</w:t>
                  </w:r>
                </w:p>
              </w:tc>
            </w:tr>
            <w:tr>
              <w:tc>
                <w:tcPr>
                  <w:gridSpan w:val="5"/>
                </w:tcPr>
                <w:p>
                  <w:pPr>
                    <w:pStyle w:val="Compact"/>
                    <w:jc w:val="center"/>
                  </w:pPr>
                  <w:r>
                    <w:rPr>
                      <w:vertAlign w:val="superscript"/>
                    </w:rPr>
                    <w:t xml:space="preserve">c)</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R2</w:t>
                  </w:r>
                  <w:r>
                    <w:t xml:space="preserve"> </w:t>
                  </w:r>
                  <w:r>
                    <w:t xml:space="preserve">Version 1.0 rule: mean + 2.5 sd of capability.</w:t>
                  </w:r>
                </w:p>
              </w:tc>
            </w:tr>
          </w:tbl>
          <w:bookmarkEnd w:id="28"/>
          <w:p/>
        </w:tc>
      </w:tr>
    </w:tbl>
    <w:bookmarkEnd w:id="29"/>
    <w:bookmarkEnd w:id="30"/>
    <w:bookmarkStart w:id="35" w:name="sec-prior"/>
    <w:p>
      <w:pPr>
        <w:pStyle w:val="Heading1"/>
      </w:pPr>
      <w:r>
        <w:t xml:space="preserve">2. Prior knowledge and quality risk basis</w:t>
      </w:r>
    </w:p>
    <w:bookmarkStart w:id="31" w:name="sec-platform"/>
    <w:p>
      <w:pPr>
        <w:pStyle w:val="Heading2"/>
      </w:pPr>
      <w:r>
        <w:t xml:space="preserve">2.1 Platform and prior-product knowledge</w:t>
      </w:r>
    </w:p>
    <w:p>
      <w:pPr>
        <w:pStyle w:val="FirstParagraph"/>
      </w:pPr>
      <w:r>
        <w:t xml:space="preserve">The platform on which A-Mab is produced was used for the humanized IgG1 antibodies X-Mab, Y-Mab and Z-Mab and for the A-Mab clinical and engineering campaigns</w:t>
      </w:r>
      <w:r>
        <w:t xml:space="preserve"> </w:t>
      </w:r>
      <w:r>
        <w:t xml:space="preserve">(CMC Biotech Working Group 2009)</w:t>
      </w:r>
      <w:r>
        <w:t xml:space="preserve">. Cell line construction, basal medium, feed strategy and the control of pH, temperature and dissolved oxygen are common to these products. The directions of the effects seen on the platform are carried into this study as expectations. Their sizes are not, and the fitted models of this study give them.</w:t>
      </w:r>
    </w:p>
    <w:p>
      <w:pPr>
        <w:pStyle w:val="BodyText"/>
      </w:pPr>
      <w:r>
        <w:t xml:space="preserve">The glycans are built in the Golgi by enzymes that draw on nucleotide sugar donors. Core fucose is added by a fucosyltransferase from GDP-fucose. The fraction of antibody secreted without core fucose therefore rises when the activity of that enzyme falls, when the donor is depleted or when the glycan spends less time in the Golgi. Terminal galactose is added by a galactosyltransferase from UDP-galactose. The donor and the manganese cofactor of the enzyme are depleted late in a fed-batch culture, so galactosylation is expected to fall as the culture ages. High mannose glycans remain when processing stops early, so their level rises when transit through the Golgi is fast relative to the processing enzymes or when those enzymes are inhibited. The harvested pool contains everything secreted during the run, so a longer culture weights it toward antibody made late, under depleted conditions.</w:t>
      </w:r>
    </w:p>
    <w:p>
      <w:pPr>
        <w:pStyle w:val="BodyText"/>
      </w:pPr>
      <w:r>
        <w:t xml:space="preserve">A higher culture pH raises the pH inside the cell and in the Golgi. The glycosyltransferases and the mannosidases each work fastest at a different pH, so a shift changes their rates by different amounts, and its direction on each glycan is read from the data. A higher culture temperature raises the growth rate and the rate of every enzymatic and chemical reaction. Dissolved carbon dioxide forms bicarbonate and lowers the pH in the cytosol, so a higher pCO2 is expected to move each glycan in the direction opposite to a higher culture pH. A higher osmolality draws water out of the cell, slows its growth and changes the size of the nucleotide sugar pools. These four parameters act on the same enzymes and donor pools, so the effect of one on a glycan is expected to depend on the levels of the others (PCP-003 §4.1).</w:t>
      </w:r>
    </w:p>
    <w:p>
      <w:pPr>
        <w:pStyle w:val="BodyText"/>
      </w:pPr>
      <w:r>
        <w:t xml:space="preserve">Aggregate forms after secretion, while the antibody sits in the culture fluid at culture temperature. A longer culture raises it through the longer time at temperature. A culture pH closer to the isoelectric point raises it, because the net charge of the antibody falls and the repulsion between molecules weakens. Acidic variants are mainly products of asparagine deamidation, together with sialylated glycans and glycated lysines. Deamidation speeds up at a higher temperature and a higher pH. Sialylation rises with the activity of the sialyltransferases inside the cell, and glycation rises with the residual glucose of the medium. These routes do not respond to a parameter in the same direction, so the net direction of each parameter on acidic variants is read from the data.</w:t>
      </w:r>
    </w:p>
    <w:p>
      <w:pPr>
        <w:pStyle w:val="BodyText"/>
      </w:pPr>
      <w:r>
        <w:t xml:space="preserve">Dissolved oxygen supplies the oxygen for oxidative metabolism, and the culture is not expected to be limited by oxygen at either end of the range studied, so neither growth nor the glycans are expected to move across it. A higher initial viable cell concentration brings the culture to its peak viable cell density earlier and leaves more days in the productive phase, which raises the titre. A higher basal medium concentration and a larger nutrient feed-1 volume raise the supply of glucose, amino acids and nucleotide sugar precursors, which raises growth and titre. PCP-003 §4.1 expects none of these four parameters to move a glycan attribute at a fixed culture age within the ranges studied. The record holds no metabolite data with which to check the supply directly.</w:t>
      </w:r>
    </w:p>
    <w:bookmarkEnd w:id="31"/>
    <w:bookmarkStart w:id="33" w:name="sec-cqa"/>
    <w:p>
      <w:pPr>
        <w:pStyle w:val="Heading2"/>
      </w:pPr>
      <w:r>
        <w:t xml:space="preserve">2.2 Quality attributes in scope</w:t>
      </w:r>
    </w:p>
    <w:p>
      <w:pPr>
        <w:pStyle w:val="FirstParagraph"/>
      </w:pPr>
      <w:hyperlink w:anchor="tbl-cqa">
        <w:r>
          <w:rPr>
            <w:rStyle w:val="Hyperlink"/>
          </w:rPr>
          <w:t xml:space="preserve">Table 3</w:t>
        </w:r>
      </w:hyperlink>
      <w:r>
        <w:t xml:space="preserve"> </w:t>
      </w:r>
      <w:r>
        <w:t xml:space="preserve">lists the seven quality attributes that the drug substance CQA register assigns to the production bioreactor. Criticality was assigned in RA-001 with Tool #1 of the A-Mab case study, whose score is the product of the impact of the attribute and the uncertainty in that impact</w:t>
      </w:r>
      <w:r>
        <w:t xml:space="preserve"> </w:t>
      </w:r>
      <w:r>
        <w:t xml:space="preserve">(CMC Biotech Working Group 2009)</w:t>
      </w:r>
      <w:r>
        <w:t xml:space="preserve">. The levels run from very low (VL) to very high (VH), and the attributes of high (H) and very high criticality are called critical. For this step the critical attributes are afucosylation, galactosylation, high mannose and aggregate. Host cell protein has moderate to high criticality (M-H). Acidic variants and residual DNA have very low criticality, and their drug substance criteria still apply (PCMP-001 §3).</w:t>
      </w:r>
    </w:p>
    <w:tbl>
      <w:tblPr>
        <w:tblStyle w:val="Table"/>
        <w:tblW w:type="pct" w:w="5000"/>
        <w:tblLayout w:type="fixed"/>
        <w:tblLook w:firstRow="0" w:lastRow="0" w:firstColumn="0" w:lastColumn="0" w:noHBand="0" w:noVBand="0" w:val="0000"/>
      </w:tblPr>
      <w:tblGrid>
        <w:gridCol w:w="7920"/>
      </w:tblGrid>
      <w:tr>
        <w:tc>
          <w:tcPr/>
          <w:bookmarkStart w:id="32" w:name="tbl-cqa"/>
          <w:p>
            <w:pPr>
              <w:jc w:val="center"/>
            </w:pPr>
            <w:pPr>
              <w:jc w:val="start"/>
              <w:spacing w:before="200"/>
              <w:pStyle w:val="ImageCaption"/>
            </w:pPr>
            <w:r>
              <w:t xml:space="preserve">Table 3: Quality attributes that the drug substance CQA register assigns to the production bioreactor, with their drug substance criteria and criticality.</w:t>
            </w:r>
          </w:p>
          <w:tbl>
            <w:tblPr>
              <w:tblStyle w:val="Table"/>
              <w:tblW w:type="pct" w:w="5000"/>
              <w:tblLayout w:type="fixed"/>
              <w:tblLook w:firstRow="1" w:lastRow="0" w:firstColumn="0" w:lastColumn="0" w:noHBand="0" w:noVBand="0" w:val="0020"/>
            </w:tblPr>
            <w:tblGrid>
              <w:gridCol w:w="2839"/>
              <w:gridCol w:w="1344"/>
              <w:gridCol w:w="1793"/>
              <w:gridCol w:w="1120"/>
              <w:gridCol w:w="821"/>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Acceptance</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Afucosylation</w:t>
                  </w:r>
                </w:p>
              </w:tc>
              <w:tc>
                <w:tcPr/>
                <w:p>
                  <w:pPr>
                    <w:pStyle w:val="Compact"/>
                    <w:jc w:val="left"/>
                    <w:jc w:val="center"/>
                  </w:pPr>
                  <w:r>
                    <w:t xml:space="preserve">glycosylation</w:t>
                  </w:r>
                </w:p>
              </w:tc>
              <w:tc>
                <w:tcPr/>
                <w:p>
                  <w:pPr>
                    <w:pStyle w:val="Compact"/>
                    <w:jc w:val="left"/>
                    <w:jc w:val="center"/>
                  </w:pPr>
                  <w:r>
                    <w:t xml:space="preserve">2–13 % of glycans</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Galactosylation (total %Gal)</w:t>
                  </w:r>
                </w:p>
              </w:tc>
              <w:tc>
                <w:tcPr/>
                <w:p>
                  <w:pPr>
                    <w:pStyle w:val="Compact"/>
                    <w:jc w:val="left"/>
                    <w:jc w:val="center"/>
                  </w:pPr>
                  <w:r>
                    <w:t xml:space="preserve">glycosylation</w:t>
                  </w:r>
                </w:p>
              </w:tc>
              <w:tc>
                <w:tcPr/>
                <w:p>
                  <w:pPr>
                    <w:pStyle w:val="Compact"/>
                    <w:jc w:val="left"/>
                    <w:jc w:val="center"/>
                  </w:pPr>
                  <w:r>
                    <w:t xml:space="preserve">10–40 % (G1+G2 equiv.)</w:t>
                  </w:r>
                </w:p>
              </w:tc>
              <w:tc>
                <w:tcPr/>
                <w:p>
                  <w:pPr>
                    <w:pStyle w:val="Compact"/>
                    <w:jc w:val="left"/>
                    <w:jc w:val="center"/>
                  </w:pPr>
                  <w:r>
                    <w:t xml:space="preserve">H</w:t>
                  </w:r>
                </w:p>
              </w:tc>
              <w:tc>
                <w:tcPr/>
                <w:p>
                  <w:pPr>
                    <w:pStyle w:val="Compact"/>
                    <w:jc w:val="right"/>
                    <w:jc w:val="center"/>
                  </w:pPr>
                  <w:r>
                    <w:t xml:space="preserve">48</w:t>
                  </w:r>
                </w:p>
              </w:tc>
            </w:tr>
            <w:tr>
              <w:tc>
                <w:tcPr/>
                <w:p>
                  <w:pPr>
                    <w:pStyle w:val="Compact"/>
                    <w:jc w:val="left"/>
                    <w:jc w:val="center"/>
                  </w:pPr>
                  <w:r>
                    <w:t xml:space="preserve">High Mannose</w:t>
                  </w:r>
                </w:p>
              </w:tc>
              <w:tc>
                <w:tcPr/>
                <w:p>
                  <w:pPr>
                    <w:pStyle w:val="Compact"/>
                    <w:jc w:val="left"/>
                    <w:jc w:val="center"/>
                  </w:pPr>
                  <w:r>
                    <w:t xml:space="preserve">glycosylation</w:t>
                  </w:r>
                </w:p>
              </w:tc>
              <w:tc>
                <w:tcPr/>
                <w:p>
                  <w:pPr>
                    <w:pStyle w:val="Compact"/>
                    <w:jc w:val="left"/>
                    <w:jc w:val="center"/>
                  </w:pPr>
                  <w:r>
                    <w:t xml:space="preserve">3–10 % of glycans</w:t>
                  </w:r>
                </w:p>
              </w:tc>
              <w:tc>
                <w:tcPr/>
                <w:p>
                  <w:pPr>
                    <w:pStyle w:val="Compact"/>
                    <w:jc w:val="left"/>
                    <w:jc w:val="center"/>
                  </w:pPr>
                  <w:r>
                    <w:t xml:space="preserve">VH</w:t>
                  </w:r>
                </w:p>
              </w:tc>
              <w:tc>
                <w:tcPr/>
                <w:p>
                  <w:pPr>
                    <w:pStyle w:val="Compact"/>
                    <w:jc w:val="right"/>
                    <w:jc w:val="center"/>
                  </w:pPr>
                  <w:r>
                    <w:t xml:space="preserve">80</w:t>
                  </w:r>
                </w:p>
              </w:tc>
            </w:tr>
            <w:tr>
              <w:tc>
                <w:tcPr/>
                <w:p>
                  <w:pPr>
                    <w:pStyle w:val="Compact"/>
                    <w:jc w:val="left"/>
                    <w:jc w:val="center"/>
                  </w:pPr>
                  <w:r>
                    <w:t xml:space="preserve">Aggregates (HMW)</w:t>
                  </w:r>
                </w:p>
              </w:tc>
              <w:tc>
                <w:tcPr/>
                <w:p>
                  <w:pPr>
                    <w:pStyle w:val="Compact"/>
                    <w:jc w:val="left"/>
                    <w:jc w:val="center"/>
                  </w:pPr>
                  <w:r>
                    <w:t xml:space="preserve">size variant</w:t>
                  </w:r>
                </w:p>
              </w:tc>
              <w:tc>
                <w:tcPr/>
                <w:p>
                  <w:pPr>
                    <w:pStyle w:val="Compact"/>
                    <w:jc w:val="left"/>
                    <w:jc w:val="center"/>
                  </w:pPr>
                  <w:r>
                    <w:t xml:space="preserve">≤ 5 % HMW (SEC)</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Acidic charge variants (deamidation)</w:t>
                  </w:r>
                </w:p>
              </w:tc>
              <w:tc>
                <w:tcPr/>
                <w:p>
                  <w:pPr>
                    <w:pStyle w:val="Compact"/>
                    <w:jc w:val="left"/>
                    <w:jc w:val="center"/>
                  </w:pPr>
                  <w:r>
                    <w:t xml:space="preserve">charge variant</w:t>
                  </w:r>
                </w:p>
              </w:tc>
              <w:tc>
                <w:tcPr/>
                <w:p>
                  <w:pPr>
                    <w:pStyle w:val="Compact"/>
                    <w:jc w:val="left"/>
                    <w:jc w:val="center"/>
                  </w:pPr>
                  <w:r>
                    <w:t xml:space="preserve">18–40 % (CEX/icIEF)</w:t>
                  </w:r>
                </w:p>
              </w:tc>
              <w:tc>
                <w:tcPr/>
                <w:p>
                  <w:pPr>
                    <w:pStyle w:val="Compact"/>
                    <w:jc w:val="left"/>
                    <w:jc w:val="center"/>
                  </w:pPr>
                  <w:r>
                    <w:t xml:space="preserve">VL</w:t>
                  </w:r>
                </w:p>
              </w:tc>
              <w:tc>
                <w:tcPr/>
                <w:p>
                  <w:pPr>
                    <w:pStyle w:val="Compact"/>
                    <w:jc w:val="right"/>
                    <w:jc w:val="center"/>
                  </w:pPr>
                  <w:r>
                    <w:t xml:space="preserve">4</w:t>
                  </w:r>
                </w:p>
              </w:tc>
            </w:tr>
            <w:tr>
              <w:tc>
                <w:tcPr/>
                <w:p>
                  <w:pPr>
                    <w:pStyle w:val="Compact"/>
                    <w:jc w:val="left"/>
                    <w:jc w:val="center"/>
                  </w:pPr>
                  <w:r>
                    <w:t xml:space="preserve">Host Cell Protein (HCP)</w:t>
                  </w:r>
                </w:p>
              </w:tc>
              <w:tc>
                <w:tcPr/>
                <w:p>
                  <w:pPr>
                    <w:pStyle w:val="Compact"/>
                    <w:jc w:val="left"/>
                    <w:jc w:val="center"/>
                  </w:pPr>
                  <w:r>
                    <w:t xml:space="preserve">process impurity</w:t>
                  </w:r>
                </w:p>
              </w:tc>
              <w:tc>
                <w:tcPr/>
                <w:p>
                  <w:pPr>
                    <w:pStyle w:val="Compact"/>
                    <w:jc w:val="left"/>
                    <w:jc w:val="center"/>
                  </w:pPr>
                  <w:r>
                    <w:t xml:space="preserve">≤ 100 ng/mg</w:t>
                  </w:r>
                </w:p>
              </w:tc>
              <w:tc>
                <w:tcPr/>
                <w:p>
                  <w:pPr>
                    <w:pStyle w:val="Compact"/>
                    <w:jc w:val="left"/>
                    <w:jc w:val="center"/>
                  </w:pPr>
                  <w:r>
                    <w:t xml:space="preserve">M-H</w:t>
                  </w:r>
                </w:p>
              </w:tc>
              <w:tc>
                <w:tcPr/>
                <w:p>
                  <w:pPr>
                    <w:pStyle w:val="Compact"/>
                    <w:jc w:val="right"/>
                    <w:jc w:val="center"/>
                  </w:pPr>
                  <w:r>
                    <w:t xml:space="preserve">36</w:t>
                  </w:r>
                </w:p>
              </w:tc>
            </w:tr>
            <w:tr>
              <w:tc>
                <w:tcPr/>
                <w:p>
                  <w:pPr>
                    <w:pStyle w:val="Compact"/>
                    <w:jc w:val="left"/>
                    <w:jc w:val="center"/>
                  </w:pPr>
                  <w:r>
                    <w:t xml:space="preserve">Residual DNA</w:t>
                  </w:r>
                </w:p>
              </w:tc>
              <w:tc>
                <w:tcPr/>
                <w:p>
                  <w:pPr>
                    <w:pStyle w:val="Compact"/>
                    <w:jc w:val="left"/>
                    <w:jc w:val="center"/>
                  </w:pPr>
                  <w:r>
                    <w:t xml:space="preserve">process impurity</w:t>
                  </w:r>
                </w:p>
              </w:tc>
              <w:tc>
                <w:tcPr/>
                <w:p>
                  <w:pPr>
                    <w:pStyle w:val="Compact"/>
                    <w:jc w:val="left"/>
                    <w:jc w:val="center"/>
                  </w:pPr>
                  <w:r>
                    <w:t xml:space="preserve">≤ 0.001 ng/dose</w:t>
                  </w:r>
                </w:p>
              </w:tc>
              <w:tc>
                <w:tcPr/>
                <w:p>
                  <w:pPr>
                    <w:pStyle w:val="Compact"/>
                    <w:jc w:val="left"/>
                    <w:jc w:val="center"/>
                  </w:pPr>
                  <w:r>
                    <w:t xml:space="preserve">VL</w:t>
                  </w:r>
                </w:p>
              </w:tc>
              <w:tc>
                <w:tcPr/>
                <w:p>
                  <w:pPr>
                    <w:pStyle w:val="Compact"/>
                    <w:jc w:val="right"/>
                    <w:jc w:val="center"/>
                  </w:pPr>
                  <w:r>
                    <w:t xml:space="preserve">6</w:t>
                  </w:r>
                </w:p>
              </w:tc>
            </w:tr>
          </w:tbl>
          <w:bookmarkEnd w:id="32"/>
          <w:p/>
        </w:tc>
      </w:tr>
    </w:tbl>
    <w:p>
      <w:pPr>
        <w:pStyle w:val="BodyText"/>
      </w:pPr>
      <w:r>
        <w:t xml:space="preserve">Antibody without core fucose binds the Fc gamma receptor IIIa (FcγRIIIa) on the effector cell more strongly, which raises ADCC, so afucosylation is linked to efficacy. In the A-Mab studies complement-dependent cytotoxicity (CDC) rose with the galactose content, while ADCC did not change</w:t>
      </w:r>
      <w:r>
        <w:t xml:space="preserve"> </w:t>
      </w:r>
      <w:r>
        <w:t xml:space="preserve">(CMC Biotech Working Group 2009)</w:t>
      </w:r>
      <w:r>
        <w:t xml:space="preserve">. High mannose species are cleared from the circulation faster than the fully processed glycoforms, which gives high mannose the highest Tool #1 score of the step. Aggregate is scored for its immunogenic potential.</w:t>
      </w:r>
    </w:p>
    <w:p>
      <w:pPr>
        <w:pStyle w:val="BodyText"/>
      </w:pPr>
      <w:r>
        <w:t xml:space="preserve">The five modelled responses of the designs are afucosylation, galactosylation, high mannose, acidic variants and aggregate. Host cell protein and residual DNA were measured on the clarified harvest for information. Neither has an intermediate acceptance criterion at this step. Host cell protein is first judged in the Protein A pool. Residual DNA is judged on the drug substance only, because the platform history gives no worst-case DNA clearance for the steps after Protein A (PCMP-001 §7.3). Its criterion, ≤ 0.001 ng per dose, is the acceptable range that the A-Mab case study claims, which is met through the clearance of the purification train</w:t>
      </w:r>
      <w:r>
        <w:t xml:space="preserve"> </w:t>
      </w:r>
      <w:r>
        <w:t xml:space="preserve">(CMC Biotech Working Group 2009, 47)</w:t>
      </w:r>
      <w:r>
        <w:t xml:space="preserve">. A dose is 10 mg/kg, given weekly in A-Mab, for a reference adult of 70 kg, an assumption of this campaign. The CQA register assigns fragments to harvest, and fragments have no intermediate acceptance criterion at this step, so they are not an attribute of these studies.</w:t>
      </w:r>
    </w:p>
    <w:bookmarkEnd w:id="33"/>
    <w:bookmarkStart w:id="34" w:name="sec-risk"/>
    <w:p>
      <w:pPr>
        <w:pStyle w:val="Heading2"/>
      </w:pPr>
      <w:r>
        <w:t xml:space="preserve">2.3 Risk-based prioritization and parameter selection</w:t>
      </w:r>
    </w:p>
    <w:p>
      <w:pPr>
        <w:pStyle w:val="FirstParagraph"/>
      </w:pPr>
      <w:r>
        <w:t xml:space="preserve">The risk assessment RA-001 ranked every parameter of the step before characterization began, on its potential impact on a quality attribute and its potential to interact with other parameters</w:t>
      </w:r>
      <w:r>
        <w:t xml:space="preserve"> </w:t>
      </w:r>
      <w:r>
        <w:t xml:space="preserve">(International Council for Harmonisation 2023)</w:t>
      </w:r>
      <w:r>
        <w:t xml:space="preserve">. Parameters ranked high, or with a likely interaction, were assigned to multivariate study, and the others to univariate study (PCMP-001 §4). For the production bioreactor five of the nine parameters were assigned to multivariate study, namely culture pH, culture temperature, CO2 partial pressure (pCO2), osmolality and culture duration. Culture pH, pCO2 and osmolality change the pH inside the cell or the nucleotide sugar pools, culture temperature changes the rate of growth and of the Golgi enzymes, and culture duration weights the harvested pool toward antibody made late in the culture. The effect of one is therefore expected to depend on the levels of the others, and only a design that varies them together can estimate that dependence. Dissolved oxygen, initial viable cell concentration, basal medium concentration and nutrient feed-1 volume were assigned to univariate study, because none of them is expected to move a glycan attribute at a fixed culture age (</w:t>
      </w:r>
      <w:hyperlink w:anchor="sec-platform">
        <w:r>
          <w:rPr>
            <w:rStyle w:val="Hyperlink"/>
          </w:rPr>
          <w:t xml:space="preserve">Section 2.1</w:t>
        </w:r>
      </w:hyperlink>
      <w:r>
        <w:t xml:space="preserve">).</w:t>
      </w:r>
    </w:p>
    <w:p>
      <w:pPr>
        <w:pStyle w:val="BodyText"/>
      </w:pPr>
      <w:r>
        <w:t xml:space="preserve">The range studied of every parameter extends beyond its NOR at both ends, and it is between 1.5 and 2.5 times as wide as the NOR. The wider range shows how each attribute responds beyond the edges of routine operation, and it sets the knowledge space within which a PAR can be claimed. No PAR is claimed beyond the range studied.</w:t>
      </w:r>
    </w:p>
    <w:bookmarkEnd w:id="34"/>
    <w:bookmarkEnd w:id="35"/>
    <w:bookmarkStart w:id="44" w:name="sec-methods"/>
    <w:p>
      <w:pPr>
        <w:pStyle w:val="Heading1"/>
      </w:pPr>
      <w:r>
        <w:t xml:space="preserve">3. Materials and methods</w:t>
      </w:r>
    </w:p>
    <w:bookmarkStart w:id="37" w:name="sec-sdm"/>
    <w:p>
      <w:pPr>
        <w:pStyle w:val="Heading2"/>
      </w:pPr>
      <w:r>
        <w:t xml:space="preserve">3.1 Scale-down model and its qualification</w:t>
      </w:r>
    </w:p>
    <w:p>
      <w:pPr>
        <w:pStyle w:val="FirstParagraph"/>
      </w:pPr>
      <w:r>
        <w:t xml:space="preserve">The studies were run in bench-scale stirred-tank bioreactors of the same design class as the commercial production vessel, with the same control scheme for pH, temperature, dissolved oxygen and nutrient addition. The scale-down model was operated under the bioreactor procedure SOP-2003. Parameters that do not depend on scale were run at the commercial set-points. Parameters that depend on scale, such as the agitation rate, the gas flow rates and the working volume, were set so that the small scale matched the performance of the full scale</w:t>
      </w:r>
      <w:r>
        <w:t xml:space="preserve"> </w:t>
      </w:r>
      <w:r>
        <w:t xml:space="preserve">(CMC Biotech Working Group 2009)</w:t>
      </w:r>
      <w:r>
        <w:t xml:space="preserve">. pCO2 is the exception. A large vessel strips carbon dioxide less efficiently than a bench-scale vessel, so pCO2 was controlled to the level of each run and studied as a factor, over a range that spans the levels the commercial vessel reaches (PCP-003 §5.1). The pCO2 of each run was measured by the probe of the scale-down bioreactor system, EQ-BRX-205.</w:t>
      </w:r>
    </w:p>
    <w:p>
      <w:pPr>
        <w:pStyle w:val="BodyText"/>
      </w:pPr>
      <w:r>
        <w:t xml:space="preserve">The qualification study S-BRX-SDM (2025-08-11 to 2025-09-05) followed the scale-down model procedure SOP-1001. It compared three runs of the scale-down model at the set-points with five manufacturing-scale batches of the A-Mab engineering and clinical campaigns. A scale-down model need not reproduce the manufacturing mean, provided the difference is known well enough that no conclusion depends on its exact size (PCMP-001 §7.1). The offset of an output is the mean of the scale-down runs minus the mean of the manufacturing batches, with its two-sided 90 % confidence interval. For an output modelled on the log scale (</w:t>
      </w:r>
      <w:hyperlink w:anchor="sec-stats">
        <w:r>
          <w:rPr>
            <w:rStyle w:val="Hyperlink"/>
          </w:rPr>
          <w:t xml:space="preserve">Section 3.5</w:t>
        </w:r>
      </w:hyperlink>
      <w:r>
        <w:t xml:space="preserve">) the offset is the ratio of the geometric means, and a scale-down value is divided by it. Every result of the scale-down studies that is judged against a criterion has the offset applied, so ranges and verdicts are stated at manufacturing scale. The model is qualified for an output when the verdict over the NOR, whether the output meets its criterion at every combination of NOR settings, is the same with the offset at either end of its interval.</w:t>
      </w:r>
    </w:p>
    <w:p>
      <w:pPr>
        <w:pStyle w:val="BodyText"/>
      </w:pPr>
      <w:hyperlink w:anchor="tbl-sdm-offsets">
        <w:r>
          <w:rPr>
            <w:rStyle w:val="Hyperlink"/>
          </w:rPr>
          <w:t xml:space="preserve">Table 4</w:t>
        </w:r>
      </w:hyperlink>
      <w:r>
        <w:t xml:space="preserve"> </w:t>
      </w:r>
      <w:r>
        <w:t xml:space="preserve">gives the offsets, as differences for the two outputs modelled on the raw scale and as ratios for the three modelled on the log scale. The scale-down model is qualified for every output with a criterion. Acidic variants fail their criterion over the NOR with the offset at its estimate and at either end of its interval, so that verdict does not depend on the offset either. Only for aggregate does the interval exclude a ratio of 1, and the scale-down model gives about 8 % less aggregate than manufacturing scale. That difference is accounted for through the offset and was not investigated before the characterization runs (PD-003-13). Its cause is not known.</w:t>
      </w:r>
    </w:p>
    <w:p>
      <w:pPr>
        <w:pStyle w:val="BodyText"/>
      </w:pPr>
      <w:r>
        <w:t xml:space="preserve">The qualification runs ended on 2025-09-05, before the screening study started on 2025-09-08. PCP-003 Version 1.0 compared the means of the two scales by a test of no difference at that point, so the difference of the means was known before the first characterization run. The confidence intervals of</w:t>
      </w:r>
      <w:r>
        <w:t xml:space="preserve"> </w:t>
      </w:r>
      <w:hyperlink w:anchor="tbl-sdm-offsets">
        <w:r>
          <w:rPr>
            <w:rStyle w:val="Hyperlink"/>
          </w:rPr>
          <w:t xml:space="preserve">Table 4</w:t>
        </w:r>
      </w:hyperlink>
      <w:r>
        <w:t xml:space="preserve"> </w:t>
      </w:r>
      <w:r>
        <w:t xml:space="preserve">and the decision whether the model is qualified for each output were computed at analysis, as PCMP-001 §7.1 allows. The viable cell density, the viability at harvest and the titre, which PCP-003 §5.1 also lists among the outputs compared, are not in the record of the qualification or of any characterization run (PD-003-09).</w:t>
      </w:r>
    </w:p>
    <w:p>
      <w:pPr>
        <w:pStyle w:val="BodyText"/>
      </w:pPr>
      <w:r>
        <w:t xml:space="preserve">The centre points of the screening and response-surface designs were run at the same set-points as the qualification runs. They therefore carry the variation between runs of the scale-down model together with the variation of the analytical methods, and they give the pure error of the lack-of-fit test. The offset was estimated at the set-points only, and its use across the range studied is an assumption of PCP-003 §12.</w:t>
      </w:r>
    </w:p>
    <w:tbl>
      <w:tblPr>
        <w:tblStyle w:val="Table"/>
        <w:tblW w:type="pct" w:w="5000"/>
        <w:tblLayout w:type="fixed"/>
        <w:tblLook w:firstRow="0" w:lastRow="0" w:firstColumn="0" w:lastColumn="0" w:noHBand="0" w:noVBand="0" w:val="0000"/>
      </w:tblPr>
      <w:tblGrid>
        <w:gridCol w:w="7920"/>
      </w:tblGrid>
      <w:tr>
        <w:tc>
          <w:tcPr/>
          <w:bookmarkStart w:id="36" w:name="tbl-sdm-offsets"/>
          <w:p>
            <w:pPr>
              <w:jc w:val="center"/>
            </w:pPr>
            <w:pPr>
              <w:jc w:val="start"/>
              <w:spacing w:before="200"/>
              <w:pStyle w:val="ImageCaption"/>
            </w:pPr>
            <w:r>
              <w:t xml:space="preserve">Table 4: Offsets of the scale-down models (scale-down minus manufacturing scale) and the qualification of each model for each output, production bioreactor.</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Afucosylation (%)</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7.54</w:t>
                  </w:r>
                </w:p>
              </w:tc>
              <w:tc>
                <w:tcPr/>
                <w:p>
                  <w:pPr>
                    <w:pStyle w:val="Compact"/>
                    <w:jc w:val="center"/>
                  </w:pPr>
                  <w:r>
                    <w:t xml:space="preserve">7.92</w:t>
                  </w:r>
                </w:p>
              </w:tc>
              <w:tc>
                <w:tcPr/>
                <w:p>
                  <w:pPr>
                    <w:pStyle w:val="Compact"/>
                    <w:jc w:val="center"/>
                  </w:pPr>
                  <w:r>
                    <w:t xml:space="preserve">−0.38</w:t>
                  </w:r>
                </w:p>
              </w:tc>
              <w:tc>
                <w:tcPr/>
                <w:p>
                  <w:pPr>
                    <w:pStyle w:val="Compact"/>
                    <w:jc w:val="center"/>
                  </w:pPr>
                  <w:r>
                    <w:t xml:space="preserve">−0.88 to 0.11</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Galactosylation (%)</w:t>
                  </w:r>
                </w:p>
              </w:tc>
              <w:tc>
                <w:tcPr>
                  <w:gridSpan w:val="1"/>
                  <w:vMerge w:val="continue"/>
                </w:tcPr>
                <w:p>
                  <w:pPr/>
                </w:p>
              </w:tc>
              <w:tc>
                <w:tcPr>
                  <w:gridSpan w:val="1"/>
                  <w:vMerge w:val="continue"/>
                </w:tcPr>
                <w:p>
                  <w:pPr/>
                </w:p>
              </w:tc>
              <w:tc>
                <w:tcPr/>
                <w:p>
                  <w:pPr>
                    <w:pStyle w:val="Compact"/>
                    <w:jc w:val="center"/>
                  </w:pPr>
                  <w:r>
                    <w:t xml:space="preserve">26.13</w:t>
                  </w:r>
                </w:p>
              </w:tc>
              <w:tc>
                <w:tcPr/>
                <w:p>
                  <w:pPr>
                    <w:pStyle w:val="Compact"/>
                    <w:jc w:val="center"/>
                  </w:pPr>
                  <w:r>
                    <w:t xml:space="preserve">26.37</w:t>
                  </w:r>
                </w:p>
              </w:tc>
              <w:tc>
                <w:tcPr/>
                <w:p>
                  <w:pPr>
                    <w:pStyle w:val="Compact"/>
                    <w:jc w:val="center"/>
                  </w:pPr>
                  <w:r>
                    <w:t xml:space="preserve">−0.24</w:t>
                  </w:r>
                </w:p>
              </w:tc>
              <w:tc>
                <w:tcPr/>
                <w:p>
                  <w:pPr>
                    <w:pStyle w:val="Compact"/>
                    <w:jc w:val="center"/>
                  </w:pPr>
                  <w:r>
                    <w:t xml:space="preserve">−2.33 to 1.85</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High mannose (%)</w:t>
                  </w:r>
                </w:p>
              </w:tc>
              <w:tc>
                <w:tcPr>
                  <w:gridSpan w:val="1"/>
                  <w:vMerge w:val="continue"/>
                </w:tcPr>
                <w:p>
                  <w:pPr/>
                </w:p>
              </w:tc>
              <w:tc>
                <w:tcPr>
                  <w:gridSpan w:val="1"/>
                  <w:vMerge w:val="continue"/>
                </w:tcPr>
                <w:p>
                  <w:pPr/>
                </w:p>
              </w:tc>
              <w:tc>
                <w:tcPr/>
                <w:p>
                  <w:pPr>
                    <w:pStyle w:val="Compact"/>
                    <w:jc w:val="center"/>
                  </w:pPr>
                  <w:r>
                    <w:t xml:space="preserve">5.98</w:t>
                  </w:r>
                  <w:r>
                    <w:rPr>
                      <w:vertAlign w:val="superscript"/>
                    </w:rPr>
                    <w:t xml:space="preserve">a)</w:t>
                  </w:r>
                </w:p>
              </w:tc>
              <w:tc>
                <w:tcPr/>
                <w:p>
                  <w:pPr>
                    <w:pStyle w:val="Compact"/>
                    <w:jc w:val="center"/>
                  </w:pPr>
                  <w:r>
                    <w:t xml:space="preserve">6.44</w:t>
                  </w:r>
                  <w:r>
                    <w:rPr>
                      <w:vertAlign w:val="superscript"/>
                    </w:rPr>
                    <w:t xml:space="preserve">a)</w:t>
                  </w:r>
                </w:p>
              </w:tc>
              <w:tc>
                <w:tcPr/>
                <w:p>
                  <w:pPr>
                    <w:pStyle w:val="Compact"/>
                    <w:jc w:val="center"/>
                  </w:pPr>
                  <w:r>
                    <w:t xml:space="preserve">×0.928</w:t>
                  </w:r>
                  <w:r>
                    <w:rPr>
                      <w:vertAlign w:val="superscript"/>
                    </w:rPr>
                    <w:t xml:space="preserve">a)</w:t>
                  </w:r>
                </w:p>
              </w:tc>
              <w:tc>
                <w:tcPr/>
                <w:p>
                  <w:pPr>
                    <w:pStyle w:val="Compact"/>
                    <w:jc w:val="center"/>
                  </w:pPr>
                  <w:r>
                    <w:t xml:space="preserve">×0.852 to ×1.011</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Acidic variants (%)</w:t>
                  </w:r>
                </w:p>
              </w:tc>
              <w:tc>
                <w:tcPr>
                  <w:gridSpan w:val="1"/>
                  <w:vMerge w:val="continue"/>
                </w:tcPr>
                <w:p>
                  <w:pPr/>
                </w:p>
              </w:tc>
              <w:tc>
                <w:tcPr>
                  <w:gridSpan w:val="1"/>
                  <w:vMerge w:val="continue"/>
                </w:tcPr>
                <w:p>
                  <w:pPr/>
                </w:p>
              </w:tc>
              <w:tc>
                <w:tcPr/>
                <w:p>
                  <w:pPr>
                    <w:pStyle w:val="Compact"/>
                    <w:jc w:val="center"/>
                  </w:pPr>
                  <w:r>
                    <w:t xml:space="preserve">21.27</w:t>
                  </w:r>
                  <w:r>
                    <w:rPr>
                      <w:vertAlign w:val="superscript"/>
                    </w:rPr>
                    <w:t xml:space="preserve">a)</w:t>
                  </w:r>
                </w:p>
              </w:tc>
              <w:tc>
                <w:tcPr/>
                <w:p>
                  <w:pPr>
                    <w:pStyle w:val="Compact"/>
                    <w:jc w:val="center"/>
                  </w:pPr>
                  <w:r>
                    <w:t xml:space="preserve">21.85</w:t>
                  </w:r>
                  <w:r>
                    <w:rPr>
                      <w:vertAlign w:val="superscript"/>
                    </w:rPr>
                    <w:t xml:space="preserve">a)</w:t>
                  </w:r>
                </w:p>
              </w:tc>
              <w:tc>
                <w:tcPr/>
                <w:p>
                  <w:pPr>
                    <w:pStyle w:val="Compact"/>
                    <w:jc w:val="center"/>
                  </w:pPr>
                  <w:r>
                    <w:t xml:space="preserve">×0.973</w:t>
                  </w:r>
                  <w:r>
                    <w:rPr>
                      <w:vertAlign w:val="superscript"/>
                    </w:rPr>
                    <w:t xml:space="preserve">a)</w:t>
                  </w:r>
                </w:p>
              </w:tc>
              <w:tc>
                <w:tcPr/>
                <w:p>
                  <w:pPr>
                    <w:pStyle w:val="Compact"/>
                    <w:jc w:val="center"/>
                  </w:pPr>
                  <w:r>
                    <w:t xml:space="preserve">×0.896 to ×1.057</w:t>
                  </w:r>
                </w:p>
              </w:tc>
              <w:tc>
                <w:tcPr/>
                <w:p>
                  <w:pPr>
                    <w:pStyle w:val="Compact"/>
                    <w:jc w:val="center"/>
                  </w:pPr>
                  <w:r>
                    <w:t xml:space="preserve">No / No / No</w:t>
                  </w:r>
                </w:p>
              </w:tc>
              <w:tc>
                <w:tcPr/>
                <w:p>
                  <w:pPr>
                    <w:pStyle w:val="Compact"/>
                    <w:jc w:val="center"/>
                  </w:pPr>
                  <w:r>
                    <w:t xml:space="preserve">Yes</w:t>
                  </w:r>
                </w:p>
              </w:tc>
            </w:tr>
            <w:tr>
              <w:tc>
                <w:tcPr/>
                <w:p>
                  <w:pPr>
                    <w:pStyle w:val="Compact"/>
                    <w:jc w:val="center"/>
                  </w:pPr>
                  <w:r>
                    <w:t xml:space="preserve">Aggregates, HMW (%)</w:t>
                  </w:r>
                </w:p>
              </w:tc>
              <w:tc>
                <w:tcPr>
                  <w:gridSpan w:val="1"/>
                  <w:vMerge w:val="continue"/>
                </w:tcPr>
                <w:p>
                  <w:pPr/>
                </w:p>
              </w:tc>
              <w:tc>
                <w:tcPr>
                  <w:gridSpan w:val="1"/>
                  <w:vMerge w:val="continue"/>
                </w:tcPr>
                <w:p>
                  <w:pPr/>
                </w:p>
              </w:tc>
              <w:tc>
                <w:tcPr/>
                <w:p>
                  <w:pPr>
                    <w:pStyle w:val="Compact"/>
                    <w:jc w:val="center"/>
                  </w:pPr>
                  <w:r>
                    <w:t xml:space="preserve">1.43</w:t>
                  </w:r>
                  <w:r>
                    <w:rPr>
                      <w:vertAlign w:val="superscript"/>
                    </w:rPr>
                    <w:t xml:space="preserve">a)</w:t>
                  </w:r>
                </w:p>
              </w:tc>
              <w:tc>
                <w:tcPr/>
                <w:p>
                  <w:pPr>
                    <w:pStyle w:val="Compact"/>
                    <w:jc w:val="center"/>
                  </w:pPr>
                  <w:r>
                    <w:t xml:space="preserve">1.56</w:t>
                  </w:r>
                  <w:r>
                    <w:rPr>
                      <w:vertAlign w:val="superscript"/>
                    </w:rPr>
                    <w:t xml:space="preserve">a)</w:t>
                  </w:r>
                </w:p>
              </w:tc>
              <w:tc>
                <w:tcPr/>
                <w:p>
                  <w:pPr>
                    <w:pStyle w:val="Compact"/>
                    <w:jc w:val="center"/>
                  </w:pPr>
                  <w:r>
                    <w:t xml:space="preserve">×0.917</w:t>
                  </w:r>
                  <w:r>
                    <w:rPr>
                      <w:vertAlign w:val="superscript"/>
                    </w:rPr>
                    <w:t xml:space="preserve">a)</w:t>
                  </w:r>
                </w:p>
              </w:tc>
              <w:tc>
                <w:tcPr/>
                <w:p>
                  <w:pPr>
                    <w:pStyle w:val="Compact"/>
                    <w:jc w:val="center"/>
                  </w:pPr>
                  <w:r>
                    <w:t xml:space="preserve">×0.873 to ×0.963</w:t>
                  </w:r>
                </w:p>
              </w:tc>
              <w:tc>
                <w:tcPr/>
                <w:p>
                  <w:pPr>
                    <w:pStyle w:val="Compact"/>
                    <w:jc w:val="center"/>
                  </w:pPr>
                  <w:r>
                    <w:t xml:space="preserve">Yes / Yes / Yes</w:t>
                  </w:r>
                </w:p>
              </w:tc>
              <w:tc>
                <w:tcPr/>
                <w:p>
                  <w:pPr>
                    <w:pStyle w:val="Compact"/>
                    <w:jc w:val="center"/>
                  </w:pPr>
                  <w:r>
                    <w:t xml:space="preserve">Yes</w:t>
                  </w:r>
                </w:p>
              </w:tc>
            </w:tr>
            <w:tr>
              <w:tc>
                <w:tcPr>
                  <w:gridSpan w:val="9"/>
                </w:tcPr>
                <w:p>
                  <w:pPr>
                    <w:pStyle w:val="Compact"/>
                    <w:jc w:val="center"/>
                  </w:pPr>
                  <w:r>
                    <w:rPr>
                      <w:vertAlign w:val="superscript"/>
                    </w:rPr>
                    <w:t xml:space="preserve">a)</w:t>
                  </w:r>
                  <w:r>
                    <w:t xml:space="preserve"> </w:t>
                  </w:r>
                  <w:r>
                    <w:t xml:space="preserve">Modelled on the log scale: geometric means, and the offset as the ratio of the scale-down to the manufacturing geometric mean. The manufacturing-scale value is the scale-down value divided by the ratio.</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6"/>
          <w:p/>
        </w:tc>
      </w:tr>
    </w:tbl>
    <w:bookmarkEnd w:id="37"/>
    <w:bookmarkStart w:id="38" w:name="sec-operation"/>
    <w:p>
      <w:pPr>
        <w:pStyle w:val="Heading2"/>
      </w:pPr>
      <w:r>
        <w:t xml:space="preserve">3.2 Cell line, media and culture operation</w:t>
      </w:r>
    </w:p>
    <w:p>
      <w:pPr>
        <w:pStyle w:val="FirstParagraph"/>
      </w:pPr>
      <w:r>
        <w:t xml:space="preserve">Cells were thawed from the working cell bank and expanded through the seed train to the initial viable cell concentration of the run. The production bioreactor was operated in fed-batch mode under SOP-2003, with a single nutrient feed added on the platform schedule. Culture pH was held by base addition against the lactate that the culture produces, which lowers it. pCO2 was held at the level of each run by the fraction of carbon dioxide in the sparge gas, temperature by the vessel jacket and dissolved oxygen by sparging and agitation. This corrects the description of Version 1.0, which gave culture pH as controlled by carbon dioxide and base addition. Basal medium and feed were prepared under the media and feed procedure SOP-2004. Each factor of a design was held at the level the design gives for the run, every other parameter at its set-point, and the culture was harvested at the culture duration of the run.</w:t>
      </w:r>
    </w:p>
    <w:p>
      <w:pPr>
        <w:pStyle w:val="BodyText"/>
      </w:pPr>
      <w:r>
        <w:t xml:space="preserve">Osmolality was set by sodium chloride added with each feed to the target osmolality, with pCO2 held at its level by the sparge. PCP-003 does not state how osmolality is brought to its design level in a run in which pCO2 also varies (PD-003-06). The osmolality study used the same procedure, so the designs estimate the effects of osmolality and pCO2 separately. In a commercial vessel more base is added to hold the pH against a higher pCO2, which raises the osmolality as bicarbonate and sodium accumulate, and</w:t>
      </w:r>
      <w:r>
        <w:t xml:space="preserve"> </w:t>
      </w:r>
      <w:hyperlink w:anchor="sec-par-table">
        <w:r>
          <w:rPr>
            <w:rStyle w:val="Hyperlink"/>
          </w:rPr>
          <w:t xml:space="preserve">Section 7.3</w:t>
        </w:r>
      </w:hyperlink>
      <w:r>
        <w:t xml:space="preserve"> </w:t>
      </w:r>
      <w:r>
        <w:t xml:space="preserve">states what follows for the PAR of pCO2.</w:t>
      </w:r>
    </w:p>
    <w:p>
      <w:pPr>
        <w:pStyle w:val="BodyText"/>
      </w:pPr>
      <w:r>
        <w:t xml:space="preserve">Inputs controlled to a platform specification, such as the medium and feed lots, the gases and the base, were tested for identity and quality on receipt and were not characterized. A mass reconciliation after the run detected the feed under-delivery of DEV-003-02.</w:t>
      </w:r>
    </w:p>
    <w:bookmarkEnd w:id="38"/>
    <w:bookmarkStart w:id="41" w:name="sec-analytical"/>
    <w:p>
      <w:pPr>
        <w:pStyle w:val="Heading2"/>
      </w:pPr>
      <w:r>
        <w:t xml:space="preserve">3.3 Analytical methods</w:t>
      </w:r>
    </w:p>
    <w:p>
      <w:pPr>
        <w:pStyle w:val="FirstParagraph"/>
      </w:pPr>
      <w:r>
        <w:t xml:space="preserve">The released N-glycan map by 2-AB HILIC-UPLC measured afucosylation, galactosylation and high mannose from one preparation, so the three glycan results of a run are not independent measurements. Size exclusion chromatography (SEC) measured aggregate as high molecular weight species (HMW). Imaged capillary isoelectric focusing (icIEF) measured acidic variants. The host cell protein ELISA and the residual DNA qPCR measured the two impurities in the clarified harvest.</w:t>
      </w:r>
      <w:r>
        <w:t xml:space="preserve"> </w:t>
      </w:r>
      <w:hyperlink w:anchor="tbl-sops">
        <w:r>
          <w:rPr>
            <w:rStyle w:val="Hyperlink"/>
          </w:rPr>
          <w:t xml:space="preserve">Table 5</w:t>
        </w:r>
      </w:hyperlink>
      <w:r>
        <w:t xml:space="preserve"> </w:t>
      </w:r>
      <w:r>
        <w:t xml:space="preserve">lists the procedures and method validations,</w:t>
      </w:r>
      <w:r>
        <w:t xml:space="preserve"> </w:t>
      </w:r>
      <w:hyperlink w:anchor="tbl-methods-by-study">
        <w:r>
          <w:rPr>
            <w:rStyle w:val="Hyperlink"/>
          </w:rPr>
          <w:t xml:space="preserve">Table 6</w:t>
        </w:r>
      </w:hyperlink>
      <w:r>
        <w:t xml:space="preserve"> </w:t>
      </w:r>
      <w:r>
        <w:t xml:space="preserve">the method for each size variant, and Appendix D the precision of each method. Each method was used within its validated range. Method precision contributes to the variation between centre points, and so to the pure error, and it sets a floor under the smallest effect the study can resolve.</w:t>
      </w:r>
    </w:p>
    <w:tbl>
      <w:tblPr>
        <w:tblStyle w:val="Table"/>
        <w:tblW w:type="pct" w:w="5000"/>
        <w:tblLayout w:type="fixed"/>
        <w:tblLook w:firstRow="0" w:lastRow="0" w:firstColumn="0" w:lastColumn="0" w:noHBand="0" w:noVBand="0" w:val="0000"/>
      </w:tblPr>
      <w:tblGrid>
        <w:gridCol w:w="7920"/>
      </w:tblGrid>
      <w:tr>
        <w:tc>
          <w:tcPr/>
          <w:bookmarkStart w:id="39" w:name="tbl-sops"/>
          <w:p>
            <w:pPr>
              <w:jc w:val="center"/>
            </w:pPr>
            <w:pPr>
              <w:jc w:val="start"/>
              <w:spacing w:before="200"/>
              <w:pStyle w:val="ImageCaption"/>
            </w:pPr>
            <w:r>
              <w:t xml:space="preserve">Table 5: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SOP-2003</w:t>
                  </w:r>
                </w:p>
              </w:tc>
              <w:tc>
                <w:tcPr/>
                <w:p>
                  <w:pPr>
                    <w:pStyle w:val="Compact"/>
                    <w:jc w:val="center"/>
                  </w:pPr>
                  <w:r>
                    <w:t xml:space="preserve">Operation of the Production Bioreactor (Fed-Batch)</w:t>
                  </w:r>
                </w:p>
              </w:tc>
            </w:tr>
            <w:tr>
              <w:tc>
                <w:tcPr>
                  <w:gridSpan w:val="1"/>
                  <w:vMerge w:val="continue"/>
                </w:tcPr>
                <w:p>
                  <w:pPr/>
                </w:p>
              </w:tc>
              <w:tc>
                <w:tcPr/>
                <w:p>
                  <w:pPr>
                    <w:pStyle w:val="Compact"/>
                    <w:jc w:val="center"/>
                  </w:pPr>
                  <w:r>
                    <w:t xml:space="preserve">SOP-2004</w:t>
                  </w:r>
                </w:p>
              </w:tc>
              <w:tc>
                <w:tcPr/>
                <w:p>
                  <w:pPr>
                    <w:pStyle w:val="Compact"/>
                    <w:jc w:val="center"/>
                  </w:pPr>
                  <w:r>
                    <w:t xml:space="preserve">Cell-Culture Media and Feed Preparation</w:t>
                  </w:r>
                </w:p>
              </w:tc>
            </w:tr>
            <w:tr>
              <w:tc>
                <w:tcPr>
                  <w:gridSpan w:val="1"/>
                  <w:vMerge w:val="continue"/>
                </w:tcPr>
                <w:p>
                  <w:pPr/>
                </w:p>
              </w:tc>
              <w:tc>
                <w:tcPr/>
                <w:p>
                  <w:pPr>
                    <w:pStyle w:val="Compact"/>
                    <w:jc w:val="center"/>
                  </w:pPr>
                  <w:r>
                    <w:t xml:space="preserve">SOP-3010</w:t>
                  </w:r>
                </w:p>
              </w:tc>
              <w:tc>
                <w:tcPr/>
                <w:p>
                  <w:pPr>
                    <w:pStyle w:val="Compact"/>
                    <w:jc w:val="center"/>
                  </w:pPr>
                  <w:r>
                    <w:t xml:space="preserve">Released N-Glycan Mapping by 2-AB HILIC-UPLC</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SOP-3012</w:t>
                  </w:r>
                </w:p>
              </w:tc>
              <w:tc>
                <w:tcPr/>
                <w:p>
                  <w:pPr>
                    <w:pStyle w:val="Compact"/>
                    <w:jc w:val="center"/>
                  </w:pPr>
                  <w:r>
                    <w:t xml:space="preserve">Host-Cell-Protein Quantitation by ELISA</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SOP-3014</w:t>
                  </w:r>
                </w:p>
              </w:tc>
              <w:tc>
                <w:tcPr/>
                <w:p>
                  <w:pPr>
                    <w:pStyle w:val="Compact"/>
                    <w:jc w:val="center"/>
                  </w:pPr>
                  <w:r>
                    <w:t xml:space="preserve">Residual Host-Cell DNA by qPCR</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AMV-3010</w:t>
                  </w:r>
                </w:p>
              </w:tc>
              <w:tc>
                <w:tcPr/>
                <w:p>
                  <w:pPr>
                    <w:pStyle w:val="Compact"/>
                    <w:jc w:val="center"/>
                  </w:pPr>
                  <w:r>
                    <w:t xml:space="preserve">N-Glycan Map (2-AB HILIC-UPLC)</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tbl-methods-by-study"/>
          <w:p>
            <w:pPr>
              <w:jc w:val="center"/>
            </w:pPr>
            <w:pPr>
              <w:jc w:val="start"/>
              <w:spacing w:before="200"/>
              <w:pStyle w:val="ImageCaption"/>
            </w:pPr>
            <w:r>
              <w:t xml:space="preserve">Table 6: Methods used for size variants in the designed studies, production bioreactor.</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gridSpan w:val="2"/>
                </w:tcPr>
                <w:p>
                  <w:pPr>
                    <w:pStyle w:val="Compact"/>
                    <w:jc w:val="center"/>
                  </w:pPr>
                  <w:r>
                    <w:t xml:space="preserve">not in scope</w:t>
                  </w:r>
                  <w:r>
                    <w:rPr>
                      <w:vertAlign w:val="superscript"/>
                    </w:rPr>
                    <w:t xml:space="preserve">a)</w:t>
                  </w:r>
                </w:p>
              </w:tc>
            </w:tr>
            <w:tr>
              <w:tc>
                <w:tcPr>
                  <w:gridSpan w:val="3"/>
                </w:tcPr>
                <w:p>
                  <w:pPr>
                    <w:pStyle w:val="Compact"/>
                    <w:jc w:val="center"/>
                  </w:pPr>
                  <w:r>
                    <w:rPr>
                      <w:vertAlign w:val="superscript"/>
                    </w:rPr>
                    <w:t xml:space="preserve">a)</w:t>
                  </w:r>
                  <w:r>
                    <w:t xml:space="preserve"> </w:t>
                  </w:r>
                  <w:r>
                    <w:t xml:space="preserve">Fragments were not an attribute of this study.</w:t>
                  </w:r>
                </w:p>
              </w:tc>
            </w:tr>
          </w:tbl>
          <w:bookmarkEnd w:id="40"/>
          <w:p/>
        </w:tc>
      </w:tr>
    </w:tbl>
    <w:bookmarkEnd w:id="41"/>
    <w:bookmarkStart w:id="42" w:name="sec-sampling"/>
    <w:p>
      <w:pPr>
        <w:pStyle w:val="Heading2"/>
      </w:pPr>
      <w:r>
        <w:t xml:space="preserve">3.4 Sampling plan</w:t>
      </w:r>
    </w:p>
    <w:p>
      <w:pPr>
        <w:pStyle w:val="FirstParagraph"/>
      </w:pPr>
      <w:r>
        <w:t xml:space="preserve">Each run was sampled at harvest, and the harvest sample was assayed for the five modelled responses. The clarified harvest was assayed for host cell protein and residual DNA in the studies that</w:t>
      </w:r>
      <w:r>
        <w:t xml:space="preserve"> </w:t>
      </w:r>
      <w:hyperlink w:anchor="sec-chronology">
        <w:r>
          <w:rPr>
            <w:rStyle w:val="Hyperlink"/>
          </w:rPr>
          <w:t xml:space="preserve">Section 4.6</w:t>
        </w:r>
      </w:hyperlink>
      <w:r>
        <w:t xml:space="preserve"> </w:t>
      </w:r>
      <w:r>
        <w:t xml:space="preserve">lists. Across the 63 runs assayed, host cell protein in the clarified harvest ranged from 228,000 to 1,320,000 ng/mg and DNA from 64,000 to 520,000 pg/mg. The step carries no criterion for either. The culture was monitored through each run for viable cell density, viability and the principal metabolites under SOP-2003, and these records are not in the study record (PD-003-09).</w:t>
      </w:r>
    </w:p>
    <w:p>
      <w:pPr>
        <w:pStyle w:val="BodyText"/>
      </w:pPr>
      <w:r>
        <w:t xml:space="preserve">Each run carries the number it has in the standard order of its design, the</w:t>
      </w:r>
      <w:r>
        <w:t xml:space="preserve"> </w:t>
      </w:r>
      <w:r>
        <w:t xml:space="preserve">“Run”</w:t>
      </w:r>
      <w:r>
        <w:t xml:space="preserve"> </w:t>
      </w:r>
      <w:r>
        <w:t xml:space="preserve">column of the design tables in Appendices A and B, and this report cites runs by that number. The runs were made in randomized order. The three centre points of the screening design were made at positions 11, 15 and 19 of its 19 runs, and the four centre points of the response-surface design at positions 3, 4, 8 and 25 of its 28 runs. Of the augmentation runs, five repeat a setting of the planned design (runs 29, 33, 35, 41 and 44 repeat runs 2, 5, 7, 11 and 16). They lie in the other block, so the analysis does not count them as pure error, and the pure error of the models fitted to all runs comes from the centre points of the response-surface design.</w:t>
      </w:r>
    </w:p>
    <w:bookmarkEnd w:id="42"/>
    <w:bookmarkStart w:id="43" w:name="sec-stats"/>
    <w:p>
      <w:pPr>
        <w:pStyle w:val="Heading2"/>
      </w:pPr>
      <w:r>
        <w:t xml:space="preserve">3.5 Statistical methods</w:t>
      </w:r>
    </w:p>
    <w:p>
      <w:pPr>
        <w:pStyle w:val="FirstParagraph"/>
      </w:pPr>
      <w:r>
        <w:t xml:space="preserve">The designs were generated, randomized and analysed under SOP-1002, with the methods of PCMP-001 §6</w:t>
      </w:r>
      <w:r>
        <w:t xml:space="preserve"> </w:t>
      </w:r>
      <w:r>
        <w:t xml:space="preserve">(Montgomery 2017)</w:t>
      </w:r>
      <w:r>
        <w:t xml:space="preserve">. Each factor was coded so that its set-point is 0 and the ends of its range studied are −1 and +1. For this step the set-point of every factor of the designs lies at the centre of its range studied, so the centre points of the designs are at the set-points.</w:t>
      </w:r>
    </w:p>
    <w:p>
      <w:pPr>
        <w:pStyle w:val="BodyText"/>
      </w:pPr>
      <w:r>
        <w:t xml:space="preserve">The screening data were fitted by least squares to the five main effects and the ten two-factor interactions. An effect is twice the coded coefficient, the change in the response across the full range studied. The model has 16 terms with the intercept in 19 runs. It leaves one degree of freedom for lack of fit and two for pure error. With so few, R² overstates how well the model would predict new runs, so the screening analysis was read only to identify active factors and interactions. Its lack-of-fit test compares the mean of the centre points with the mean of the factorial runs, which is the test for curvature.</w:t>
      </w:r>
    </w:p>
    <w:p>
      <w:pPr>
        <w:pStyle w:val="BodyText"/>
      </w:pPr>
      <w:r>
        <w:t xml:space="preserve">PCP-003 prescribes the full quadratic model of each response-surface output, with 14 terms besides the intercept. The outputs were analysed instead by the model selection that INV-002 adopted on 2026-09-15 as its corrective action CA3, recorded as the discrepancy PD-003-03. It has three steps.</w:t>
      </w:r>
    </w:p>
    <w:p>
      <w:pPr>
        <w:pStyle w:val="Compact"/>
        <w:numPr>
          <w:ilvl w:val="0"/>
          <w:numId w:val="1003"/>
        </w:numPr>
      </w:pPr>
      <w:r>
        <w:t xml:space="preserve">The scale. The Box-Cox profile of the full quadratic model gives the exponent λ that best makes the residuals normal with constant variance, with its 95 % interval</w:t>
      </w:r>
      <w:r>
        <w:t xml:space="preserve"> </w:t>
      </w:r>
      <w:r>
        <w:t xml:space="preserve">(Box and Cox 1964)</w:t>
      </w:r>
      <w:r>
        <w:t xml:space="preserve">. An output is modelled on the log scale where that interval contains 0, the log, and excludes 1, the raw scale. It is modelled on the raw scale otherwise.</w:t>
      </w:r>
    </w:p>
    <w:p>
      <w:pPr>
        <w:pStyle w:val="Compact"/>
        <w:numPr>
          <w:ilvl w:val="0"/>
          <w:numId w:val="1003"/>
        </w:numPr>
      </w:pPr>
      <w:r>
        <w:t xml:space="preserve">The model. Among all 1,337 submodels of the full quadratic that keep hierarchy, the model with the lowest AICc is taken. A submodel keeps hierarchy when it contains an interaction only with both its main effects, and a square only with its main effect.</w:t>
      </w:r>
    </w:p>
    <w:p>
      <w:pPr>
        <w:pStyle w:val="Compact"/>
        <w:numPr>
          <w:ilvl w:val="0"/>
          <w:numId w:val="1003"/>
        </w:numPr>
      </w:pPr>
      <w:r>
        <w:t xml:space="preserve">The check. The selected model is judged against the adequacy criteria of PCP-003 §7, listed below.</w:t>
      </w:r>
    </w:p>
    <w:p>
      <w:pPr>
        <w:pStyle w:val="FirstParagraph"/>
      </w:pPr>
      <w:r>
        <w:t xml:space="preserve">AICc estimates how well a model would predict new runs. It rewards a smaller residual and penalises every estimated term, and its small-sample correction raises the penalty when the runs are few for the number of terms, as in these designs</w:t>
      </w:r>
      <w:r>
        <w:t xml:space="preserve"> </w:t>
      </w:r>
      <w:r>
        <w:t xml:space="preserve">(Hurvich and Tsai 1989; Burnham and Anderson 2002)</w:t>
      </w:r>
      <w:r>
        <w:t xml:space="preserve">. A stepwise search changes one term at a time and stops when no single change lowers AICc, so it can stop where only a combination of changes would lower it further. On the data of this step a forward search would have stopped at a model with a higher AICc for acidic variants, and a backward search for aggregate.</w:t>
      </w:r>
    </w:p>
    <w:p>
      <w:pPr>
        <w:pStyle w:val="BodyText"/>
      </w:pPr>
      <w:r>
        <w:t xml:space="preserve">The models were fitted to all 44 runs, the 28 planned runs and the 16 augmentation runs, with a block term coded −1 for the planned runs and +1 for the augmentation. A prediction is made with the block term at 0, the average of the two blocks.</w:t>
      </w:r>
    </w:p>
    <w:p>
      <w:pPr>
        <w:pStyle w:val="BodyText"/>
      </w:pPr>
      <w:r>
        <w:t xml:space="preserve">Of the modelled attributes, high mannose, acidic variants and aggregate are modelled on the log scale. On that scale the model reads ln(y) = b0 + b1·x1 + … + e. Transformed back, y = e</w:t>
      </w:r>
      <w:r>
        <w:rPr>
          <w:vertAlign w:val="superscript"/>
        </w:rPr>
        <w:t xml:space="preserve">b0</w:t>
      </w:r>
      <w:r>
        <w:t xml:space="preserve"> </w:t>
      </w:r>
      <w:r>
        <w:t xml:space="preserve">· e</w:t>
      </w:r>
      <w:r>
        <w:rPr>
          <w:vertAlign w:val="superscript"/>
        </w:rPr>
        <w:t xml:space="preserve">b1·x1</w:t>
      </w:r>
      <w:r>
        <w:t xml:space="preserve"> </w:t>
      </w:r>
      <w:r>
        <w:t xml:space="preserve">· … · e</w:t>
      </w:r>
      <w:r>
        <w:rPr>
          <w:vertAlign w:val="superscript"/>
        </w:rPr>
        <w:t xml:space="preserve">e</w:t>
      </w:r>
      <w:r>
        <w:t xml:space="preserve">, so a main effect multiplies the output by e</w:t>
      </w:r>
      <w:r>
        <w:rPr>
          <w:vertAlign w:val="superscript"/>
        </w:rPr>
        <w:t xml:space="preserve">2b</w:t>
      </w:r>
      <w:r>
        <w:t xml:space="preserve"> </w:t>
      </w:r>
      <w:r>
        <w:t xml:space="preserve">from the low to the high end of its range when the other factors are at their set-points, where the interaction terms vanish. The error between runs multiplies the output too, so its size in percentage points grows with the level of the output. For high mannose and acidic variants this is expected, because the precision of the glycan map and of icIEF is a percentage of the level (Appendix D). For aggregate the profile supports the log scale too, although the precision of SEC is an absolute amount. Least squares, and the tests and prediction intervals built on it, assume residuals that are independent and normally distributed with mean zero and the same variance over the whole range studied. On the raw scale, the residual standard deviation of these outputs in the upper half of the predicted values is 1.24 to 2.22 times that in the lower half. On the log scale the ratio is 0.81 to 1.88.</w:t>
      </w:r>
    </w:p>
    <w:p>
      <w:pPr>
        <w:pStyle w:val="BodyText"/>
      </w:pPr>
      <w:r>
        <w:t xml:space="preserve">On the log scale the criterion stays in its own unit, percent. A prediction interval is calculated on the log scale and transformed back. It keeps its 95 % coverage, because the probability that ln y lies between two values is the probability that y lies between their antilogs. It is asymmetric in percentage points, further above the predicted value than below it. At the least favourable NOR combination for acidic variants, for example, the interval runs 2.15 points below the predicted value and 2.43 points above it. The predicted value of a log-scale model is the median of the output, its geometric mean, and not its arithmetic mean. The prediction limits, which decide the verdict against a criterion, are not affected by that.</w:t>
      </w:r>
    </w:p>
    <w:p>
      <w:pPr>
        <w:pStyle w:val="BodyText"/>
      </w:pPr>
      <w:r>
        <w:t xml:space="preserve">A selected model is adequate for prediction under PCP-003 §7 when all of the following hold. The first four restate the criteria of PCMP-001 §7.2.</w:t>
      </w:r>
    </w:p>
    <w:p>
      <w:pPr>
        <w:pStyle w:val="Compact"/>
        <w:numPr>
          <w:ilvl w:val="0"/>
          <w:numId w:val="1004"/>
        </w:numPr>
      </w:pPr>
      <w:r>
        <w:t xml:space="preserve">The model F-test. The F-test of the model is significant at α = 0.05.</w:t>
      </w:r>
    </w:p>
    <w:p>
      <w:pPr>
        <w:pStyle w:val="Compact"/>
        <w:numPr>
          <w:ilvl w:val="0"/>
          <w:numId w:val="1004"/>
        </w:numPr>
      </w:pPr>
      <w:r>
        <w:t xml:space="preserve">The lack-of-fit test. Lack of fit against pure error is not significant at α = 0.05.</w:t>
      </w:r>
    </w:p>
    <w:p>
      <w:pPr>
        <w:pStyle w:val="Compact"/>
        <w:numPr>
          <w:ilvl w:val="0"/>
          <w:numId w:val="1004"/>
        </w:numPr>
      </w:pPr>
      <w:r>
        <w:t xml:space="preserve">The limit on overfitting. Predicted R² falls short of R² by no more than 0.20. Predicted R² comes from the prediction error sum of squares (PRESS).</w:t>
      </w:r>
    </w:p>
    <w:p>
      <w:pPr>
        <w:pStyle w:val="Compact"/>
        <w:numPr>
          <w:ilvl w:val="0"/>
          <w:numId w:val="1004"/>
        </w:numPr>
      </w:pPr>
      <w:r>
        <w:t xml:space="preserve">The criterion on residuals and influential runs. A regression of the absolute residuals on the predicted values, and a regression of the residuals on the run order, each show no slope significant at α = 0.05. No run has a Cook’s distance above the median of the F distribution with p and n − p degrees of freedom, the F median, where p is the number of parameters of the model and n the number of runs. A run with a Cook’s distance above 4/n, which is 0.091 for the 44 runs of the models, is examined by deleting it and repeating the analysis. The augmentation runs continue the order of the planned runs.</w:t>
      </w:r>
    </w:p>
    <w:p>
      <w:pPr>
        <w:pStyle w:val="Compact"/>
        <w:numPr>
          <w:ilvl w:val="0"/>
          <w:numId w:val="1004"/>
        </w:numPr>
      </w:pPr>
      <w:r>
        <w:t xml:space="preserve">The normality criterion. The normal quantile plot of the residuals shows no departure from normality.</w:t>
      </w:r>
    </w:p>
    <w:p>
      <w:pPr>
        <w:pStyle w:val="FirstParagraph"/>
      </w:pPr>
      <w:r>
        <w:t xml:space="preserve">Each run above 4/n was deleted in turn and the model selection repeated. Each attribute was then judged over the NOR again, and its NOR-propagated PARs and the design space were computed again. The models that do not meet the criterion on residuals and influential runs were used for the ranges and the design space, with each residual trend sized against the criterion of its output (PD-003-04).</w:t>
      </w:r>
    </w:p>
    <w:p>
      <w:pPr>
        <w:pStyle w:val="BodyText"/>
      </w:pPr>
      <w:r>
        <w:t xml:space="preserve">Other models may have an AICc within 2 units of the lowest and fit the data almost as well</w:t>
      </w:r>
      <w:r>
        <w:t xml:space="preserve"> </w:t>
      </w:r>
      <w:r>
        <w:t xml:space="preserve">(Burnham and Anderson 2002)</w:t>
      </w:r>
      <w:r>
        <w:t xml:space="preserve">. They were computed for every output, and</w:t>
      </w:r>
      <w:r>
        <w:t xml:space="preserve"> </w:t>
      </w:r>
      <w:hyperlink w:anchor="sec-near">
        <w:r>
          <w:rPr>
            <w:rStyle w:val="Hyperlink"/>
          </w:rPr>
          <w:t xml:space="preserve">Section 5.3.5</w:t>
        </w:r>
      </w:hyperlink>
      <w:r>
        <w:t xml:space="preserve"> </w:t>
      </w:r>
      <w:r>
        <w:t xml:space="preserve">states where they differ from the selected model.</w:t>
      </w:r>
    </w:p>
    <w:p>
      <w:pPr>
        <w:pStyle w:val="BodyText"/>
      </w:pPr>
      <w:r>
        <w:t xml:space="preserve">Each output is judged against its intermediate acceptance criterion at manufacturing scale. A quality attribute is judged on the exact 95 % prediction interval of a single run at each of the 81 combinations of NOR low, set-point and NOR high of the four response-surface factors, with the offset applied. The interval comes from the t distribution and includes the uncertainty of the coefficients and the residual, the scatter between runs of the scale-down model. It does not include variation between manufacturing batches beyond that scatter, and it does not include the uncertainty of the offset, which the qualification handles (</w:t>
      </w:r>
      <w:hyperlink w:anchor="sec-sdm">
        <w:r>
          <w:rPr>
            <w:rStyle w:val="Hyperlink"/>
          </w:rPr>
          <w:t xml:space="preserve">Section 3.1</w:t>
        </w:r>
      </w:hyperlink>
      <w:r>
        <w:t xml:space="preserve">). It is two-sided, so each of its ends is a one-sided 97.5 % limit. A two-sided criterion is judged at both ends. In this report the verdict over the NOR of an attribute means whether it meets its criterion at all 81 combinations.</w:t>
      </w:r>
    </w:p>
    <w:p>
      <w:pPr>
        <w:pStyle w:val="BodyText"/>
      </w:pPr>
      <w:r>
        <w:t xml:space="preserve">The PARs were computed as PCMP-001 §6.4 defines them. The set-point analysis holds the other factors at their set-points, scans the factor across its range studied at 201 points, and takes the contiguous range around the set-point over which the mean prediction meets the criterion. The NOR-propagated analysis scans the factor at 81 points. At each point it draws 2,000 settings of the other factors, each from a normal distribution centred on its set-point with a standard deviation equal to the width of its NOR divided by 6, clipped to the range studied. PCMP-001 §6.4 takes that standard deviation as the routine variation of the parameter. Each simulated run takes its own coefficients from their estimated distribution and its own residual. The 2.5th percentile of the simulated runs must not fall below a lower limit, and the 97.5th percentile must not exceed an upper limit. The NOR-propagated PAR is the one that supports a claim.</w:t>
      </w:r>
    </w:p>
    <w:p>
      <w:pPr>
        <w:pStyle w:val="BodyText"/>
      </w:pPr>
      <w:r>
        <w:t xml:space="preserve">The design space was evaluated on a grid of 11 evenly spaced points along each response-surface factor, 14,641 points in all (</w:t>
      </w:r>
      <w:hyperlink w:anchor="sec-design-space">
        <w:r>
          <w:rPr>
            <w:rStyle w:val="Hyperlink"/>
          </w:rPr>
          <w:t xml:space="preserve">Section 6</w:t>
        </w:r>
      </w:hyperlink>
      <w:r>
        <w:t xml:space="preserve">). Capability at commercial scale was estimated from the integrated model of the train, which runs 2,000 simulated batches through every step with each parameter drawn as in the NOR-propagated analysis (PCMP-001 §6.5). Cpk is computed against the drug substance criterion, as the lower of the two one-sided indices for a two-sided criterion. The same simulation gives the probability that the drug substance falls outside its criterion, as the count of simulated batches outside it and as the tail probability of a normal distribution with the simulated mean and standard deviation.</w:t>
      </w:r>
    </w:p>
    <w:p>
      <w:pPr>
        <w:pStyle w:val="BodyText"/>
      </w:pPr>
      <w:r>
        <w:t xml:space="preserve">PCP-003 §6.4 gives no test for a univariate difference. Each univariate parameter was judged on the difference between the mean of its two runs at the high end and the mean of its two runs at the low end of the range studied, by a t-test against the pooled standard deviation of the duplicate runs (PD-003-05, 8 degrees of freedom), at the level of α = 0.05 that PCMP-001 §6.2 sets for a single test. The results of the osmolality study were fitted by a straight line in osmolality, coded −1, 0 and +1 at the NOR low, the set-point and the NOR high. Each level was judged on the fitted mean and on the 95 % prediction interval of a single run at manufacturing scale.</w:t>
      </w:r>
    </w:p>
    <w:bookmarkEnd w:id="43"/>
    <w:bookmarkEnd w:id="44"/>
    <w:bookmarkStart w:id="54" w:name="sec-design"/>
    <w:p>
      <w:pPr>
        <w:pStyle w:val="Heading1"/>
      </w:pPr>
      <w:r>
        <w:t xml:space="preserve">4. Study design</w:t>
      </w:r>
    </w:p>
    <w:bookmarkStart w:id="47" w:name="sec-factors"/>
    <w:p>
      <w:pPr>
        <w:pStyle w:val="Heading2"/>
      </w:pPr>
      <w:r>
        <w:t xml:space="preserve">4.1 Factors, ranges and the knowledge space</w:t>
      </w:r>
    </w:p>
    <w:p>
      <w:pPr>
        <w:pStyle w:val="FirstParagraph"/>
      </w:pPr>
      <w:hyperlink w:anchor="tbl-params">
        <w:r>
          <w:rPr>
            <w:rStyle w:val="Hyperlink"/>
          </w:rPr>
          <w:t xml:space="preserve">Table 7</w:t>
        </w:r>
      </w:hyperlink>
      <w:r>
        <w:t xml:space="preserve"> </w:t>
      </w:r>
      <w:r>
        <w:t xml:space="preserve">lists the nine parameters of the step with the set-point, the NOR, the range studied, the study type and the class assigned in</w:t>
      </w:r>
      <w:r>
        <w:t xml:space="preserve"> </w:t>
      </w:r>
      <w:hyperlink w:anchor="sec-classification">
        <w:r>
          <w:rPr>
            <w:rStyle w:val="Hyperlink"/>
          </w:rPr>
          <w:t xml:space="preserve">Section 9</w:t>
        </w:r>
      </w:hyperlink>
      <w:r>
        <w:t xml:space="preserve">. The set-point is the target of commercial operation, and the NOR is the band within which routine operation holds the parameter. The range studied is the knowledge space of this characterization. No NOR and no set-point of this step was changed at Version 2.0.</w:t>
      </w:r>
    </w:p>
    <w:tbl>
      <w:tblPr>
        <w:tblStyle w:val="Table"/>
        <w:tblW w:type="pct" w:w="5000"/>
        <w:tblLayout w:type="fixed"/>
        <w:tblLook w:firstRow="0" w:lastRow="0" w:firstColumn="0" w:lastColumn="0" w:noHBand="0" w:noVBand="0" w:val="0000"/>
      </w:tblPr>
      <w:tblGrid>
        <w:gridCol w:w="7920"/>
      </w:tblGrid>
      <w:tr>
        <w:tc>
          <w:tcPr/>
          <w:bookmarkStart w:id="45" w:name="tbl-params"/>
          <w:p>
            <w:pPr>
              <w:jc w:val="center"/>
            </w:pPr>
            <w:pPr>
              <w:jc w:val="start"/>
              <w:spacing w:before="200"/>
              <w:pStyle w:val="ImageCaption"/>
            </w:pPr>
            <w:r>
              <w:t xml:space="preserve">Table 7: Process parameters of the production bioreactor, with set-point, NOR, range studied (Char. range), class and study type.</w:t>
            </w:r>
          </w:p>
          <w:tbl>
            <w:tblPr>
              <w:tblStyle w:val="Table"/>
              <w:tblW w:type="pct" w:w="5000"/>
              <w:tblLayout w:type="fixed"/>
              <w:tblLook w:firstRow="1" w:lastRow="0" w:firstColumn="0" w:lastColumn="0" w:noHBand="0" w:noVBand="0" w:val="0020"/>
            </w:tblPr>
            <w:tblGrid>
              <w:gridCol w:w="2050"/>
              <w:gridCol w:w="1485"/>
              <w:gridCol w:w="919"/>
              <w:gridCol w:w="777"/>
              <w:gridCol w:w="1060"/>
              <w:gridCol w:w="636"/>
              <w:gridCol w:w="990"/>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right"/>
                    <w:jc w:val="center"/>
                  </w:pPr>
                  <w:r>
                    <w:t xml:space="preserve">Set-point</w:t>
                  </w:r>
                </w:p>
              </w:tc>
              <w:tc>
                <w:tcPr/>
                <w:p>
                  <w:pPr>
                    <w:pStyle w:val="Compact"/>
                    <w:jc w:val="left"/>
                    <w:jc w:val="center"/>
                  </w:pPr>
                  <w:r>
                    <w:t xml:space="preserve">NOR</w:t>
                  </w:r>
                </w:p>
              </w:tc>
              <w:tc>
                <w:tcPr/>
                <w:p>
                  <w:pPr>
                    <w:pStyle w:val="Compact"/>
                    <w:jc w:val="left"/>
                    <w:jc w:val="center"/>
                  </w:pPr>
                  <w:r>
                    <w:t xml:space="preserve">Char. range</w:t>
                  </w:r>
                </w:p>
              </w:tc>
              <w:tc>
                <w:tcPr/>
                <w:p>
                  <w:pPr>
                    <w:pStyle w:val="Compact"/>
                    <w:jc w:val="left"/>
                    <w:jc w:val="center"/>
                  </w:pPr>
                  <w:r>
                    <w:t xml:space="preserve">Class</w:t>
                  </w:r>
                </w:p>
              </w:tc>
              <w:tc>
                <w:tcPr/>
                <w:p>
                  <w:pPr>
                    <w:pStyle w:val="Compact"/>
                    <w:jc w:val="left"/>
                    <w:jc w:val="center"/>
                  </w:pPr>
                  <w:r>
                    <w:t xml:space="preserve">Study</w:t>
                  </w:r>
                </w:p>
              </w:tc>
            </w:tr>
            <w:tr>
              <w:tc>
                <w:tcPr/>
                <w:p>
                  <w:pPr>
                    <w:pStyle w:val="Compact"/>
                    <w:jc w:val="left"/>
                    <w:jc w:val="center"/>
                  </w:pPr>
                  <w:r>
                    <w:t xml:space="preserve">Culture pH</w:t>
                  </w:r>
                </w:p>
              </w:tc>
              <w:tc>
                <w:tcPr/>
                <w:p>
                  <w:pPr>
                    <w:pStyle w:val="Compact"/>
                    <w:jc w:val="left"/>
                    <w:jc w:val="center"/>
                  </w:pPr>
                  <w:r>
                    <w:t xml:space="preserve">pH</w:t>
                  </w:r>
                </w:p>
              </w:tc>
              <w:tc>
                <w:tcPr/>
                <w:p>
                  <w:pPr>
                    <w:pStyle w:val="Compact"/>
                    <w:jc w:val="right"/>
                    <w:jc w:val="center"/>
                  </w:pPr>
                  <w:r>
                    <w:t xml:space="preserve">6.85</w:t>
                  </w:r>
                </w:p>
              </w:tc>
              <w:tc>
                <w:tcPr/>
                <w:p>
                  <w:pPr>
                    <w:pStyle w:val="Compact"/>
                    <w:jc w:val="left"/>
                    <w:jc w:val="center"/>
                  </w:pPr>
                  <w:r>
                    <w:t xml:space="preserve">6.75–6.95</w:t>
                  </w:r>
                </w:p>
              </w:tc>
              <w:tc>
                <w:tcPr/>
                <w:p>
                  <w:pPr>
                    <w:pStyle w:val="Compact"/>
                    <w:jc w:val="left"/>
                    <w:jc w:val="center"/>
                  </w:pPr>
                  <w:r>
                    <w:t xml:space="preserve">6.6–7.1</w:t>
                  </w:r>
                </w:p>
              </w:tc>
              <w:tc>
                <w:tcPr/>
                <w:p>
                  <w:pPr>
                    <w:pStyle w:val="Compact"/>
                    <w:jc w:val="left"/>
                    <w:jc w:val="center"/>
                  </w:pPr>
                  <w:r>
                    <w:t xml:space="preserve">WC-CPP</w:t>
                  </w:r>
                </w:p>
              </w:tc>
              <w:tc>
                <w:tcPr/>
                <w:p>
                  <w:pPr>
                    <w:pStyle w:val="Compact"/>
                    <w:jc w:val="left"/>
                    <w:jc w:val="center"/>
                  </w:pPr>
                  <w:r>
                    <w:t xml:space="preserve">multivariate</w:t>
                  </w:r>
                </w:p>
              </w:tc>
            </w:tr>
            <w:tr>
              <w:tc>
                <w:tcPr/>
                <w:p>
                  <w:pPr>
                    <w:pStyle w:val="Compact"/>
                    <w:jc w:val="left"/>
                    <w:jc w:val="center"/>
                  </w:pPr>
                  <w:r>
                    <w:t xml:space="preserve">Culture temperature</w:t>
                  </w:r>
                </w:p>
              </w:tc>
              <w:tc>
                <w:tcPr/>
                <w:p>
                  <w:pPr>
                    <w:pStyle w:val="Compact"/>
                    <w:jc w:val="left"/>
                    <w:jc w:val="center"/>
                  </w:pPr>
                  <w:r>
                    <w:t xml:space="preserve">°C</w:t>
                  </w:r>
                </w:p>
              </w:tc>
              <w:tc>
                <w:tcPr/>
                <w:p>
                  <w:pPr>
                    <w:pStyle w:val="Compact"/>
                    <w:jc w:val="right"/>
                    <w:jc w:val="center"/>
                  </w:pPr>
                  <w:r>
                    <w:t xml:space="preserve">35</w:t>
                  </w:r>
                </w:p>
              </w:tc>
              <w:tc>
                <w:tcPr/>
                <w:p>
                  <w:pPr>
                    <w:pStyle w:val="Compact"/>
                    <w:jc w:val="left"/>
                    <w:jc w:val="center"/>
                  </w:pPr>
                  <w:r>
                    <w:t xml:space="preserve">34.5–35.5</w:t>
                  </w:r>
                </w:p>
              </w:tc>
              <w:tc>
                <w:tcPr/>
                <w:p>
                  <w:pPr>
                    <w:pStyle w:val="Compact"/>
                    <w:jc w:val="left"/>
                    <w:jc w:val="center"/>
                  </w:pPr>
                  <w:r>
                    <w:t xml:space="preserve">34–36</w:t>
                  </w:r>
                </w:p>
              </w:tc>
              <w:tc>
                <w:tcPr/>
                <w:p>
                  <w:pPr>
                    <w:pStyle w:val="Compact"/>
                    <w:jc w:val="left"/>
                    <w:jc w:val="center"/>
                  </w:pPr>
                  <w:r>
                    <w:t xml:space="preserve">WC-CPP</w:t>
                  </w:r>
                </w:p>
              </w:tc>
              <w:tc>
                <w:tcPr/>
                <w:p>
                  <w:pPr>
                    <w:pStyle w:val="Compact"/>
                    <w:jc w:val="left"/>
                    <w:jc w:val="center"/>
                  </w:pPr>
                  <w:r>
                    <w:t xml:space="preserve">multivariate</w:t>
                  </w:r>
                </w:p>
              </w:tc>
            </w:tr>
            <w:tr>
              <w:tc>
                <w:tcPr/>
                <w:p>
                  <w:pPr>
                    <w:pStyle w:val="Compact"/>
                    <w:jc w:val="left"/>
                    <w:jc w:val="center"/>
                  </w:pPr>
                  <w:r>
                    <w:t xml:space="preserve">CO2 partial pressure (pCO2)</w:t>
                  </w:r>
                </w:p>
              </w:tc>
              <w:tc>
                <w:tcPr/>
                <w:p>
                  <w:pPr>
                    <w:pStyle w:val="Compact"/>
                    <w:jc w:val="left"/>
                    <w:jc w:val="center"/>
                  </w:pPr>
                  <w:r>
                    <w:t xml:space="preserve">mmHg</w:t>
                  </w:r>
                </w:p>
              </w:tc>
              <w:tc>
                <w:tcPr/>
                <w:p>
                  <w:pPr>
                    <w:pStyle w:val="Compact"/>
                    <w:jc w:val="right"/>
                    <w:jc w:val="center"/>
                  </w:pPr>
                  <w:r>
                    <w:t xml:space="preserve">100</w:t>
                  </w:r>
                </w:p>
              </w:tc>
              <w:tc>
                <w:tcPr/>
                <w:p>
                  <w:pPr>
                    <w:pStyle w:val="Compact"/>
                    <w:jc w:val="left"/>
                    <w:jc w:val="center"/>
                  </w:pPr>
                  <w:r>
                    <w:t xml:space="preserve">70–130</w:t>
                  </w:r>
                </w:p>
              </w:tc>
              <w:tc>
                <w:tcPr/>
                <w:p>
                  <w:pPr>
                    <w:pStyle w:val="Compact"/>
                    <w:jc w:val="left"/>
                    <w:jc w:val="center"/>
                  </w:pPr>
                  <w:r>
                    <w:t xml:space="preserve">40–160</w:t>
                  </w:r>
                </w:p>
              </w:tc>
              <w:tc>
                <w:tcPr/>
                <w:p>
                  <w:pPr>
                    <w:pStyle w:val="Compact"/>
                    <w:jc w:val="left"/>
                    <w:jc w:val="center"/>
                  </w:pPr>
                  <w:r>
                    <w:t xml:space="preserve">WC-CPP</w:t>
                  </w:r>
                </w:p>
              </w:tc>
              <w:tc>
                <w:tcPr/>
                <w:p>
                  <w:pPr>
                    <w:pStyle w:val="Compact"/>
                    <w:jc w:val="left"/>
                    <w:jc w:val="center"/>
                  </w:pPr>
                  <w:r>
                    <w:t xml:space="preserve">multivariate</w:t>
                  </w:r>
                </w:p>
              </w:tc>
            </w:tr>
            <w:tr>
              <w:tc>
                <w:tcPr/>
                <w:p>
                  <w:pPr>
                    <w:pStyle w:val="Compact"/>
                    <w:jc w:val="left"/>
                    <w:jc w:val="center"/>
                  </w:pPr>
                  <w:r>
                    <w:t xml:space="preserve">Osmolality</w:t>
                  </w:r>
                </w:p>
              </w:tc>
              <w:tc>
                <w:tcPr/>
                <w:p>
                  <w:pPr>
                    <w:pStyle w:val="Compact"/>
                    <w:jc w:val="left"/>
                    <w:jc w:val="center"/>
                  </w:pPr>
                  <w:r>
                    <w:t xml:space="preserve">mOsm/kg</w:t>
                  </w:r>
                </w:p>
              </w:tc>
              <w:tc>
                <w:tcPr/>
                <w:p>
                  <w:pPr>
                    <w:pStyle w:val="Compact"/>
                    <w:jc w:val="right"/>
                    <w:jc w:val="center"/>
                  </w:pPr>
                  <w:r>
                    <w:t xml:space="preserve">400</w:t>
                  </w:r>
                </w:p>
              </w:tc>
              <w:tc>
                <w:tcPr/>
                <w:p>
                  <w:pPr>
                    <w:pStyle w:val="Compact"/>
                    <w:jc w:val="left"/>
                    <w:jc w:val="center"/>
                  </w:pPr>
                  <w:r>
                    <w:t xml:space="preserve">375–425</w:t>
                  </w:r>
                </w:p>
              </w:tc>
              <w:tc>
                <w:tcPr/>
                <w:p>
                  <w:pPr>
                    <w:pStyle w:val="Compact"/>
                    <w:jc w:val="left"/>
                    <w:jc w:val="center"/>
                  </w:pPr>
                  <w:r>
                    <w:t xml:space="preserve">360–440</w:t>
                  </w:r>
                </w:p>
              </w:tc>
              <w:tc>
                <w:tcPr/>
                <w:p>
                  <w:pPr>
                    <w:pStyle w:val="Compact"/>
                    <w:jc w:val="left"/>
                    <w:jc w:val="center"/>
                  </w:pPr>
                  <w:r>
                    <w:t xml:space="preserve">CPP</w:t>
                  </w:r>
                </w:p>
              </w:tc>
              <w:tc>
                <w:tcPr/>
                <w:p>
                  <w:pPr>
                    <w:pStyle w:val="Compact"/>
                    <w:jc w:val="left"/>
                    <w:jc w:val="center"/>
                  </w:pPr>
                  <w:r>
                    <w:t xml:space="preserve">multivariate</w:t>
                  </w:r>
                </w:p>
              </w:tc>
            </w:tr>
            <w:tr>
              <w:tc>
                <w:tcPr/>
                <w:p>
                  <w:pPr>
                    <w:pStyle w:val="Compact"/>
                    <w:jc w:val="left"/>
                    <w:jc w:val="center"/>
                  </w:pPr>
                  <w:r>
                    <w:t xml:space="preserve">Culture duration</w:t>
                  </w:r>
                </w:p>
              </w:tc>
              <w:tc>
                <w:tcPr/>
                <w:p>
                  <w:pPr>
                    <w:pStyle w:val="Compact"/>
                    <w:jc w:val="left"/>
                    <w:jc w:val="center"/>
                  </w:pPr>
                  <w:r>
                    <w:t xml:space="preserve">days</w:t>
                  </w:r>
                </w:p>
              </w:tc>
              <w:tc>
                <w:tcPr/>
                <w:p>
                  <w:pPr>
                    <w:pStyle w:val="Compact"/>
                    <w:jc w:val="right"/>
                    <w:jc w:val="center"/>
                  </w:pPr>
                  <w:r>
                    <w:t xml:space="preserve">17</w:t>
                  </w:r>
                </w:p>
              </w:tc>
              <w:tc>
                <w:tcPr/>
                <w:p>
                  <w:pPr>
                    <w:pStyle w:val="Compact"/>
                    <w:jc w:val="left"/>
                    <w:jc w:val="center"/>
                  </w:pPr>
                  <w:r>
                    <w:t xml:space="preserve">16–18</w:t>
                  </w:r>
                </w:p>
              </w:tc>
              <w:tc>
                <w:tcPr/>
                <w:p>
                  <w:pPr>
                    <w:pStyle w:val="Compact"/>
                    <w:jc w:val="left"/>
                    <w:jc w:val="center"/>
                  </w:pPr>
                  <w:r>
                    <w:t xml:space="preserve">15–19</w:t>
                  </w:r>
                </w:p>
              </w:tc>
              <w:tc>
                <w:tcPr/>
                <w:p>
                  <w:pPr>
                    <w:pStyle w:val="Compact"/>
                    <w:jc w:val="left"/>
                    <w:jc w:val="center"/>
                  </w:pPr>
                  <w:r>
                    <w:t xml:space="preserve">WC-CPP</w:t>
                  </w:r>
                </w:p>
              </w:tc>
              <w:tc>
                <w:tcPr/>
                <w:p>
                  <w:pPr>
                    <w:pStyle w:val="Compact"/>
                    <w:jc w:val="left"/>
                    <w:jc w:val="center"/>
                  </w:pPr>
                  <w:r>
                    <w:t xml:space="preserve">multivariate</w:t>
                  </w:r>
                </w:p>
              </w:tc>
            </w:tr>
            <w:tr>
              <w:tc>
                <w:tcPr/>
                <w:p>
                  <w:pPr>
                    <w:pStyle w:val="Compact"/>
                    <w:jc w:val="left"/>
                    <w:jc w:val="center"/>
                  </w:pPr>
                  <w:r>
                    <w:t xml:space="preserve">Dissolved oxygen</w:t>
                  </w:r>
                </w:p>
              </w:tc>
              <w:tc>
                <w:tcPr/>
                <w:p>
                  <w:pPr>
                    <w:pStyle w:val="Compact"/>
                    <w:jc w:val="left"/>
                    <w:jc w:val="center"/>
                  </w:pPr>
                  <w:r>
                    <w:t xml:space="preserve">% air saturation</w:t>
                  </w:r>
                </w:p>
              </w:tc>
              <w:tc>
                <w:tcPr/>
                <w:p>
                  <w:pPr>
                    <w:pStyle w:val="Compact"/>
                    <w:jc w:val="right"/>
                    <w:jc w:val="center"/>
                  </w:pPr>
                  <w:r>
                    <w:t xml:space="preserve">50</w:t>
                  </w:r>
                </w:p>
              </w:tc>
              <w:tc>
                <w:tcPr/>
                <w:p>
                  <w:pPr>
                    <w:pStyle w:val="Compact"/>
                    <w:jc w:val="left"/>
                    <w:jc w:val="center"/>
                  </w:pPr>
                  <w:r>
                    <w:t xml:space="preserve">40–60</w:t>
                  </w:r>
                </w:p>
              </w:tc>
              <w:tc>
                <w:tcPr/>
                <w:p>
                  <w:pPr>
                    <w:pStyle w:val="Compact"/>
                    <w:jc w:val="left"/>
                    <w:jc w:val="center"/>
                  </w:pPr>
                  <w:r>
                    <w:t xml:space="preserve">30–70</w:t>
                  </w:r>
                </w:p>
              </w:tc>
              <w:tc>
                <w:tcPr/>
                <w:p>
                  <w:pPr>
                    <w:pStyle w:val="Compact"/>
                    <w:jc w:val="left"/>
                    <w:jc w:val="center"/>
                  </w:pPr>
                  <w:r>
                    <w:t xml:space="preserve">GPP</w:t>
                  </w:r>
                </w:p>
              </w:tc>
              <w:tc>
                <w:tcPr/>
                <w:p>
                  <w:pPr>
                    <w:pStyle w:val="Compact"/>
                    <w:jc w:val="left"/>
                    <w:jc w:val="center"/>
                  </w:pPr>
                  <w:r>
                    <w:t xml:space="preserve">univariate</w:t>
                  </w:r>
                </w:p>
              </w:tc>
            </w:tr>
            <w:tr>
              <w:tc>
                <w:tcPr/>
                <w:p>
                  <w:pPr>
                    <w:pStyle w:val="Compact"/>
                    <w:jc w:val="left"/>
                    <w:jc w:val="center"/>
                  </w:pPr>
                  <w:r>
                    <w:t xml:space="preserve">Initial viable cell conc.</w:t>
                  </w:r>
                </w:p>
              </w:tc>
              <w:tc>
                <w:tcPr/>
                <w:p>
                  <w:pPr>
                    <w:pStyle w:val="Compact"/>
                    <w:jc w:val="left"/>
                    <w:jc w:val="center"/>
                  </w:pPr>
                  <w:r>
                    <w:t xml:space="preserve">10⁶ cells/mL</w:t>
                  </w:r>
                </w:p>
              </w:tc>
              <w:tc>
                <w:tcPr/>
                <w:p>
                  <w:pPr>
                    <w:pStyle w:val="Compact"/>
                    <w:jc w:val="right"/>
                    <w:jc w:val="center"/>
                  </w:pPr>
                  <w:r>
                    <w:t xml:space="preserve">1</w:t>
                  </w:r>
                </w:p>
              </w:tc>
              <w:tc>
                <w:tcPr/>
                <w:p>
                  <w:pPr>
                    <w:pStyle w:val="Compact"/>
                    <w:jc w:val="left"/>
                    <w:jc w:val="center"/>
                  </w:pPr>
                  <w:r>
                    <w:t xml:space="preserve">0.8–1.2</w:t>
                  </w:r>
                </w:p>
              </w:tc>
              <w:tc>
                <w:tcPr/>
                <w:p>
                  <w:pPr>
                    <w:pStyle w:val="Compact"/>
                    <w:jc w:val="left"/>
                    <w:jc w:val="center"/>
                  </w:pPr>
                  <w:r>
                    <w:t xml:space="preserve">0.5–1.5</w:t>
                  </w:r>
                </w:p>
              </w:tc>
              <w:tc>
                <w:tcPr/>
                <w:p>
                  <w:pPr>
                    <w:pStyle w:val="Compact"/>
                    <w:jc w:val="left"/>
                    <w:jc w:val="center"/>
                  </w:pPr>
                  <w:r>
                    <w:t xml:space="preserve">KPP</w:t>
                  </w:r>
                </w:p>
              </w:tc>
              <w:tc>
                <w:tcPr/>
                <w:p>
                  <w:pPr>
                    <w:pStyle w:val="Compact"/>
                    <w:jc w:val="left"/>
                    <w:jc w:val="center"/>
                  </w:pPr>
                  <w:r>
                    <w:t xml:space="preserve">univariate</w:t>
                  </w:r>
                </w:p>
              </w:tc>
            </w:tr>
            <w:tr>
              <w:tc>
                <w:tcPr/>
                <w:p>
                  <w:pPr>
                    <w:pStyle w:val="Compact"/>
                    <w:jc w:val="left"/>
                    <w:jc w:val="center"/>
                  </w:pPr>
                  <w:r>
                    <w:t xml:space="preserve">Basal medium concentration</w:t>
                  </w:r>
                </w:p>
              </w:tc>
              <w:tc>
                <w:tcPr/>
                <w:p>
                  <w:pPr>
                    <w:pStyle w:val="Compact"/>
                    <w:jc w:val="left"/>
                    <w:jc w:val="center"/>
                  </w:pPr>
                  <w:r>
                    <w:t xml:space="preserve">× standard</w:t>
                  </w:r>
                </w:p>
              </w:tc>
              <w:tc>
                <w:tcPr/>
                <w:p>
                  <w:pPr>
                    <w:pStyle w:val="Compact"/>
                    <w:jc w:val="right"/>
                    <w:jc w:val="center"/>
                  </w:pPr>
                  <w:r>
                    <w:t xml:space="preserve">1.2</w:t>
                  </w:r>
                </w:p>
              </w:tc>
              <w:tc>
                <w:tcPr/>
                <w:p>
                  <w:pPr>
                    <w:pStyle w:val="Compact"/>
                    <w:jc w:val="left"/>
                    <w:jc w:val="center"/>
                  </w:pPr>
                  <w:r>
                    <w:t xml:space="preserve">1–1.4</w:t>
                  </w:r>
                </w:p>
              </w:tc>
              <w:tc>
                <w:tcPr/>
                <w:p>
                  <w:pPr>
                    <w:pStyle w:val="Compact"/>
                    <w:jc w:val="left"/>
                    <w:jc w:val="center"/>
                  </w:pPr>
                  <w:r>
                    <w:t xml:space="preserve">0.8–1.6</w:t>
                  </w:r>
                </w:p>
              </w:tc>
              <w:tc>
                <w:tcPr/>
                <w:p>
                  <w:pPr>
                    <w:pStyle w:val="Compact"/>
                    <w:jc w:val="left"/>
                    <w:jc w:val="center"/>
                  </w:pPr>
                  <w:r>
                    <w:t xml:space="preserve">KPP</w:t>
                  </w:r>
                </w:p>
              </w:tc>
              <w:tc>
                <w:tcPr/>
                <w:p>
                  <w:pPr>
                    <w:pStyle w:val="Compact"/>
                    <w:jc w:val="left"/>
                    <w:jc w:val="center"/>
                  </w:pPr>
                  <w:r>
                    <w:t xml:space="preserve">univariate</w:t>
                  </w:r>
                </w:p>
              </w:tc>
            </w:tr>
            <w:tr>
              <w:tc>
                <w:tcPr/>
                <w:p>
                  <w:pPr>
                    <w:pStyle w:val="Compact"/>
                    <w:jc w:val="left"/>
                    <w:jc w:val="center"/>
                  </w:pPr>
                  <w:r>
                    <w:t xml:space="preserve">Nutrient feed-1 volume</w:t>
                  </w:r>
                </w:p>
              </w:tc>
              <w:tc>
                <w:tcPr/>
                <w:p>
                  <w:pPr>
                    <w:pStyle w:val="Compact"/>
                    <w:jc w:val="left"/>
                    <w:jc w:val="center"/>
                  </w:pPr>
                  <w:r>
                    <w:t xml:space="preserve">% of working volume</w:t>
                  </w:r>
                </w:p>
              </w:tc>
              <w:tc>
                <w:tcPr/>
                <w:p>
                  <w:pPr>
                    <w:pStyle w:val="Compact"/>
                    <w:jc w:val="right"/>
                    <w:jc w:val="center"/>
                  </w:pPr>
                  <w:r>
                    <w:t xml:space="preserve">12</w:t>
                  </w:r>
                </w:p>
              </w:tc>
              <w:tc>
                <w:tcPr/>
                <w:p>
                  <w:pPr>
                    <w:pStyle w:val="Compact"/>
                    <w:jc w:val="left"/>
                    <w:jc w:val="center"/>
                  </w:pPr>
                  <w:r>
                    <w:t xml:space="preserve">10–14</w:t>
                  </w:r>
                </w:p>
              </w:tc>
              <w:tc>
                <w:tcPr/>
                <w:p>
                  <w:pPr>
                    <w:pStyle w:val="Compact"/>
                    <w:jc w:val="left"/>
                    <w:jc w:val="center"/>
                  </w:pPr>
                  <w:r>
                    <w:t xml:space="preserve">9–15</w:t>
                  </w:r>
                </w:p>
              </w:tc>
              <w:tc>
                <w:tcPr/>
                <w:p>
                  <w:pPr>
                    <w:pStyle w:val="Compact"/>
                    <w:jc w:val="left"/>
                    <w:jc w:val="center"/>
                  </w:pPr>
                  <w:r>
                    <w:t xml:space="preserve">KPP</w:t>
                  </w:r>
                </w:p>
              </w:tc>
              <w:tc>
                <w:tcPr/>
                <w:p>
                  <w:pPr>
                    <w:pStyle w:val="Compact"/>
                    <w:jc w:val="left"/>
                    <w:jc w:val="center"/>
                  </w:pPr>
                  <w:r>
                    <w:t xml:space="preserve">univariate</w:t>
                  </w:r>
                </w:p>
              </w:tc>
            </w:tr>
          </w:tbl>
          <w:bookmarkEnd w:id="45"/>
          <w:p/>
        </w:tc>
      </w:tr>
    </w:tbl>
    <w:p>
      <w:pPr>
        <w:pStyle w:val="BodyText"/>
      </w:pPr>
      <w:hyperlink w:anchor="tbl-factors">
        <w:r>
          <w:rPr>
            <w:rStyle w:val="Hyperlink"/>
          </w:rPr>
          <w:t xml:space="preserve">Table 8</w:t>
        </w:r>
      </w:hyperlink>
      <w:r>
        <w:t xml:space="preserve"> </w:t>
      </w:r>
      <w:r>
        <w:t xml:space="preserve">gives the code letter of each factor of the designs. The codes were assigned in screening order and kept for the response-surface terms, so a factor carries the same letter throughout the report.</w:t>
      </w:r>
    </w:p>
    <w:tbl>
      <w:tblPr>
        <w:tblStyle w:val="Table"/>
        <w:tblW w:type="pct" w:w="5000"/>
        <w:tblLayout w:type="fixed"/>
        <w:tblLook w:firstRow="0" w:lastRow="0" w:firstColumn="0" w:lastColumn="0" w:noHBand="0" w:noVBand="0" w:val="0000"/>
      </w:tblPr>
      <w:tblGrid>
        <w:gridCol w:w="7920"/>
      </w:tblGrid>
      <w:tr>
        <w:tc>
          <w:tcPr/>
          <w:bookmarkStart w:id="46" w:name="tbl-factors"/>
          <w:p>
            <w:pPr>
              <w:jc w:val="center"/>
            </w:pPr>
            <w:pPr>
              <w:jc w:val="start"/>
              <w:spacing w:before="200"/>
              <w:pStyle w:val="ImageCaption"/>
            </w:pPr>
            <w:r>
              <w:t xml:space="preserve">Table 8: Factors of the designs and their code letters.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Factor</w:t>
                  </w:r>
                </w:p>
              </w:tc>
              <w:tc>
                <w:tcPr/>
                <w:p>
                  <w:pPr>
                    <w:pStyle w:val="Compact"/>
                    <w:jc w:val="left"/>
                    <w:jc w:val="center"/>
                  </w:pPr>
                  <w:r>
                    <w:t xml:space="preserve">Unit</w:t>
                  </w:r>
                </w:p>
              </w:tc>
              <w:tc>
                <w:tcPr/>
                <w:p>
                  <w:pPr>
                    <w:pStyle w:val="Compact"/>
                    <w:jc w:val="left"/>
                    <w:jc w:val="center"/>
                  </w:pPr>
                  <w:r>
                    <w:t xml:space="preserve">Studied in</w:t>
                  </w:r>
                </w:p>
              </w:tc>
            </w:tr>
            <w:tr>
              <w:tc>
                <w:tcPr/>
                <w:p>
                  <w:pPr>
                    <w:pStyle w:val="Compact"/>
                    <w:jc w:val="left"/>
                    <w:jc w:val="center"/>
                  </w:pPr>
                  <w:r>
                    <w:t xml:space="preserve">A</w:t>
                  </w:r>
                </w:p>
              </w:tc>
              <w:tc>
                <w:tcPr/>
                <w:p>
                  <w:pPr>
                    <w:pStyle w:val="Compact"/>
                    <w:jc w:val="left"/>
                    <w:jc w:val="center"/>
                  </w:pPr>
                  <w:r>
                    <w:t xml:space="preserve">Culture pH</w:t>
                  </w:r>
                </w:p>
              </w:tc>
              <w:tc>
                <w:tcPr/>
                <w:p>
                  <w:pPr>
                    <w:pStyle w:val="Compact"/>
                    <w:jc w:val="left"/>
                    <w:jc w:val="center"/>
                  </w:pPr>
                  <w:r>
                    <w:t xml:space="preserve">pH</w:t>
                  </w:r>
                </w:p>
              </w:tc>
              <w:tc>
                <w:tcPr/>
                <w:p>
                  <w:pPr>
                    <w:pStyle w:val="Compact"/>
                    <w:jc w:val="left"/>
                    <w:jc w:val="center"/>
                  </w:pPr>
                  <w:r>
                    <w:t xml:space="preserve">screening + RSM</w:t>
                  </w:r>
                </w:p>
              </w:tc>
            </w:tr>
            <w:tr>
              <w:tc>
                <w:tcPr/>
                <w:p>
                  <w:pPr>
                    <w:pStyle w:val="Compact"/>
                    <w:jc w:val="left"/>
                    <w:jc w:val="center"/>
                  </w:pPr>
                  <w:r>
                    <w:t xml:space="preserve">B</w:t>
                  </w:r>
                </w:p>
              </w:tc>
              <w:tc>
                <w:tcPr/>
                <w:p>
                  <w:pPr>
                    <w:pStyle w:val="Compact"/>
                    <w:jc w:val="left"/>
                    <w:jc w:val="center"/>
                  </w:pPr>
                  <w:r>
                    <w:t xml:space="preserve">Culture temperature</w:t>
                  </w:r>
                </w:p>
              </w:tc>
              <w:tc>
                <w:tcPr/>
                <w:p>
                  <w:pPr>
                    <w:pStyle w:val="Compact"/>
                    <w:jc w:val="left"/>
                    <w:jc w:val="center"/>
                  </w:pPr>
                  <w:r>
                    <w:t xml:space="preserve">°C</w:t>
                  </w:r>
                </w:p>
              </w:tc>
              <w:tc>
                <w:tcPr/>
                <w:p>
                  <w:pPr>
                    <w:pStyle w:val="Compact"/>
                    <w:jc w:val="left"/>
                    <w:jc w:val="center"/>
                  </w:pPr>
                  <w:r>
                    <w:t xml:space="preserve">screening + RSM</w:t>
                  </w:r>
                </w:p>
              </w:tc>
            </w:tr>
            <w:tr>
              <w:tc>
                <w:tcPr/>
                <w:p>
                  <w:pPr>
                    <w:pStyle w:val="Compact"/>
                    <w:jc w:val="left"/>
                    <w:jc w:val="center"/>
                  </w:pPr>
                  <w:r>
                    <w:t xml:space="preserve">C</w:t>
                  </w:r>
                </w:p>
              </w:tc>
              <w:tc>
                <w:tcPr/>
                <w:p>
                  <w:pPr>
                    <w:pStyle w:val="Compact"/>
                    <w:jc w:val="left"/>
                    <w:jc w:val="center"/>
                  </w:pPr>
                  <w:r>
                    <w:t xml:space="preserve">CO2 partial pressure (pCO2)</w:t>
                  </w:r>
                </w:p>
              </w:tc>
              <w:tc>
                <w:tcPr/>
                <w:p>
                  <w:pPr>
                    <w:pStyle w:val="Compact"/>
                    <w:jc w:val="left"/>
                    <w:jc w:val="center"/>
                  </w:pPr>
                  <w:r>
                    <w:t xml:space="preserve">mmHg</w:t>
                  </w:r>
                </w:p>
              </w:tc>
              <w:tc>
                <w:tcPr/>
                <w:p>
                  <w:pPr>
                    <w:pStyle w:val="Compact"/>
                    <w:jc w:val="left"/>
                    <w:jc w:val="center"/>
                  </w:pPr>
                  <w:r>
                    <w:t xml:space="preserve">screening + RSM</w:t>
                  </w:r>
                </w:p>
              </w:tc>
            </w:tr>
            <w:tr>
              <w:tc>
                <w:tcPr/>
                <w:p>
                  <w:pPr>
                    <w:pStyle w:val="Compact"/>
                    <w:jc w:val="left"/>
                    <w:jc w:val="center"/>
                  </w:pPr>
                  <w:r>
                    <w:t xml:space="preserve">D</w:t>
                  </w:r>
                </w:p>
              </w:tc>
              <w:tc>
                <w:tcPr/>
                <w:p>
                  <w:pPr>
                    <w:pStyle w:val="Compact"/>
                    <w:jc w:val="left"/>
                    <w:jc w:val="center"/>
                  </w:pPr>
                  <w:r>
                    <w:t xml:space="preserve">Osmolality</w:t>
                  </w:r>
                </w:p>
              </w:tc>
              <w:tc>
                <w:tcPr/>
                <w:p>
                  <w:pPr>
                    <w:pStyle w:val="Compact"/>
                    <w:jc w:val="left"/>
                    <w:jc w:val="center"/>
                  </w:pPr>
                  <w:r>
                    <w:t xml:space="preserve">mOsm/kg</w:t>
                  </w:r>
                </w:p>
              </w:tc>
              <w:tc>
                <w:tcPr/>
                <w:p>
                  <w:pPr>
                    <w:pStyle w:val="Compact"/>
                    <w:jc w:val="left"/>
                    <w:jc w:val="center"/>
                  </w:pPr>
                  <w:r>
                    <w:t xml:space="preserve">screening</w:t>
                  </w:r>
                </w:p>
              </w:tc>
            </w:tr>
            <w:tr>
              <w:tc>
                <w:tcPr/>
                <w:p>
                  <w:pPr>
                    <w:pStyle w:val="Compact"/>
                    <w:jc w:val="left"/>
                    <w:jc w:val="center"/>
                  </w:pPr>
                  <w:r>
                    <w:t xml:space="preserve">E</w:t>
                  </w:r>
                </w:p>
              </w:tc>
              <w:tc>
                <w:tcPr/>
                <w:p>
                  <w:pPr>
                    <w:pStyle w:val="Compact"/>
                    <w:jc w:val="left"/>
                    <w:jc w:val="center"/>
                  </w:pPr>
                  <w:r>
                    <w:t xml:space="preserve">Culture duration</w:t>
                  </w:r>
                </w:p>
              </w:tc>
              <w:tc>
                <w:tcPr/>
                <w:p>
                  <w:pPr>
                    <w:pStyle w:val="Compact"/>
                    <w:jc w:val="left"/>
                    <w:jc w:val="center"/>
                  </w:pPr>
                  <w:r>
                    <w:t xml:space="preserve">days</w:t>
                  </w:r>
                </w:p>
              </w:tc>
              <w:tc>
                <w:tcPr/>
                <w:p>
                  <w:pPr>
                    <w:pStyle w:val="Compact"/>
                    <w:jc w:val="left"/>
                    <w:jc w:val="center"/>
                  </w:pPr>
                  <w:r>
                    <w:t xml:space="preserve">screening + RSM</w:t>
                  </w:r>
                </w:p>
              </w:tc>
            </w:tr>
          </w:tbl>
          <w:bookmarkEnd w:id="46"/>
          <w:p/>
        </w:tc>
      </w:tr>
    </w:tbl>
    <w:bookmarkEnd w:id="47"/>
    <w:bookmarkStart w:id="48" w:name="sec-screening-design"/>
    <w:p>
      <w:pPr>
        <w:pStyle w:val="Heading2"/>
      </w:pPr>
      <w:r>
        <w:t xml:space="preserve">4.2 Screening design</w:t>
      </w:r>
    </w:p>
    <w:p>
      <w:pPr>
        <w:pStyle w:val="FirstParagraph"/>
      </w:pPr>
      <w:r>
        <w:t xml:space="preserve">The screening study S-BRX-SCR varied the five multivariate parameters in a resolution V half fraction of the two-level factorial design, with 16 factorial runs and three centre points, 19 runs in all. At resolution V every main effect and every two-factor interaction can be estimated clear of the others, and each is aliased only with interactions of three factors or more. The runs were made in randomized order under SOP-1002. The design carries no squared term, so it can detect curvature but cannot attribute it to a factor. Appendix A gives the settings and the results.</w:t>
      </w:r>
    </w:p>
    <w:bookmarkEnd w:id="48"/>
    <w:bookmarkStart w:id="49" w:name="sec-rsm-design"/>
    <w:p>
      <w:pPr>
        <w:pStyle w:val="Heading2"/>
      </w:pPr>
      <w:r>
        <w:t xml:space="preserve">4.3 Response-surface design</w:t>
      </w:r>
    </w:p>
    <w:p>
      <w:pPr>
        <w:pStyle w:val="FirstParagraph"/>
      </w:pPr>
      <w:r>
        <w:t xml:space="preserve">The response-surface study S-BRX-RSM varied culture pH, culture temperature, culture duration and CO2 partial pressure (pCO2) in a face-centred central composite design. The design has 16 factorial runs, 8 axial runs at the centres of the faces of the design cube and four centre points, 28 runs in all. Each factor is run at three levels. Osmolality was held at its set-point in every run. PCP-003 §6.3 planned this subset of factors. It also requires the factors carried into the design to be those that the screening identifies as active, with the design amended before execution if the subset differs. Osmolality was active in the screening (</w:t>
      </w:r>
      <w:hyperlink w:anchor="sec-screening">
        <w:r>
          <w:rPr>
            <w:rStyle w:val="Hyperlink"/>
          </w:rPr>
          <w:t xml:space="preserve">Section 5.2</w:t>
        </w:r>
      </w:hyperlink>
      <w:r>
        <w:t xml:space="preserve">) and was not carried forward (PD-003-07). Appendix B gives the settings and the results.</w:t>
      </w:r>
    </w:p>
    <w:p>
      <w:pPr>
        <w:pStyle w:val="BodyText"/>
      </w:pPr>
      <w:r>
        <w:t xml:space="preserve">The design was augmented with 16 runs under INV-002, in a D-optimal augmentation run as a second block, the study S-BRX-AUG (2026-09-03 to 2026-09-24)</w:t>
      </w:r>
      <w:r>
        <w:t xml:space="preserve"> </w:t>
      </w:r>
      <w:r>
        <w:t xml:space="preserve">(Fedorov 1972)</w:t>
      </w:r>
      <w:r>
        <w:t xml:space="preserve">. INV-002 decided its rule on 2026-09-02, after the results of the planned runs were known and before any augmentation run was made. A failing model of an attribute of the drug substance specification on which the planned design shows an effect is augmented, and every other failing model is refitted. The number of runs is the smallest augmentation found in INV-002 to give a probability of at least 0.90 that the full quadratic models of high mannose and acidic variants meet the lack-of-fit test and the limit on overfitting. The augmentation is the discrepancy PD-003-02, and Appendix B gives its runs.</w:t>
      </w:r>
    </w:p>
    <w:bookmarkEnd w:id="49"/>
    <w:bookmarkStart w:id="50" w:name="sec-univariate-design"/>
    <w:p>
      <w:pPr>
        <w:pStyle w:val="Heading2"/>
      </w:pPr>
      <w:r>
        <w:t xml:space="preserve">4.4 Univariate assessment</w:t>
      </w:r>
    </w:p>
    <w:p>
      <w:pPr>
        <w:pStyle w:val="FirstParagraph"/>
      </w:pPr>
      <w:r>
        <w:t xml:space="preserve">The univariate study S-BRX-UNI (2025-10-06 to 2025-10-31) assessed dissolved oxygen, initial viable cell concentration, basal medium concentration and nutrient feed-1 volume one at a time. Each parameter was run at the low and the high end of its range studied with every other parameter at its set-point, and the harvest was assayed for the five responses and the two impurities. PCP-003 §6.4 plans one run at each end. Duplicate runs were made at each end, 16 runs in all, to measure the variation between runs within the study (PD-003-05). The set-point reference of the study is the scale-down runs of the qualification study. This design cannot show whether the effect of one of these parameters depends on the level of another</w:t>
      </w:r>
      <w:r>
        <w:t xml:space="preserve"> </w:t>
      </w:r>
      <w:r>
        <w:t xml:space="preserve">(International Council for Harmonisation 2009)</w:t>
      </w:r>
      <w:r>
        <w:t xml:space="preserve">, so the range it supports is conditioned on the other parameters being at their set-points.</w:t>
      </w:r>
    </w:p>
    <w:bookmarkEnd w:id="50"/>
    <w:bookmarkStart w:id="51" w:name="sec-osm-design"/>
    <w:p>
      <w:pPr>
        <w:pStyle w:val="Heading2"/>
      </w:pPr>
      <w:r>
        <w:t xml:space="preserve">4.5 Osmolality study</w:t>
      </w:r>
    </w:p>
    <w:p>
      <w:pPr>
        <w:pStyle w:val="FirstParagraph"/>
      </w:pPr>
      <w:r>
        <w:t xml:space="preserve">The osmolality study S-BRX-OSM (2026-09-01 to 2026-09-23) ran osmolality at its NOR low, set-point and NOR high. The four response-surface parameters were held at the combination of NOR settings least favourable for acidic variants, culture pH at pH 6.95, culture temperature at 34.5 °C, culture duration at 18 days and pCO2 at 130 mmHg. The study was made during the Version 2.0 re-analysis, after the screening and response-surface results were known, and it is recorded as the discrepancy PD-003-01. Each level had four runs, the smallest number for which the straight-line prediction at the NOR high has a standard error of at most 0.5 times the standard deviation between runs.</w:t>
      </w:r>
    </w:p>
    <w:bookmarkEnd w:id="51"/>
    <w:bookmarkStart w:id="53" w:name="sec-chronology"/>
    <w:p>
      <w:pPr>
        <w:pStyle w:val="Heading2"/>
      </w:pPr>
      <w:r>
        <w:t xml:space="preserve">4.6 Execution of the studies</w:t>
      </w:r>
    </w:p>
    <w:p>
      <w:pPr>
        <w:pStyle w:val="FirstParagraph"/>
      </w:pPr>
      <w:hyperlink w:anchor="tbl-chronology">
        <w:r>
          <w:rPr>
            <w:rStyle w:val="Hyperlink"/>
          </w:rPr>
          <w:t xml:space="preserve">Table 9</w:t>
        </w:r>
      </w:hyperlink>
      <w:r>
        <w:t xml:space="preserve"> </w:t>
      </w:r>
      <w:r>
        <w:t xml:space="preserve">gives the execution window of each study. Every study of PCP-003 ran in the scale-down bioreactor system whose pCO2 probe is EQ-BRX-205, and each window closed before the next calibration of that probe was due on 2026-06-14. The univariate study started on 2025-10-06, before the response-surface study started on 2025-10-20, against the sequence of PCP-003 §11 (PD-003-10). The records of the osmolality and augmentation studies name no equipment and state no calibration status of the pCO2 probe (PD-003-12). Host cell protein and DNA were measured in the clarified harvest of every run of the screening, response-surface and univariate designs. They were not measured on the qualification runs, on the augmentation runs or in the osmolality study.</w:t>
      </w:r>
    </w:p>
    <w:tbl>
      <w:tblPr>
        <w:tblStyle w:val="Table"/>
        <w:tblW w:type="pct" w:w="5000"/>
        <w:tblLayout w:type="fixed"/>
        <w:tblLook w:firstRow="0" w:lastRow="0" w:firstColumn="0" w:lastColumn="0" w:noHBand="0" w:noVBand="0" w:val="0000"/>
      </w:tblPr>
      <w:tblGrid>
        <w:gridCol w:w="7920"/>
      </w:tblGrid>
      <w:tr>
        <w:tc>
          <w:tcPr/>
          <w:bookmarkStart w:id="52" w:name="tbl-chronology"/>
          <w:p>
            <w:pPr>
              <w:jc w:val="center"/>
            </w:pPr>
            <w:pPr>
              <w:jc w:val="start"/>
              <w:spacing w:before="200"/>
              <w:pStyle w:val="ImageCaption"/>
            </w:pPr>
            <w:r>
              <w:t xml:space="preserve">Table 9: Execution window of each study of the production bioreactor, with the pCO2 probe it used and the next calibration due date of that probe.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c>
                <w:tcPr/>
                <w:p>
                  <w:pPr>
                    <w:pStyle w:val="Compact"/>
                    <w:jc w:val="center"/>
                  </w:pPr>
                  <w:r>
                    <w:t xml:space="preserve">pCO2 probe</w:t>
                  </w:r>
                </w:p>
              </w:tc>
              <w:tc>
                <w:tcPr/>
                <w:p>
                  <w:pPr>
                    <w:pStyle w:val="Compact"/>
                    <w:jc w:val="center"/>
                  </w:pPr>
                  <w:r>
                    <w:t xml:space="preserve">Calibration</w:t>
                  </w:r>
                  <w:r>
                    <w:br/>
                  </w:r>
                  <w:r>
                    <w:t xml:space="preserve">due</w:t>
                  </w:r>
                </w:p>
              </w:tc>
            </w:tr>
            <w:tr>
              <w:tc>
                <w:tcPr/>
                <w:p>
                  <w:pPr>
                    <w:pStyle w:val="Compact"/>
                    <w:jc w:val="center"/>
                  </w:pPr>
                  <w:r>
                    <w:t xml:space="preserve">S-BRX-SDM</w:t>
                  </w:r>
                </w:p>
              </w:tc>
              <w:tc>
                <w:tcPr/>
                <w:p>
                  <w:pPr>
                    <w:pStyle w:val="Compact"/>
                    <w:jc w:val="center"/>
                  </w:pPr>
                  <w:r>
                    <w:t xml:space="preserve">Scale-down model qualification</w:t>
                  </w:r>
                </w:p>
              </w:tc>
              <w:tc>
                <w:tcPr/>
                <w:p>
                  <w:pPr>
                    <w:pStyle w:val="Compact"/>
                    <w:jc w:val="center"/>
                  </w:pPr>
                  <w:r>
                    <w:t xml:space="preserve">2025-08-11</w:t>
                  </w:r>
                </w:p>
              </w:tc>
              <w:tc>
                <w:tcPr/>
                <w:p>
                  <w:pPr>
                    <w:pStyle w:val="Compact"/>
                    <w:jc w:val="center"/>
                  </w:pPr>
                  <w:r>
                    <w:t xml:space="preserve">2025-09-05</w:t>
                  </w:r>
                </w:p>
              </w:tc>
              <w:tc>
                <w:tcPr/>
                <w:p>
                  <w:pPr>
                    <w:pStyle w:val="Compact"/>
                    <w:jc w:val="center"/>
                  </w:pPr>
                  <w:r>
                    <w:t xml:space="preserve">EQ-BRX-205</w:t>
                  </w:r>
                </w:p>
              </w:tc>
              <w:tc>
                <w:tcPr/>
                <w:p>
                  <w:pPr>
                    <w:pStyle w:val="Compact"/>
                    <w:jc w:val="center"/>
                  </w:pPr>
                  <w:r>
                    <w:t xml:space="preserve">2026-06-14</w:t>
                  </w:r>
                </w:p>
              </w:tc>
            </w:tr>
            <w:tr>
              <w:tc>
                <w:tcPr/>
                <w:p>
                  <w:pPr>
                    <w:pStyle w:val="Compact"/>
                    <w:jc w:val="center"/>
                  </w:pPr>
                  <w:r>
                    <w:t xml:space="preserve">S-BRX-SCR</w:t>
                  </w:r>
                </w:p>
              </w:tc>
              <w:tc>
                <w:tcPr/>
                <w:p>
                  <w:pPr>
                    <w:pStyle w:val="Compact"/>
                    <w:jc w:val="center"/>
                  </w:pPr>
                  <w:r>
                    <w:t xml:space="preserve">Screening design</w:t>
                  </w:r>
                </w:p>
              </w:tc>
              <w:tc>
                <w:tcPr/>
                <w:p>
                  <w:pPr>
                    <w:pStyle w:val="Compact"/>
                    <w:jc w:val="center"/>
                  </w:pPr>
                  <w:r>
                    <w:t xml:space="preserve">2025-09-08</w:t>
                  </w:r>
                </w:p>
              </w:tc>
              <w:tc>
                <w:tcPr/>
                <w:p>
                  <w:pPr>
                    <w:pStyle w:val="Compact"/>
                    <w:jc w:val="center"/>
                  </w:pPr>
                  <w:r>
                    <w:t xml:space="preserve">2025-10-03</w:t>
                  </w:r>
                </w:p>
              </w:tc>
              <w:tc>
                <w:tcPr/>
                <w:p>
                  <w:pPr>
                    <w:pStyle w:val="Compact"/>
                    <w:jc w:val="center"/>
                  </w:pPr>
                  <w:r>
                    <w:t xml:space="preserve">EQ-BRX-205</w:t>
                  </w:r>
                </w:p>
              </w:tc>
              <w:tc>
                <w:tcPr/>
                <w:p>
                  <w:pPr>
                    <w:pStyle w:val="Compact"/>
                    <w:jc w:val="center"/>
                  </w:pPr>
                  <w:r>
                    <w:t xml:space="preserve">2026-06-14</w:t>
                  </w:r>
                </w:p>
              </w:tc>
            </w:tr>
            <w:tr>
              <w:tc>
                <w:tcPr/>
                <w:p>
                  <w:pPr>
                    <w:pStyle w:val="Compact"/>
                    <w:jc w:val="center"/>
                  </w:pPr>
                  <w:r>
                    <w:t xml:space="preserve">S-BRX-UNI</w:t>
                  </w:r>
                </w:p>
              </w:tc>
              <w:tc>
                <w:tcPr/>
                <w:p>
                  <w:pPr>
                    <w:pStyle w:val="Compact"/>
                    <w:jc w:val="center"/>
                  </w:pPr>
                  <w:r>
                    <w:t xml:space="preserve">Univariate assessment</w:t>
                  </w:r>
                </w:p>
              </w:tc>
              <w:tc>
                <w:tcPr/>
                <w:p>
                  <w:pPr>
                    <w:pStyle w:val="Compact"/>
                    <w:jc w:val="center"/>
                  </w:pPr>
                  <w:r>
                    <w:t xml:space="preserve">2025-10-06</w:t>
                  </w:r>
                </w:p>
              </w:tc>
              <w:tc>
                <w:tcPr/>
                <w:p>
                  <w:pPr>
                    <w:pStyle w:val="Compact"/>
                    <w:jc w:val="center"/>
                  </w:pPr>
                  <w:r>
                    <w:t xml:space="preserve">2025-10-31</w:t>
                  </w:r>
                </w:p>
              </w:tc>
              <w:tc>
                <w:tcPr/>
                <w:p>
                  <w:pPr>
                    <w:pStyle w:val="Compact"/>
                    <w:jc w:val="center"/>
                  </w:pPr>
                  <w:r>
                    <w:t xml:space="preserve">EQ-BRX-205</w:t>
                  </w:r>
                </w:p>
              </w:tc>
              <w:tc>
                <w:tcPr/>
                <w:p>
                  <w:pPr>
                    <w:pStyle w:val="Compact"/>
                    <w:jc w:val="center"/>
                  </w:pPr>
                  <w:r>
                    <w:t xml:space="preserve">2026-06-14</w:t>
                  </w:r>
                </w:p>
              </w:tc>
            </w:tr>
            <w:tr>
              <w:tc>
                <w:tcPr/>
                <w:p>
                  <w:pPr>
                    <w:pStyle w:val="Compact"/>
                    <w:jc w:val="center"/>
                  </w:pPr>
                  <w:r>
                    <w:t xml:space="preserve">S-BRX-RSM</w:t>
                  </w:r>
                </w:p>
              </w:tc>
              <w:tc>
                <w:tcPr/>
                <w:p>
                  <w:pPr>
                    <w:pStyle w:val="Compact"/>
                    <w:jc w:val="center"/>
                  </w:pPr>
                  <w:r>
                    <w:t xml:space="preserve">Response-surface design</w:t>
                  </w:r>
                </w:p>
              </w:tc>
              <w:tc>
                <w:tcPr/>
                <w:p>
                  <w:pPr>
                    <w:pStyle w:val="Compact"/>
                    <w:jc w:val="center"/>
                  </w:pPr>
                  <w:r>
                    <w:t xml:space="preserve">2025-10-20</w:t>
                  </w:r>
                </w:p>
              </w:tc>
              <w:tc>
                <w:tcPr/>
                <w:p>
                  <w:pPr>
                    <w:pStyle w:val="Compact"/>
                    <w:jc w:val="center"/>
                  </w:pPr>
                  <w:r>
                    <w:t xml:space="preserve">2025-12-12</w:t>
                  </w:r>
                </w:p>
              </w:tc>
              <w:tc>
                <w:tcPr/>
                <w:p>
                  <w:pPr>
                    <w:pStyle w:val="Compact"/>
                    <w:jc w:val="center"/>
                  </w:pPr>
                  <w:r>
                    <w:t xml:space="preserve">EQ-BRX-205</w:t>
                  </w:r>
                </w:p>
              </w:tc>
              <w:tc>
                <w:tcPr/>
                <w:p>
                  <w:pPr>
                    <w:pStyle w:val="Compact"/>
                    <w:jc w:val="center"/>
                  </w:pPr>
                  <w:r>
                    <w:t xml:space="preserve">2026-06-14</w:t>
                  </w:r>
                </w:p>
              </w:tc>
            </w:tr>
            <w:tr>
              <w:tc>
                <w:tcPr/>
                <w:p>
                  <w:pPr>
                    <w:pStyle w:val="Compact"/>
                    <w:jc w:val="center"/>
                  </w:pPr>
                  <w:r>
                    <w:t xml:space="preserve">S-BRX-OSM</w:t>
                  </w:r>
                </w:p>
              </w:tc>
              <w:tc>
                <w:tcPr/>
                <w:p>
                  <w:pPr>
                    <w:pStyle w:val="Compact"/>
                    <w:jc w:val="center"/>
                  </w:pPr>
                  <w:r>
                    <w:t xml:space="preserve">Osmolality study</w:t>
                  </w:r>
                </w:p>
              </w:tc>
              <w:tc>
                <w:tcPr/>
                <w:p>
                  <w:pPr>
                    <w:pStyle w:val="Compact"/>
                    <w:jc w:val="center"/>
                  </w:pPr>
                  <w:r>
                    <w:t xml:space="preserve">2026-09-01</w:t>
                  </w:r>
                </w:p>
              </w:tc>
              <w:tc>
                <w:tcPr/>
                <w:p>
                  <w:pPr>
                    <w:pStyle w:val="Compact"/>
                    <w:jc w:val="center"/>
                  </w:pPr>
                  <w:r>
                    <w:t xml:space="preserve">2026-09-23</w:t>
                  </w:r>
                </w:p>
              </w:tc>
              <w:tc>
                <w:tcPr/>
                <w:p>
                  <w:pPr>
                    <w:pStyle w:val="Compact"/>
                    <w:jc w:val="center"/>
                  </w:pPr>
                  <w:r>
                    <w:t xml:space="preserve">not recorded (PD-003-12)</w:t>
                  </w:r>
                </w:p>
              </w:tc>
              <w:tc>
                <w:tcPr/>
                <w:p>
                  <w:pPr>
                    <w:pStyle w:val="Compact"/>
                    <w:jc w:val="center"/>
                  </w:pPr>
                  <w:r>
                    <w:t xml:space="preserve">not recorded (PD-003-12)</w:t>
                  </w:r>
                </w:p>
              </w:tc>
            </w:tr>
            <w:tr>
              <w:tc>
                <w:tcPr/>
                <w:p>
                  <w:pPr>
                    <w:pStyle w:val="Compact"/>
                    <w:jc w:val="center"/>
                  </w:pPr>
                  <w:r>
                    <w:t xml:space="preserve">S-BRX-AUG</w:t>
                  </w:r>
                </w:p>
              </w:tc>
              <w:tc>
                <w:tcPr/>
                <w:p>
                  <w:pPr>
                    <w:pStyle w:val="Compact"/>
                    <w:jc w:val="center"/>
                  </w:pPr>
                  <w:r>
                    <w:t xml:space="preserve">Augmentation (INV-002)</w:t>
                  </w:r>
                </w:p>
              </w:tc>
              <w:tc>
                <w:tcPr/>
                <w:p>
                  <w:pPr>
                    <w:pStyle w:val="Compact"/>
                    <w:jc w:val="center"/>
                  </w:pPr>
                  <w:r>
                    <w:t xml:space="preserve">2026-09-03</w:t>
                  </w:r>
                </w:p>
              </w:tc>
              <w:tc>
                <w:tcPr/>
                <w:p>
                  <w:pPr>
                    <w:pStyle w:val="Compact"/>
                    <w:jc w:val="center"/>
                  </w:pPr>
                  <w:r>
                    <w:t xml:space="preserve">2026-09-24</w:t>
                  </w:r>
                </w:p>
              </w:tc>
              <w:tc>
                <w:tcPr/>
                <w:p>
                  <w:pPr>
                    <w:pStyle w:val="Compact"/>
                    <w:jc w:val="center"/>
                  </w:pPr>
                  <w:r>
                    <w:t xml:space="preserve">not recorded (PD-003-12)</w:t>
                  </w:r>
                </w:p>
              </w:tc>
              <w:tc>
                <w:tcPr/>
                <w:p>
                  <w:pPr>
                    <w:pStyle w:val="Compact"/>
                    <w:jc w:val="center"/>
                  </w:pPr>
                  <w:r>
                    <w:t xml:space="preserve">not recorded (PD-003-12)</w:t>
                  </w:r>
                </w:p>
              </w:tc>
            </w:tr>
          </w:tbl>
          <w:bookmarkEnd w:id="52"/>
          <w:p/>
        </w:tc>
      </w:tr>
    </w:tbl>
    <w:bookmarkEnd w:id="53"/>
    <w:bookmarkEnd w:id="54"/>
    <w:bookmarkStart w:id="102" w:name="sec-results"/>
    <w:p>
      <w:pPr>
        <w:pStyle w:val="Heading1"/>
      </w:pPr>
      <w:r>
        <w:t xml:space="preserve">5. Results</w:t>
      </w:r>
    </w:p>
    <w:bookmarkStart w:id="56" w:name="sec-centre"/>
    <w:p>
      <w:pPr>
        <w:pStyle w:val="Heading2"/>
      </w:pPr>
      <w:r>
        <w:t xml:space="preserve">5.1 Centre-point performance and reproducibility</w:t>
      </w:r>
    </w:p>
    <w:p>
      <w:pPr>
        <w:pStyle w:val="FirstParagraph"/>
      </w:pPr>
      <w:hyperlink w:anchor="tbl-centre">
        <w:r>
          <w:rPr>
            <w:rStyle w:val="Hyperlink"/>
          </w:rPr>
          <w:t xml:space="preserve">Table 10</w:t>
        </w:r>
      </w:hyperlink>
      <w:r>
        <w:t xml:space="preserve"> </w:t>
      </w:r>
      <w:r>
        <w:t xml:space="preserve">gives the mean, the standard deviation and the coefficient of variation of the centre points of both designs. These replicates carry the variation between runs of the scale-down model and of the methods, and they are the pure error of the lack-of-fit test. High mannose is the least precise attribute at the centre point in both designs, with a coefficient of variation of 11.5 % in the screening design and 9.9 % in the response-surface design. That is several times the precision of the glycan map, 2.5 % of the result (Appendix D), so most of the variation in high mannose comes from the culture. The standard deviation of galactosylation at the centre point is 2.34 points in the response-surface design against 0.48 in the screening design. The larger value enters the lack-of-fit test of the galactosylation model as pure error, which is one reason why that test has the highest p-value of the five models (</w:t>
      </w:r>
      <w:hyperlink w:anchor="sec-models">
        <w:r>
          <w:rPr>
            <w:rStyle w:val="Hyperlink"/>
          </w:rPr>
          <w:t xml:space="preserve">Section 5.3.1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tbl-centre"/>
          <w:p>
            <w:pPr>
              <w:jc w:val="center"/>
            </w:pPr>
            <w:pPr>
              <w:jc w:val="start"/>
              <w:spacing w:before="200"/>
              <w:pStyle w:val="ImageCaption"/>
            </w:pPr>
            <w:r>
              <w:t xml:space="preserve">Table 10: Mean, standard deviation and coefficient of variation of the centre points of the two designs, as measured in the scale-down model.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Attribute</w:t>
                  </w:r>
                </w:p>
              </w:tc>
              <w:tc>
                <w:tcPr>
                  <w:gridSpan w:val="4"/>
                </w:tcPr>
                <w:p>
                  <w:pPr>
                    <w:pStyle w:val="Compact"/>
                    <w:jc w:val="center"/>
                  </w:pPr>
                  <w:r>
                    <w:t xml:space="preserve">Screening design</w:t>
                  </w:r>
                </w:p>
              </w:tc>
              <w:tc>
                <w:tcPr>
                  <w:gridSpan w:val="4"/>
                </w:tcPr>
                <w:p>
                  <w:pPr>
                    <w:pStyle w:val="Compact"/>
                    <w:jc w:val="center"/>
                  </w:pPr>
                  <w:r>
                    <w:t xml:space="preserve">Response-surface design</w:t>
                  </w:r>
                </w:p>
              </w:tc>
            </w:tr>
            <w:tr>
              <w:trPr>
                <w:tblHeader w:val="on"/>
              </w:trPr>
              <w:tc>
                <w:tcPr>
                  <w:gridSpan w:val="1"/>
                  <w:vMerge w:val="continue"/>
                </w:tcPr>
                <w:p>
                  <w:pP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 (%)</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 (%)</w:t>
                  </w:r>
                </w:p>
              </w:tc>
            </w:tr>
            <w:tr>
              <w:tc>
                <w:tcPr/>
                <w:p>
                  <w:pPr>
                    <w:pStyle w:val="Compact"/>
                    <w:jc w:val="center"/>
                  </w:pPr>
                  <w:r>
                    <w:t xml:space="preserve">Afucosylation (%)</w:t>
                  </w:r>
                </w:p>
              </w:tc>
              <w:tc>
                <w:tcPr/>
                <w:p>
                  <w:pPr>
                    <w:pStyle w:val="Compact"/>
                    <w:jc w:val="center"/>
                  </w:pPr>
                  <w:r>
                    <w:t xml:space="preserve">3</w:t>
                  </w:r>
                </w:p>
              </w:tc>
              <w:tc>
                <w:tcPr/>
                <w:p>
                  <w:pPr>
                    <w:pStyle w:val="Compact"/>
                    <w:jc w:val="center"/>
                  </w:pPr>
                  <w:r>
                    <w:t xml:space="preserve">7.93</w:t>
                  </w:r>
                </w:p>
              </w:tc>
              <w:tc>
                <w:tcPr/>
                <w:p>
                  <w:pPr>
                    <w:pStyle w:val="Compact"/>
                    <w:jc w:val="center"/>
                  </w:pPr>
                  <w:r>
                    <w:t xml:space="preserve">0.50</w:t>
                  </w:r>
                </w:p>
              </w:tc>
              <w:tc>
                <w:tcPr/>
                <w:p>
                  <w:pPr>
                    <w:pStyle w:val="Compact"/>
                    <w:jc w:val="center"/>
                  </w:pPr>
                  <w:r>
                    <w:t xml:space="preserve">6.3</w:t>
                  </w:r>
                </w:p>
              </w:tc>
              <w:tc>
                <w:tcPr/>
                <w:p>
                  <w:pPr>
                    <w:pStyle w:val="Compact"/>
                    <w:jc w:val="center"/>
                  </w:pPr>
                  <w:r>
                    <w:t xml:space="preserve">4</w:t>
                  </w:r>
                </w:p>
              </w:tc>
              <w:tc>
                <w:tcPr/>
                <w:p>
                  <w:pPr>
                    <w:pStyle w:val="Compact"/>
                    <w:jc w:val="center"/>
                  </w:pPr>
                  <w:r>
                    <w:t xml:space="preserve">7.61</w:t>
                  </w:r>
                </w:p>
              </w:tc>
              <w:tc>
                <w:tcPr/>
                <w:p>
                  <w:pPr>
                    <w:pStyle w:val="Compact"/>
                    <w:jc w:val="center"/>
                  </w:pPr>
                  <w:r>
                    <w:t xml:space="preserve">0.35</w:t>
                  </w:r>
                </w:p>
              </w:tc>
              <w:tc>
                <w:tcPr/>
                <w:p>
                  <w:pPr>
                    <w:pStyle w:val="Compact"/>
                    <w:jc w:val="center"/>
                  </w:pPr>
                  <w:r>
                    <w:t xml:space="preserve">4.7</w:t>
                  </w:r>
                </w:p>
              </w:tc>
            </w:tr>
            <w:tr>
              <w:tc>
                <w:tcPr/>
                <w:p>
                  <w:pPr>
                    <w:pStyle w:val="Compact"/>
                    <w:jc w:val="center"/>
                  </w:pPr>
                  <w:r>
                    <w:t xml:space="preserve">Galactosylation (%)</w:t>
                  </w:r>
                </w:p>
              </w:tc>
              <w:tc>
                <w:tcPr/>
                <w:p>
                  <w:pPr>
                    <w:pStyle w:val="Compact"/>
                    <w:jc w:val="center"/>
                  </w:pPr>
                  <w:r>
                    <w:t xml:space="preserve">3</w:t>
                  </w:r>
                </w:p>
              </w:tc>
              <w:tc>
                <w:tcPr/>
                <w:p>
                  <w:pPr>
                    <w:pStyle w:val="Compact"/>
                    <w:jc w:val="center"/>
                  </w:pPr>
                  <w:r>
                    <w:t xml:space="preserve">26.9</w:t>
                  </w:r>
                </w:p>
              </w:tc>
              <w:tc>
                <w:tcPr/>
                <w:p>
                  <w:pPr>
                    <w:pStyle w:val="Compact"/>
                    <w:jc w:val="center"/>
                  </w:pPr>
                  <w:r>
                    <w:t xml:space="preserve">0.48</w:t>
                  </w:r>
                </w:p>
              </w:tc>
              <w:tc>
                <w:tcPr/>
                <w:p>
                  <w:pPr>
                    <w:pStyle w:val="Compact"/>
                    <w:jc w:val="center"/>
                  </w:pPr>
                  <w:r>
                    <w:t xml:space="preserve">1.8</w:t>
                  </w:r>
                </w:p>
              </w:tc>
              <w:tc>
                <w:tcPr/>
                <w:p>
                  <w:pPr>
                    <w:pStyle w:val="Compact"/>
                    <w:jc w:val="center"/>
                  </w:pPr>
                  <w:r>
                    <w:t xml:space="preserve">4</w:t>
                  </w:r>
                </w:p>
              </w:tc>
              <w:tc>
                <w:tcPr/>
                <w:p>
                  <w:pPr>
                    <w:pStyle w:val="Compact"/>
                    <w:jc w:val="center"/>
                  </w:pPr>
                  <w:r>
                    <w:t xml:space="preserve">25.9</w:t>
                  </w:r>
                </w:p>
              </w:tc>
              <w:tc>
                <w:tcPr/>
                <w:p>
                  <w:pPr>
                    <w:pStyle w:val="Compact"/>
                    <w:jc w:val="center"/>
                  </w:pPr>
                  <w:r>
                    <w:t xml:space="preserve">2.34</w:t>
                  </w:r>
                </w:p>
              </w:tc>
              <w:tc>
                <w:tcPr/>
                <w:p>
                  <w:pPr>
                    <w:pStyle w:val="Compact"/>
                    <w:jc w:val="center"/>
                  </w:pPr>
                  <w:r>
                    <w:t xml:space="preserve">9.0</w:t>
                  </w:r>
                </w:p>
              </w:tc>
            </w:tr>
            <w:tr>
              <w:tc>
                <w:tcPr/>
                <w:p>
                  <w:pPr>
                    <w:pStyle w:val="Compact"/>
                    <w:jc w:val="center"/>
                  </w:pPr>
                  <w:r>
                    <w:t xml:space="preserve">High mannose (%)</w:t>
                  </w:r>
                </w:p>
              </w:tc>
              <w:tc>
                <w:tcPr/>
                <w:p>
                  <w:pPr>
                    <w:pStyle w:val="Compact"/>
                    <w:jc w:val="center"/>
                  </w:pPr>
                  <w:r>
                    <w:t xml:space="preserve">3</w:t>
                  </w:r>
                </w:p>
              </w:tc>
              <w:tc>
                <w:tcPr/>
                <w:p>
                  <w:pPr>
                    <w:pStyle w:val="Compact"/>
                    <w:jc w:val="center"/>
                  </w:pPr>
                  <w:r>
                    <w:t xml:space="preserve">6.28</w:t>
                  </w:r>
                </w:p>
              </w:tc>
              <w:tc>
                <w:tcPr/>
                <w:p>
                  <w:pPr>
                    <w:pStyle w:val="Compact"/>
                    <w:jc w:val="center"/>
                  </w:pPr>
                  <w:r>
                    <w:t xml:space="preserve">0.72</w:t>
                  </w:r>
                </w:p>
              </w:tc>
              <w:tc>
                <w:tcPr/>
                <w:p>
                  <w:pPr>
                    <w:pStyle w:val="Compact"/>
                    <w:jc w:val="center"/>
                  </w:pPr>
                  <w:r>
                    <w:t xml:space="preserve">11.5</w:t>
                  </w:r>
                </w:p>
              </w:tc>
              <w:tc>
                <w:tcPr/>
                <w:p>
                  <w:pPr>
                    <w:pStyle w:val="Compact"/>
                    <w:jc w:val="center"/>
                  </w:pPr>
                  <w:r>
                    <w:t xml:space="preserve">4</w:t>
                  </w:r>
                </w:p>
              </w:tc>
              <w:tc>
                <w:tcPr/>
                <w:p>
                  <w:pPr>
                    <w:pStyle w:val="Compact"/>
                    <w:jc w:val="center"/>
                  </w:pPr>
                  <w:r>
                    <w:t xml:space="preserve">5.66</w:t>
                  </w:r>
                </w:p>
              </w:tc>
              <w:tc>
                <w:tcPr/>
                <w:p>
                  <w:pPr>
                    <w:pStyle w:val="Compact"/>
                    <w:jc w:val="center"/>
                  </w:pPr>
                  <w:r>
                    <w:t xml:space="preserve">0.56</w:t>
                  </w:r>
                </w:p>
              </w:tc>
              <w:tc>
                <w:tcPr/>
                <w:p>
                  <w:pPr>
                    <w:pStyle w:val="Compact"/>
                    <w:jc w:val="center"/>
                  </w:pPr>
                  <w:r>
                    <w:t xml:space="preserve">9.9</w:t>
                  </w:r>
                </w:p>
              </w:tc>
            </w:tr>
            <w:tr>
              <w:tc>
                <w:tcPr/>
                <w:p>
                  <w:pPr>
                    <w:pStyle w:val="Compact"/>
                    <w:jc w:val="center"/>
                  </w:pPr>
                  <w:r>
                    <w:t xml:space="preserve">Acidic variants (%)</w:t>
                  </w:r>
                </w:p>
              </w:tc>
              <w:tc>
                <w:tcPr/>
                <w:p>
                  <w:pPr>
                    <w:pStyle w:val="Compact"/>
                    <w:jc w:val="center"/>
                  </w:pPr>
                  <w:r>
                    <w:t xml:space="preserve">3</w:t>
                  </w:r>
                </w:p>
              </w:tc>
              <w:tc>
                <w:tcPr/>
                <w:p>
                  <w:pPr>
                    <w:pStyle w:val="Compact"/>
                    <w:jc w:val="center"/>
                  </w:pPr>
                  <w:r>
                    <w:t xml:space="preserve">21.3</w:t>
                  </w:r>
                </w:p>
              </w:tc>
              <w:tc>
                <w:tcPr/>
                <w:p>
                  <w:pPr>
                    <w:pStyle w:val="Compact"/>
                    <w:jc w:val="center"/>
                  </w:pPr>
                  <w:r>
                    <w:t xml:space="preserve">1.09</w:t>
                  </w:r>
                </w:p>
              </w:tc>
              <w:tc>
                <w:tcPr/>
                <w:p>
                  <w:pPr>
                    <w:pStyle w:val="Compact"/>
                    <w:jc w:val="center"/>
                  </w:pPr>
                  <w:r>
                    <w:t xml:space="preserve">5.1</w:t>
                  </w:r>
                </w:p>
              </w:tc>
              <w:tc>
                <w:tcPr/>
                <w:p>
                  <w:pPr>
                    <w:pStyle w:val="Compact"/>
                    <w:jc w:val="center"/>
                  </w:pPr>
                  <w:r>
                    <w:t xml:space="preserve">4</w:t>
                  </w:r>
                </w:p>
              </w:tc>
              <w:tc>
                <w:tcPr/>
                <w:p>
                  <w:pPr>
                    <w:pStyle w:val="Compact"/>
                    <w:jc w:val="center"/>
                  </w:pPr>
                  <w:r>
                    <w:t xml:space="preserve">21.5</w:t>
                  </w:r>
                </w:p>
              </w:tc>
              <w:tc>
                <w:tcPr/>
                <w:p>
                  <w:pPr>
                    <w:pStyle w:val="Compact"/>
                    <w:jc w:val="center"/>
                  </w:pPr>
                  <w:r>
                    <w:t xml:space="preserve">0.88</w:t>
                  </w:r>
                </w:p>
              </w:tc>
              <w:tc>
                <w:tcPr/>
                <w:p>
                  <w:pPr>
                    <w:pStyle w:val="Compact"/>
                    <w:jc w:val="center"/>
                  </w:pPr>
                  <w:r>
                    <w:t xml:space="preserve">4.1</w:t>
                  </w:r>
                </w:p>
              </w:tc>
            </w:tr>
            <w:tr>
              <w:tc>
                <w:tcPr/>
                <w:p>
                  <w:pPr>
                    <w:pStyle w:val="Compact"/>
                    <w:jc w:val="center"/>
                  </w:pPr>
                  <w:r>
                    <w:t xml:space="preserve">Aggregates, HMW (%)</w:t>
                  </w:r>
                </w:p>
              </w:tc>
              <w:tc>
                <w:tcPr/>
                <w:p>
                  <w:pPr>
                    <w:pStyle w:val="Compact"/>
                    <w:jc w:val="center"/>
                  </w:pPr>
                  <w:r>
                    <w:t xml:space="preserve">3</w:t>
                  </w:r>
                </w:p>
              </w:tc>
              <w:tc>
                <w:tcPr/>
                <w:p>
                  <w:pPr>
                    <w:pStyle w:val="Compact"/>
                    <w:jc w:val="center"/>
                  </w:pPr>
                  <w:r>
                    <w:t xml:space="preserve">1.59</w:t>
                  </w:r>
                </w:p>
              </w:tc>
              <w:tc>
                <w:tcPr/>
                <w:p>
                  <w:pPr>
                    <w:pStyle w:val="Compact"/>
                    <w:jc w:val="center"/>
                  </w:pPr>
                  <w:r>
                    <w:t xml:space="preserve">0.08</w:t>
                  </w:r>
                </w:p>
              </w:tc>
              <w:tc>
                <w:tcPr/>
                <w:p>
                  <w:pPr>
                    <w:pStyle w:val="Compact"/>
                    <w:jc w:val="center"/>
                  </w:pPr>
                  <w:r>
                    <w:t xml:space="preserve">4.7</w:t>
                  </w:r>
                </w:p>
              </w:tc>
              <w:tc>
                <w:tcPr/>
                <w:p>
                  <w:pPr>
                    <w:pStyle w:val="Compact"/>
                    <w:jc w:val="center"/>
                  </w:pPr>
                  <w:r>
                    <w:t xml:space="preserve">4</w:t>
                  </w:r>
                </w:p>
              </w:tc>
              <w:tc>
                <w:tcPr/>
                <w:p>
                  <w:pPr>
                    <w:pStyle w:val="Compact"/>
                    <w:jc w:val="center"/>
                  </w:pPr>
                  <w:r>
                    <w:t xml:space="preserve">1.51</w:t>
                  </w:r>
                </w:p>
              </w:tc>
              <w:tc>
                <w:tcPr/>
                <w:p>
                  <w:pPr>
                    <w:pStyle w:val="Compact"/>
                    <w:jc w:val="center"/>
                  </w:pPr>
                  <w:r>
                    <w:t xml:space="preserve">0.10</w:t>
                  </w:r>
                </w:p>
              </w:tc>
              <w:tc>
                <w:tcPr/>
                <w:p>
                  <w:pPr>
                    <w:pStyle w:val="Compact"/>
                    <w:jc w:val="center"/>
                  </w:pPr>
                  <w:r>
                    <w:t xml:space="preserve">6.5</w:t>
                  </w:r>
                </w:p>
              </w:tc>
            </w:tr>
          </w:tbl>
          <w:bookmarkEnd w:id="55"/>
          <w:p/>
        </w:tc>
      </w:tr>
    </w:tbl>
    <w:bookmarkEnd w:id="56"/>
    <w:bookmarkStart w:id="58" w:name="sec-screening"/>
    <w:p>
      <w:pPr>
        <w:pStyle w:val="Heading2"/>
      </w:pPr>
      <w:r>
        <w:t xml:space="preserve">5.2 Screening: factor effects</w:t>
      </w:r>
    </w:p>
    <w:p>
      <w:pPr>
        <w:pStyle w:val="FirstParagraph"/>
      </w:pPr>
      <w:hyperlink w:anchor="tbl-screening">
        <w:r>
          <w:rPr>
            <w:rStyle w:val="Hyperlink"/>
          </w:rPr>
          <w:t xml:space="preserve">Table 11</w:t>
        </w:r>
      </w:hyperlink>
      <w:r>
        <w:t xml:space="preserve"> </w:t>
      </w:r>
      <w:r>
        <w:t xml:space="preserve">lists the effects significant at α = 0.05 for each attribute, as the change in the attribute across the range studied of the factor. The screening models of afucosylation and high mannose have no significant model F-test (p = 0.092 and p = 0.183), so their individual effects identify candidates and no more. No attribute shows significant curvature in the screening design, with lack-of-fit p-values from 0.078 to 0.688, but with two degrees of freedom for pure error that test detects only a large curvature.</w:t>
      </w:r>
    </w:p>
    <w:p>
      <w:pPr>
        <w:pStyle w:val="BodyText"/>
      </w:pPr>
      <w:r>
        <w:t xml:space="preserve">pCO2 has the largest effect on acidic variants, which fall by 8.21 points from the low to the high end of its range. A higher culture pH also lowers acidic variants, and a higher culture temperature raises them. Culture duration has the largest effect on galactosylation, a fall of 7.86 points, and the interaction of culture pH with culture duration is nearly as large and of opposite sign. A higher pCO2 and a higher culture pH lower galactosylation, and a higher culture temperature raises it. A higher culture pH and a longer culture raise aggregate, by 0.83 and 0.58 points. A higher culture pH raises high mannose and a higher culture temperature lowers it. Afucosylation falls with a longer culture, and its interactions of culture pH with culture duration and with pCO2 are significant.</w:t>
      </w:r>
    </w:p>
    <w:p>
      <w:pPr>
        <w:pStyle w:val="BodyText"/>
      </w:pPr>
      <w:r>
        <w:t xml:space="preserve">A higher osmolality lowers galactosylation by 2.50 points (p = 0.008) and acidic variants by 2.61 points (p = 0.012) across its range, and its interactions with culture temperature, pCO2 and culture duration are significant for galactosylation. Under PCP-003 §6.3 osmolality should therefore have been carried into the response-surface design, with the design amended before execution. It was not (PD-003-07). The osmolality study later measured its effect at the least favourable NOR combination for acidic variants (</w:t>
      </w:r>
      <w:hyperlink w:anchor="sec-osmolality">
        <w:r>
          <w:rPr>
            <w:rStyle w:val="Hyperlink"/>
          </w:rPr>
          <w:t xml:space="preserve">Section 5.5</w:t>
        </w:r>
      </w:hyperlink>
      <w:r>
        <w:t xml:space="preserve">).</w:t>
      </w:r>
    </w:p>
    <w:p>
      <w:pPr>
        <w:pStyle w:val="BodyText"/>
      </w:pPr>
      <w:r>
        <w:t xml:space="preserve">Screening run 4 ran below its design setting of pCO2, because the pCO2 probe read high (study event DEV-003-01). Appendix A shows the run at its design setting, and the analysis uses its recorded setting of 153.5 mmHg. The set of significant effects in</w:t>
      </w:r>
      <w:r>
        <w:t xml:space="preserve"> </w:t>
      </w:r>
      <w:hyperlink w:anchor="tbl-screening">
        <w:r>
          <w:rPr>
            <w:rStyle w:val="Hyperlink"/>
          </w:rPr>
          <w:t xml:space="preserve">Table 11</w:t>
        </w:r>
      </w:hyperlink>
      <w:r>
        <w:t xml:space="preserve"> </w:t>
      </w:r>
      <w:r>
        <w:t xml:space="preserve">is the same with the run at its design setting (</w:t>
      </w:r>
      <w:hyperlink w:anchor="sec-dev-01">
        <w:r>
          <w:rPr>
            <w:rStyle w:val="Hyperlink"/>
          </w:rPr>
          <w:t xml:space="preserve">Section 13.1</w:t>
        </w:r>
      </w:hyperlink>
      <w:r>
        <w:t xml:space="preserve">). The response-surface model re-estimates the effects of the four factors carried forward, in a design without aliases, and it is the model from which the ranges and the design space are predicted.</w:t>
      </w:r>
    </w:p>
    <w:tbl>
      <w:tblPr>
        <w:tblStyle w:val="Table"/>
        <w:tblW w:type="pct" w:w="5000"/>
        <w:tblLayout w:type="fixed"/>
        <w:tblLook w:firstRow="0" w:lastRow="0" w:firstColumn="0" w:lastColumn="0" w:noHBand="0" w:noVBand="0" w:val="0000"/>
      </w:tblPr>
      <w:tblGrid>
        <w:gridCol w:w="7920"/>
      </w:tblGrid>
      <w:tr>
        <w:tc>
          <w:tcPr/>
          <w:bookmarkStart w:id="57" w:name="tbl-screening"/>
          <w:p>
            <w:pPr>
              <w:jc w:val="center"/>
            </w:pPr>
            <w:pPr>
              <w:jc w:val="start"/>
              <w:spacing w:before="200"/>
              <w:pStyle w:val="ImageCaption"/>
            </w:pPr>
            <w:r>
              <w:t xml:space="preserve">Table 11: Effects significant at α = 0.05 in the screening design. The effect is the change in the attribute across the range studied of the factor, as measured in the scale-down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Attribute</w:t>
                  </w:r>
                </w:p>
              </w:tc>
              <w:tc>
                <w:tcPr/>
                <w:p>
                  <w:pPr>
                    <w:pStyle w:val="Compact"/>
                    <w:jc w:val="center"/>
                  </w:pPr>
                  <w:r>
                    <w:t xml:space="preserve">Term</w:t>
                  </w:r>
                </w:p>
              </w:tc>
              <w:tc>
                <w:tcPr/>
                <w:p>
                  <w:pPr>
                    <w:pStyle w:val="Compact"/>
                    <w:jc w:val="center"/>
                  </w:pPr>
                  <w:r>
                    <w:t xml:space="preserve">Effect</w:t>
                  </w:r>
                  <w:r>
                    <w:br/>
                  </w:r>
                  <w:r>
                    <w:t xml:space="preserve">(points)</w:t>
                  </w:r>
                </w:p>
              </w:tc>
              <w:tc>
                <w:tcPr/>
                <w:p>
                  <w:pPr>
                    <w:pStyle w:val="Compact"/>
                    <w:jc w:val="center"/>
                  </w:pPr>
                  <w:r>
                    <w:t xml:space="preserve">p-value</w:t>
                  </w:r>
                </w:p>
              </w:tc>
            </w:tr>
            <w:tr>
              <w:tc>
                <w:tcPr>
                  <w:vMerge w:val="restart"/>
                </w:tcPr>
                <w:p>
                  <w:pPr>
                    <w:pStyle w:val="Compact"/>
                    <w:jc w:val="center"/>
                  </w:pPr>
                  <w:r>
                    <w:t xml:space="preserve">Afucosylation (%)</w:t>
                  </w:r>
                </w:p>
              </w:tc>
              <w:tc>
                <w:tcPr/>
                <w:p>
                  <w:pPr>
                    <w:pStyle w:val="Compact"/>
                    <w:jc w:val="center"/>
                  </w:pPr>
                  <w:r>
                    <w:t xml:space="preserve">Culture pH × culture duration</w:t>
                  </w:r>
                </w:p>
              </w:tc>
              <w:tc>
                <w:tcPr/>
                <w:p>
                  <w:pPr>
                    <w:pStyle w:val="Compact"/>
                    <w:jc w:val="center"/>
                  </w:pPr>
                  <w:r>
                    <w:t xml:space="preserve">2.45</w:t>
                  </w:r>
                </w:p>
              </w:tc>
              <w:tc>
                <w:tcPr/>
                <w:p>
                  <w:pPr>
                    <w:pStyle w:val="Compact"/>
                    <w:jc w:val="center"/>
                  </w:pPr>
                  <w:r>
                    <w:t xml:space="preserve">0.019</w:t>
                  </w:r>
                </w:p>
              </w:tc>
            </w:tr>
            <w:tr>
              <w:tc>
                <w:tcPr>
                  <w:gridSpan w:val="1"/>
                  <w:vMerge w:val="continue"/>
                </w:tcPr>
                <w:p>
                  <w:pPr/>
                </w:p>
              </w:tc>
              <w:tc>
                <w:tcPr/>
                <w:p>
                  <w:pPr>
                    <w:pStyle w:val="Compact"/>
                    <w:jc w:val="center"/>
                  </w:pPr>
                  <w:r>
                    <w:t xml:space="preserve">Culture duration</w:t>
                  </w:r>
                </w:p>
              </w:tc>
              <w:tc>
                <w:tcPr/>
                <w:p>
                  <w:pPr>
                    <w:pStyle w:val="Compact"/>
                    <w:jc w:val="center"/>
                  </w:pPr>
                  <w:r>
                    <w:t xml:space="preserve">−2.37</w:t>
                  </w:r>
                </w:p>
              </w:tc>
              <w:tc>
                <w:tcPr/>
                <w:p>
                  <w:pPr>
                    <w:pStyle w:val="Compact"/>
                    <w:jc w:val="center"/>
                  </w:pPr>
                  <w:r>
                    <w:t xml:space="preserve">0.021</w:t>
                  </w:r>
                </w:p>
              </w:tc>
            </w:tr>
            <w:tr>
              <w:tc>
                <w:tcPr>
                  <w:gridSpan w:val="1"/>
                  <w:vMerge w:val="continue"/>
                </w:tcPr>
                <w:p>
                  <w:pPr/>
                </w:p>
              </w:tc>
              <w:tc>
                <w:tcPr/>
                <w:p>
                  <w:pPr>
                    <w:pStyle w:val="Compact"/>
                    <w:jc w:val="center"/>
                  </w:pPr>
                  <w:r>
                    <w:t xml:space="preserve">Culture pH × pCO2</w:t>
                  </w:r>
                </w:p>
              </w:tc>
              <w:tc>
                <w:tcPr/>
                <w:p>
                  <w:pPr>
                    <w:pStyle w:val="Compact"/>
                    <w:jc w:val="center"/>
                  </w:pPr>
                  <w:r>
                    <w:t xml:space="preserve">−1.77</w:t>
                  </w:r>
                </w:p>
              </w:tc>
              <w:tc>
                <w:tcPr/>
                <w:p>
                  <w:pPr>
                    <w:pStyle w:val="Compact"/>
                    <w:jc w:val="center"/>
                  </w:pPr>
                  <w:r>
                    <w:t xml:space="preserve">0.045</w:t>
                  </w:r>
                </w:p>
              </w:tc>
            </w:tr>
            <w:tr>
              <w:tc>
                <w:tcPr>
                  <w:vMerge w:val="restart"/>
                </w:tcPr>
                <w:p>
                  <w:pPr>
                    <w:pStyle w:val="Compact"/>
                    <w:jc w:val="center"/>
                  </w:pPr>
                  <w:r>
                    <w:t xml:space="preserve">Galactosylation (%)</w:t>
                  </w:r>
                </w:p>
              </w:tc>
              <w:tc>
                <w:tcPr/>
                <w:p>
                  <w:pPr>
                    <w:pStyle w:val="Compact"/>
                    <w:jc w:val="center"/>
                  </w:pPr>
                  <w:r>
                    <w:t xml:space="preserve">Culture duration</w:t>
                  </w:r>
                </w:p>
              </w:tc>
              <w:tc>
                <w:tcPr/>
                <w:p>
                  <w:pPr>
                    <w:pStyle w:val="Compact"/>
                    <w:jc w:val="center"/>
                  </w:pPr>
                  <w:r>
                    <w:t xml:space="preserve">−7.86</w:t>
                  </w:r>
                </w:p>
              </w:tc>
              <w:tc>
                <w:tcPr/>
                <w:p>
                  <w:pPr>
                    <w:pStyle w:val="Compact"/>
                    <w:jc w:val="center"/>
                  </w:pPr>
                  <w:r>
                    <w:t xml:space="preserve">&lt; 0.001</w:t>
                  </w:r>
                </w:p>
              </w:tc>
            </w:tr>
            <w:tr>
              <w:tc>
                <w:tcPr>
                  <w:gridSpan w:val="1"/>
                  <w:vMerge w:val="continue"/>
                </w:tcPr>
                <w:p>
                  <w:pPr/>
                </w:p>
              </w:tc>
              <w:tc>
                <w:tcPr/>
                <w:p>
                  <w:pPr>
                    <w:pStyle w:val="Compact"/>
                    <w:jc w:val="center"/>
                  </w:pPr>
                  <w:r>
                    <w:t xml:space="preserve">Culture pH × culture duration</w:t>
                  </w:r>
                </w:p>
              </w:tc>
              <w:tc>
                <w:tcPr/>
                <w:p>
                  <w:pPr>
                    <w:pStyle w:val="Compact"/>
                    <w:jc w:val="center"/>
                  </w:pPr>
                  <w:r>
                    <w:t xml:space="preserve">6.95</w:t>
                  </w:r>
                </w:p>
              </w:tc>
              <w:tc>
                <w:tcPr/>
                <w:p>
                  <w:pPr>
                    <w:pStyle w:val="Compact"/>
                    <w:jc w:val="center"/>
                  </w:pPr>
                  <w:r>
                    <w:t xml:space="preserve">&lt; 0.001</w:t>
                  </w:r>
                </w:p>
              </w:tc>
            </w:tr>
            <w:tr>
              <w:tc>
                <w:tcPr>
                  <w:gridSpan w:val="1"/>
                  <w:vMerge w:val="continue"/>
                </w:tcPr>
                <w:p>
                  <w:pPr/>
                </w:p>
              </w:tc>
              <w:tc>
                <w:tcPr/>
                <w:p>
                  <w:pPr>
                    <w:pStyle w:val="Compact"/>
                    <w:jc w:val="center"/>
                  </w:pPr>
                  <w:r>
                    <w:t xml:space="preserve">pCO2</w:t>
                  </w:r>
                </w:p>
              </w:tc>
              <w:tc>
                <w:tcPr/>
                <w:p>
                  <w:pPr>
                    <w:pStyle w:val="Compact"/>
                    <w:jc w:val="center"/>
                  </w:pPr>
                  <w:r>
                    <w:t xml:space="preserve">−5.84</w:t>
                  </w:r>
                </w:p>
              </w:tc>
              <w:tc>
                <w:tcPr/>
                <w:p>
                  <w:pPr>
                    <w:pStyle w:val="Compact"/>
                    <w:jc w:val="center"/>
                  </w:pPr>
                  <w:r>
                    <w:t xml:space="preserve">&lt; 0.001</w:t>
                  </w:r>
                </w:p>
              </w:tc>
            </w:tr>
            <w:tr>
              <w:tc>
                <w:tcPr>
                  <w:gridSpan w:val="1"/>
                  <w:vMerge w:val="continue"/>
                </w:tcPr>
                <w:p>
                  <w:pPr/>
                </w:p>
              </w:tc>
              <w:tc>
                <w:tcPr/>
                <w:p>
                  <w:pPr>
                    <w:pStyle w:val="Compact"/>
                    <w:jc w:val="center"/>
                  </w:pPr>
                  <w:r>
                    <w:t xml:space="preserve">Culture pH</w:t>
                  </w:r>
                </w:p>
              </w:tc>
              <w:tc>
                <w:tcPr/>
                <w:p>
                  <w:pPr>
                    <w:pStyle w:val="Compact"/>
                    <w:jc w:val="center"/>
                  </w:pPr>
                  <w:r>
                    <w:t xml:space="preserve">−4.51</w:t>
                  </w:r>
                </w:p>
              </w:tc>
              <w:tc>
                <w:tcPr/>
                <w:p>
                  <w:pPr>
                    <w:pStyle w:val="Compact"/>
                    <w:jc w:val="center"/>
                  </w:pPr>
                  <w:r>
                    <w:t xml:space="preserve">0.001</w:t>
                  </w:r>
                </w:p>
              </w:tc>
            </w:tr>
            <w:tr>
              <w:tc>
                <w:tcPr>
                  <w:gridSpan w:val="1"/>
                  <w:vMerge w:val="continue"/>
                </w:tcPr>
                <w:p>
                  <w:pPr/>
                </w:p>
              </w:tc>
              <w:tc>
                <w:tcPr/>
                <w:p>
                  <w:pPr>
                    <w:pStyle w:val="Compact"/>
                    <w:jc w:val="center"/>
                  </w:pPr>
                  <w:r>
                    <w:t xml:space="preserve">Culture temperature × osmolality</w:t>
                  </w:r>
                </w:p>
              </w:tc>
              <w:tc>
                <w:tcPr/>
                <w:p>
                  <w:pPr>
                    <w:pStyle w:val="Compact"/>
                    <w:jc w:val="center"/>
                  </w:pPr>
                  <w:r>
                    <w:t xml:space="preserve">3.75</w:t>
                  </w:r>
                </w:p>
              </w:tc>
              <w:tc>
                <w:tcPr/>
                <w:p>
                  <w:pPr>
                    <w:pStyle w:val="Compact"/>
                    <w:jc w:val="center"/>
                  </w:pPr>
                  <w:r>
                    <w:t xml:space="preserve">0.003</w:t>
                  </w:r>
                </w:p>
              </w:tc>
            </w:tr>
            <w:tr>
              <w:tc>
                <w:tcPr>
                  <w:gridSpan w:val="1"/>
                  <w:vMerge w:val="continue"/>
                </w:tcPr>
                <w:p>
                  <w:pPr/>
                </w:p>
              </w:tc>
              <w:tc>
                <w:tcPr/>
                <w:p>
                  <w:pPr>
                    <w:pStyle w:val="Compact"/>
                    <w:jc w:val="center"/>
                  </w:pPr>
                  <w:r>
                    <w:t xml:space="preserve">Culture pH × pCO2</w:t>
                  </w:r>
                </w:p>
              </w:tc>
              <w:tc>
                <w:tcPr/>
                <w:p>
                  <w:pPr>
                    <w:pStyle w:val="Compact"/>
                    <w:jc w:val="center"/>
                  </w:pPr>
                  <w:r>
                    <w:t xml:space="preserve">3.65</w:t>
                  </w:r>
                </w:p>
              </w:tc>
              <w:tc>
                <w:tcPr/>
                <w:p>
                  <w:pPr>
                    <w:pStyle w:val="Compact"/>
                    <w:jc w:val="center"/>
                  </w:pPr>
                  <w:r>
                    <w:t xml:space="preserve">0.003</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3.59</w:t>
                  </w:r>
                </w:p>
              </w:tc>
              <w:tc>
                <w:tcPr/>
                <w:p>
                  <w:pPr>
                    <w:pStyle w:val="Compact"/>
                    <w:jc w:val="center"/>
                  </w:pPr>
                  <w:r>
                    <w:t xml:space="preserve">0.003</w:t>
                  </w:r>
                </w:p>
              </w:tc>
            </w:tr>
            <w:tr>
              <w:tc>
                <w:tcPr>
                  <w:gridSpan w:val="1"/>
                  <w:vMerge w:val="continue"/>
                </w:tcPr>
                <w:p>
                  <w:pPr/>
                </w:p>
              </w:tc>
              <w:tc>
                <w:tcPr/>
                <w:p>
                  <w:pPr>
                    <w:pStyle w:val="Compact"/>
                    <w:jc w:val="center"/>
                  </w:pPr>
                  <w:r>
                    <w:t xml:space="preserve">Culture pH × culture temperature</w:t>
                  </w:r>
                </w:p>
              </w:tc>
              <w:tc>
                <w:tcPr/>
                <w:p>
                  <w:pPr>
                    <w:pStyle w:val="Compact"/>
                    <w:jc w:val="center"/>
                  </w:pPr>
                  <w:r>
                    <w:t xml:space="preserve">3.23</w:t>
                  </w:r>
                </w:p>
              </w:tc>
              <w:tc>
                <w:tcPr/>
                <w:p>
                  <w:pPr>
                    <w:pStyle w:val="Compact"/>
                    <w:jc w:val="center"/>
                  </w:pPr>
                  <w:r>
                    <w:t xml:space="preserve">0.004</w:t>
                  </w:r>
                </w:p>
              </w:tc>
            </w:tr>
            <w:tr>
              <w:tc>
                <w:tcPr>
                  <w:gridSpan w:val="1"/>
                  <w:vMerge w:val="continue"/>
                </w:tcPr>
                <w:p>
                  <w:pPr/>
                </w:p>
              </w:tc>
              <w:tc>
                <w:tcPr/>
                <w:p>
                  <w:pPr>
                    <w:pStyle w:val="Compact"/>
                    <w:jc w:val="center"/>
                  </w:pPr>
                  <w:r>
                    <w:t xml:space="preserve">Osmolality</w:t>
                  </w:r>
                </w:p>
              </w:tc>
              <w:tc>
                <w:tcPr/>
                <w:p>
                  <w:pPr>
                    <w:pStyle w:val="Compact"/>
                    <w:jc w:val="center"/>
                  </w:pPr>
                  <w:r>
                    <w:t xml:space="preserve">−2.50</w:t>
                  </w:r>
                </w:p>
              </w:tc>
              <w:tc>
                <w:tcPr/>
                <w:p>
                  <w:pPr>
                    <w:pStyle w:val="Compact"/>
                    <w:jc w:val="center"/>
                  </w:pPr>
                  <w:r>
                    <w:t xml:space="preserve">0.008</w:t>
                  </w:r>
                </w:p>
              </w:tc>
            </w:tr>
            <w:tr>
              <w:tc>
                <w:tcPr>
                  <w:gridSpan w:val="1"/>
                  <w:vMerge w:val="continue"/>
                </w:tcPr>
                <w:p>
                  <w:pPr/>
                </w:p>
              </w:tc>
              <w:tc>
                <w:tcPr/>
                <w:p>
                  <w:pPr>
                    <w:pStyle w:val="Compact"/>
                    <w:jc w:val="center"/>
                  </w:pPr>
                  <w:r>
                    <w:t xml:space="preserve">pCO2 × osmolality</w:t>
                  </w:r>
                </w:p>
              </w:tc>
              <w:tc>
                <w:tcPr/>
                <w:p>
                  <w:pPr>
                    <w:pStyle w:val="Compact"/>
                    <w:jc w:val="center"/>
                  </w:pPr>
                  <w:r>
                    <w:t xml:space="preserve">2.13</w:t>
                  </w:r>
                </w:p>
              </w:tc>
              <w:tc>
                <w:tcPr/>
                <w:p>
                  <w:pPr>
                    <w:pStyle w:val="Compact"/>
                    <w:jc w:val="center"/>
                  </w:pPr>
                  <w:r>
                    <w:t xml:space="preserve">0.013</w:t>
                  </w:r>
                </w:p>
              </w:tc>
            </w:tr>
            <w:tr>
              <w:tc>
                <w:tcPr>
                  <w:gridSpan w:val="1"/>
                  <w:vMerge w:val="continue"/>
                </w:tcPr>
                <w:p>
                  <w:pPr/>
                </w:p>
              </w:tc>
              <w:tc>
                <w:tcPr/>
                <w:p>
                  <w:pPr>
                    <w:pStyle w:val="Compact"/>
                    <w:jc w:val="center"/>
                  </w:pPr>
                  <w:r>
                    <w:t xml:space="preserve">Osmolality × culture duration</w:t>
                  </w:r>
                </w:p>
              </w:tc>
              <w:tc>
                <w:tcPr/>
                <w:p>
                  <w:pPr>
                    <w:pStyle w:val="Compact"/>
                    <w:jc w:val="center"/>
                  </w:pPr>
                  <w:r>
                    <w:t xml:space="preserve">1.88</w:t>
                  </w:r>
                </w:p>
              </w:tc>
              <w:tc>
                <w:tcPr/>
                <w:p>
                  <w:pPr>
                    <w:pStyle w:val="Compact"/>
                    <w:jc w:val="center"/>
                  </w:pPr>
                  <w:r>
                    <w:t xml:space="preserve">0.018</w:t>
                  </w:r>
                </w:p>
              </w:tc>
            </w:tr>
            <w:tr>
              <w:tc>
                <w:tcPr>
                  <w:gridSpan w:val="1"/>
                  <w:vMerge w:val="continue"/>
                </w:tcPr>
                <w:p>
                  <w:pPr/>
                </w:p>
              </w:tc>
              <w:tc>
                <w:tcPr/>
                <w:p>
                  <w:pPr>
                    <w:pStyle w:val="Compact"/>
                    <w:jc w:val="center"/>
                  </w:pPr>
                  <w:r>
                    <w:t xml:space="preserve">Culture temperature × culture duration</w:t>
                  </w:r>
                </w:p>
              </w:tc>
              <w:tc>
                <w:tcPr/>
                <w:p>
                  <w:pPr>
                    <w:pStyle w:val="Compact"/>
                    <w:jc w:val="center"/>
                  </w:pPr>
                  <w:r>
                    <w:t xml:space="preserve">1.54</w:t>
                  </w:r>
                </w:p>
              </w:tc>
              <w:tc>
                <w:tcPr/>
                <w:p>
                  <w:pPr>
                    <w:pStyle w:val="Compact"/>
                    <w:jc w:val="center"/>
                  </w:pPr>
                  <w:r>
                    <w:t xml:space="preserve">0.030</w:t>
                  </w:r>
                </w:p>
              </w:tc>
            </w:tr>
            <w:tr>
              <w:tc>
                <w:tcPr>
                  <w:vMerge w:val="restart"/>
                </w:tcPr>
                <w:p>
                  <w:pPr>
                    <w:pStyle w:val="Compact"/>
                    <w:jc w:val="center"/>
                  </w:pPr>
                  <w:r>
                    <w:t xml:space="preserve">High mannose (%)</w:t>
                  </w:r>
                </w:p>
              </w:tc>
              <w:tc>
                <w:tcPr/>
                <w:p>
                  <w:pPr>
                    <w:pStyle w:val="Compact"/>
                    <w:jc w:val="center"/>
                  </w:pPr>
                  <w:r>
                    <w:t xml:space="preserve">Culture pH</w:t>
                  </w:r>
                </w:p>
              </w:tc>
              <w:tc>
                <w:tcPr/>
                <w:p>
                  <w:pPr>
                    <w:pStyle w:val="Compact"/>
                    <w:jc w:val="center"/>
                  </w:pPr>
                  <w:r>
                    <w:t xml:space="preserve">1.52</w:t>
                  </w:r>
                </w:p>
              </w:tc>
              <w:tc>
                <w:tcPr/>
                <w:p>
                  <w:pPr>
                    <w:pStyle w:val="Compact"/>
                    <w:jc w:val="center"/>
                  </w:pPr>
                  <w:r>
                    <w:t xml:space="preserve">0.016</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−1.39</w:t>
                  </w:r>
                </w:p>
              </w:tc>
              <w:tc>
                <w:tcPr/>
                <w:p>
                  <w:pPr>
                    <w:pStyle w:val="Compact"/>
                    <w:jc w:val="center"/>
                  </w:pPr>
                  <w:r>
                    <w:t xml:space="preserve">0.021</w:t>
                  </w:r>
                </w:p>
              </w:tc>
            </w:tr>
            <w:tr>
              <w:tc>
                <w:tcPr>
                  <w:vMerge w:val="restart"/>
                </w:tcPr>
                <w:p>
                  <w:pPr>
                    <w:pStyle w:val="Compact"/>
                    <w:jc w:val="center"/>
                  </w:pPr>
                  <w:r>
                    <w:t xml:space="preserve">Acidic variants (%)</w:t>
                  </w:r>
                </w:p>
              </w:tc>
              <w:tc>
                <w:tcPr/>
                <w:p>
                  <w:pPr>
                    <w:pStyle w:val="Compact"/>
                    <w:jc w:val="center"/>
                  </w:pPr>
                  <w:r>
                    <w:t xml:space="preserve">pCO2</w:t>
                  </w:r>
                </w:p>
              </w:tc>
              <w:tc>
                <w:tcPr/>
                <w:p>
                  <w:pPr>
                    <w:pStyle w:val="Compact"/>
                    <w:jc w:val="center"/>
                  </w:pPr>
                  <w:r>
                    <w:t xml:space="preserve">−8.21</w:t>
                  </w:r>
                </w:p>
              </w:tc>
              <w:tc>
                <w:tcPr/>
                <w:p>
                  <w:pPr>
                    <w:pStyle w:val="Compact"/>
                    <w:jc w:val="center"/>
                  </w:pPr>
                  <w:r>
                    <w:t xml:space="preserve">&lt; 0.001</w:t>
                  </w:r>
                </w:p>
              </w:tc>
            </w:tr>
            <w:tr>
              <w:tc>
                <w:tcPr>
                  <w:gridSpan w:val="1"/>
                  <w:vMerge w:val="continue"/>
                </w:tcPr>
                <w:p>
                  <w:pPr/>
                </w:p>
              </w:tc>
              <w:tc>
                <w:tcPr/>
                <w:p>
                  <w:pPr>
                    <w:pStyle w:val="Compact"/>
                    <w:jc w:val="center"/>
                  </w:pPr>
                  <w:r>
                    <w:t xml:space="preserve">Culture pH</w:t>
                  </w:r>
                </w:p>
              </w:tc>
              <w:tc>
                <w:tcPr/>
                <w:p>
                  <w:pPr>
                    <w:pStyle w:val="Compact"/>
                    <w:jc w:val="center"/>
                  </w:pPr>
                  <w:r>
                    <w:t xml:space="preserve">−4.11</w:t>
                  </w:r>
                </w:p>
              </w:tc>
              <w:tc>
                <w:tcPr/>
                <w:p>
                  <w:pPr>
                    <w:pStyle w:val="Compact"/>
                    <w:jc w:val="center"/>
                  </w:pPr>
                  <w:r>
                    <w:t xml:space="preserve">0.003</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3.02</w:t>
                  </w:r>
                </w:p>
              </w:tc>
              <w:tc>
                <w:tcPr/>
                <w:p>
                  <w:pPr>
                    <w:pStyle w:val="Compact"/>
                    <w:jc w:val="center"/>
                  </w:pPr>
                  <w:r>
                    <w:t xml:space="preserve">0.008</w:t>
                  </w:r>
                </w:p>
              </w:tc>
            </w:tr>
            <w:tr>
              <w:tc>
                <w:tcPr>
                  <w:gridSpan w:val="1"/>
                  <w:vMerge w:val="continue"/>
                </w:tcPr>
                <w:p>
                  <w:pPr/>
                </w:p>
              </w:tc>
              <w:tc>
                <w:tcPr/>
                <w:p>
                  <w:pPr>
                    <w:pStyle w:val="Compact"/>
                    <w:jc w:val="center"/>
                  </w:pPr>
                  <w:r>
                    <w:t xml:space="preserve">Osmolality</w:t>
                  </w:r>
                </w:p>
              </w:tc>
              <w:tc>
                <w:tcPr/>
                <w:p>
                  <w:pPr>
                    <w:pStyle w:val="Compact"/>
                    <w:jc w:val="center"/>
                  </w:pPr>
                  <w:r>
                    <w:t xml:space="preserve">−2.61</w:t>
                  </w:r>
                </w:p>
              </w:tc>
              <w:tc>
                <w:tcPr/>
                <w:p>
                  <w:pPr>
                    <w:pStyle w:val="Compact"/>
                    <w:jc w:val="center"/>
                  </w:pPr>
                  <w:r>
                    <w:t xml:space="preserve">0.012</w:t>
                  </w:r>
                </w:p>
              </w:tc>
            </w:tr>
            <w:tr>
              <w:tc>
                <w:tcPr>
                  <w:gridSpan w:val="1"/>
                  <w:vMerge w:val="continue"/>
                </w:tcPr>
                <w:p>
                  <w:pPr/>
                </w:p>
              </w:tc>
              <w:tc>
                <w:tcPr/>
                <w:p>
                  <w:pPr>
                    <w:pStyle w:val="Compact"/>
                    <w:jc w:val="center"/>
                  </w:pPr>
                  <w:r>
                    <w:t xml:space="preserve">Culture pH × culture temperature</w:t>
                  </w:r>
                </w:p>
              </w:tc>
              <w:tc>
                <w:tcPr/>
                <w:p>
                  <w:pPr>
                    <w:pStyle w:val="Compact"/>
                    <w:jc w:val="center"/>
                  </w:pPr>
                  <w:r>
                    <w:t xml:space="preserve">1.93</w:t>
                  </w:r>
                </w:p>
              </w:tc>
              <w:tc>
                <w:tcPr/>
                <w:p>
                  <w:pPr>
                    <w:pStyle w:val="Compact"/>
                    <w:jc w:val="center"/>
                  </w:pPr>
                  <w:r>
                    <w:t xml:space="preserve">0.027</w:t>
                  </w:r>
                </w:p>
              </w:tc>
            </w:tr>
            <w:tr>
              <w:tc>
                <w:tcPr>
                  <w:gridSpan w:val="1"/>
                  <w:vMerge w:val="continue"/>
                </w:tcPr>
                <w:p>
                  <w:pPr/>
                </w:p>
              </w:tc>
              <w:tc>
                <w:tcPr/>
                <w:p>
                  <w:pPr>
                    <w:pStyle w:val="Compact"/>
                    <w:jc w:val="center"/>
                  </w:pPr>
                  <w:r>
                    <w:t xml:space="preserve">Culture pH × pCO2</w:t>
                  </w:r>
                </w:p>
              </w:tc>
              <w:tc>
                <w:tcPr/>
                <w:p>
                  <w:pPr>
                    <w:pStyle w:val="Compact"/>
                    <w:jc w:val="center"/>
                  </w:pPr>
                  <w:r>
                    <w:t xml:space="preserve">−1.87</w:t>
                  </w:r>
                </w:p>
              </w:tc>
              <w:tc>
                <w:tcPr/>
                <w:p>
                  <w:pPr>
                    <w:pStyle w:val="Compact"/>
                    <w:jc w:val="center"/>
                  </w:pPr>
                  <w:r>
                    <w:t xml:space="preserve">0.029</w:t>
                  </w:r>
                </w:p>
              </w:tc>
            </w:tr>
            <w:tr>
              <w:tc>
                <w:tcPr>
                  <w:gridSpan w:val="1"/>
                  <w:vMerge w:val="continue"/>
                </w:tcPr>
                <w:p>
                  <w:pPr/>
                </w:p>
              </w:tc>
              <w:tc>
                <w:tcPr/>
                <w:p>
                  <w:pPr>
                    <w:pStyle w:val="Compact"/>
                    <w:jc w:val="center"/>
                  </w:pPr>
                  <w:r>
                    <w:t xml:space="preserve">Culture temperature × culture duration</w:t>
                  </w:r>
                </w:p>
              </w:tc>
              <w:tc>
                <w:tcPr/>
                <w:p>
                  <w:pPr>
                    <w:pStyle w:val="Compact"/>
                    <w:jc w:val="center"/>
                  </w:pPr>
                  <w:r>
                    <w:t xml:space="preserve">1.78</w:t>
                  </w:r>
                </w:p>
              </w:tc>
              <w:tc>
                <w:tcPr/>
                <w:p>
                  <w:pPr>
                    <w:pStyle w:val="Compact"/>
                    <w:jc w:val="center"/>
                  </w:pPr>
                  <w:r>
                    <w:t xml:space="preserve">0.033</w:t>
                  </w:r>
                </w:p>
              </w:tc>
            </w:tr>
            <w:tr>
              <w:tc>
                <w:tcPr>
                  <w:vMerge w:val="restart"/>
                </w:tcPr>
                <w:p>
                  <w:pPr>
                    <w:pStyle w:val="Compact"/>
                    <w:jc w:val="center"/>
                  </w:pPr>
                  <w:r>
                    <w:t xml:space="preserve">Aggregates, HMW (%)</w:t>
                  </w:r>
                </w:p>
              </w:tc>
              <w:tc>
                <w:tcPr/>
                <w:p>
                  <w:pPr>
                    <w:pStyle w:val="Compact"/>
                    <w:jc w:val="center"/>
                  </w:pPr>
                  <w:r>
                    <w:t xml:space="preserve">Culture pH</w:t>
                  </w:r>
                </w:p>
              </w:tc>
              <w:tc>
                <w:tcPr/>
                <w:p>
                  <w:pPr>
                    <w:pStyle w:val="Compact"/>
                    <w:jc w:val="center"/>
                  </w:pPr>
                  <w:r>
                    <w:t xml:space="preserve">0.83</w:t>
                  </w:r>
                </w:p>
              </w:tc>
              <w:tc>
                <w:tcPr/>
                <w:p>
                  <w:pPr>
                    <w:pStyle w:val="Compact"/>
                    <w:jc w:val="center"/>
                  </w:pPr>
                  <w:r>
                    <w:t xml:space="preserve">&lt; 0.001</w:t>
                  </w:r>
                </w:p>
              </w:tc>
            </w:tr>
            <w:tr>
              <w:tc>
                <w:tcPr>
                  <w:gridSpan w:val="1"/>
                  <w:vMerge w:val="continue"/>
                </w:tcPr>
                <w:p>
                  <w:pPr/>
                </w:p>
              </w:tc>
              <w:tc>
                <w:tcPr/>
                <w:p>
                  <w:pPr>
                    <w:pStyle w:val="Compact"/>
                    <w:jc w:val="center"/>
                  </w:pPr>
                  <w:r>
                    <w:t xml:space="preserve">Culture duration</w:t>
                  </w:r>
                </w:p>
              </w:tc>
              <w:tc>
                <w:tcPr/>
                <w:p>
                  <w:pPr>
                    <w:pStyle w:val="Compact"/>
                    <w:jc w:val="center"/>
                  </w:pPr>
                  <w:r>
                    <w:t xml:space="preserve">0.58</w:t>
                  </w:r>
                </w:p>
              </w:tc>
              <w:tc>
                <w:tcPr/>
                <w:p>
                  <w:pPr>
                    <w:pStyle w:val="Compact"/>
                    <w:jc w:val="center"/>
                  </w:pPr>
                  <w:r>
                    <w:t xml:space="preserve">&lt; 0.001</w:t>
                  </w:r>
                </w:p>
              </w:tc>
            </w:tr>
            <w:tr>
              <w:tc>
                <w:tcPr>
                  <w:gridSpan w:val="1"/>
                  <w:vMerge w:val="continue"/>
                </w:tcPr>
                <w:p>
                  <w:pPr/>
                </w:p>
              </w:tc>
              <w:tc>
                <w:tcPr/>
                <w:p>
                  <w:pPr>
                    <w:pStyle w:val="Compact"/>
                    <w:jc w:val="center"/>
                  </w:pPr>
                  <w:r>
                    <w:t xml:space="preserve">Culture temperature × culture duration</w:t>
                  </w:r>
                </w:p>
              </w:tc>
              <w:tc>
                <w:tcPr/>
                <w:p>
                  <w:pPr>
                    <w:pStyle w:val="Compact"/>
                    <w:jc w:val="center"/>
                  </w:pPr>
                  <w:r>
                    <w:t xml:space="preserve">−0.14</w:t>
                  </w:r>
                </w:p>
              </w:tc>
              <w:tc>
                <w:tcPr/>
                <w:p>
                  <w:pPr>
                    <w:pStyle w:val="Compact"/>
                    <w:jc w:val="center"/>
                  </w:pPr>
                  <w:r>
                    <w:t xml:space="preserve">0.042</w:t>
                  </w:r>
                </w:p>
              </w:tc>
            </w:tr>
          </w:tbl>
          <w:bookmarkEnd w:id="57"/>
          <w:p/>
        </w:tc>
      </w:tr>
    </w:tbl>
    <w:bookmarkEnd w:id="58"/>
    <w:bookmarkStart w:id="95" w:name="sec-rsm"/>
    <w:p>
      <w:pPr>
        <w:pStyle w:val="Heading2"/>
      </w:pPr>
      <w:r>
        <w:t xml:space="preserve">5.3 Response-surface models</w:t>
      </w:r>
    </w:p>
    <w:bookmarkStart w:id="61" w:name="sec-models"/>
    <w:p>
      <w:pPr>
        <w:pStyle w:val="Heading3"/>
      </w:pPr>
      <w:r>
        <w:t xml:space="preserve">5.3.1 Selected models and their adequacy</w:t>
      </w:r>
    </w:p>
    <w:p>
      <w:pPr>
        <w:pStyle w:val="FirstParagraph"/>
      </w:pPr>
      <w:hyperlink w:anchor="tbl-models">
        <w:r>
          <w:rPr>
            <w:rStyle w:val="Hyperlink"/>
          </w:rPr>
          <w:t xml:space="preserve">Table 12</w:t>
        </w:r>
      </w:hyperlink>
      <w:r>
        <w:t xml:space="preserve"> </w:t>
      </w:r>
      <w:r>
        <w:t xml:space="preserve">gives the selected model of each attribute on all 44 runs. The raw scale is used for afucosylation and galactosylation, and the log scale for high mannose, acidic variants and aggregate. For afucosylation the Box-Cox interval excludes both 0 and 1, so the rule keeps the raw scale although the profile does not support it either (</w:t>
      </w:r>
      <w:hyperlink w:anchor="sec-residuals">
        <w:r>
          <w:rPr>
            <w:rStyle w:val="Hyperlink"/>
          </w:rPr>
          <w:t xml:space="preserve">Section 5.3.2</w:t>
        </w:r>
      </w:hyperlink>
      <w:r>
        <w:t xml:space="preserve">). Every selected model meets the model F-test (p &lt; 0.001 for every model), the lack-of-fit test (p from 0.246 to 0.994) and the limit on overfitting, with predicted R² at most 0.050 below R² against the limit of 0.20.</w:t>
      </w:r>
    </w:p>
    <w:tbl>
      <w:tblPr>
        <w:tblStyle w:val="Table"/>
        <w:tblW w:type="pct" w:w="5000"/>
        <w:tblLayout w:type="fixed"/>
        <w:tblLook w:firstRow="0" w:lastRow="0" w:firstColumn="0" w:lastColumn="0" w:noHBand="0" w:noVBand="0" w:val="0000"/>
      </w:tblPr>
      <w:tblGrid>
        <w:gridCol w:w="7920"/>
      </w:tblGrid>
      <w:tr>
        <w:tc>
          <w:tcPr/>
          <w:bookmarkStart w:id="59" w:name="tbl-models"/>
          <w:p>
            <w:pPr>
              <w:jc w:val="center"/>
            </w:pPr>
            <w:pPr>
              <w:jc w:val="start"/>
              <w:spacing w:before="200"/>
              <w:pStyle w:val="ImageCaption"/>
            </w:pPr>
            <w:r>
              <w:t xml:space="preserve">Table 12: Selected response-surface models of the production bioreactor on all 44 runs, against the model F-test, the lack-of-fit test and the limit on overfitting.</w:t>
            </w:r>
          </w:p>
          <w:tbl>
            <w:tblPr>
              <w:tblStyle w:val="Table"/>
              <w:tblW w:type="pct" w:w="5000"/>
              <w:tblLayout w:type="fixed"/>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Attribute</w:t>
                  </w:r>
                </w:p>
              </w:tc>
              <w:tc>
                <w:tcPr/>
                <w:p>
                  <w:pPr>
                    <w:pStyle w:val="Compact"/>
                    <w:jc w:val="center"/>
                  </w:pPr>
                  <w:r>
                    <w:t xml:space="preserve">Scale</w:t>
                  </w:r>
                </w:p>
              </w:tc>
              <w:tc>
                <w:tcPr/>
                <w:p>
                  <w:pPr>
                    <w:pStyle w:val="Compact"/>
                    <w:jc w:val="center"/>
                  </w:pPr>
                  <w:r>
                    <w:t xml:space="preserve">Box-Cox λ</w:t>
                  </w:r>
                  <w:r>
                    <w:br/>
                  </w:r>
                  <w:r>
                    <w:t xml:space="preserve">(95 % interval)</w:t>
                  </w:r>
                </w:p>
              </w:tc>
              <w:tc>
                <w:tcPr/>
                <w:p>
                  <w:pPr>
                    <w:pStyle w:val="Compact"/>
                    <w:jc w:val="center"/>
                  </w:pPr>
                  <w:r>
                    <w:t xml:space="preserve">Terms</w:t>
                  </w:r>
                </w:p>
              </w:tc>
              <w:tc>
                <w:tcPr/>
                <w:p>
                  <w:pPr>
                    <w:pStyle w:val="Compact"/>
                    <w:jc w:val="center"/>
                  </w:pPr>
                  <w:r>
                    <w:t xml:space="preserve">R²</w:t>
                  </w:r>
                </w:p>
              </w:tc>
              <w:tc>
                <w:tcPr/>
                <w:p>
                  <w:pPr>
                    <w:pStyle w:val="Compact"/>
                    <w:jc w:val="center"/>
                  </w:pPr>
                  <w:r>
                    <w:t xml:space="preserve">Adj.</w:t>
                  </w:r>
                  <w:r>
                    <w:br/>
                  </w:r>
                  <w:r>
                    <w:t xml:space="preserve">R²</w:t>
                  </w:r>
                </w:p>
              </w:tc>
              <w:tc>
                <w:tcPr/>
                <w:p>
                  <w:pPr>
                    <w:pStyle w:val="Compact"/>
                    <w:jc w:val="center"/>
                  </w:pPr>
                  <w:r>
                    <w:t xml:space="preserve">Pred.</w:t>
                  </w:r>
                  <w:r>
                    <w:br/>
                  </w:r>
                  <w:r>
                    <w:t xml:space="preserve">R²</w:t>
                  </w:r>
                </w:p>
              </w:tc>
              <w:tc>
                <w:tcPr/>
                <w:p>
                  <w:pPr>
                    <w:pStyle w:val="Compact"/>
                    <w:jc w:val="center"/>
                  </w:pPr>
                  <w:r>
                    <w:t xml:space="preserve">R² minus</w:t>
                  </w:r>
                  <w:r>
                    <w:br/>
                  </w:r>
                  <w:r>
                    <w:t xml:space="preserve">pred. R²</w:t>
                  </w:r>
                </w:p>
              </w:tc>
              <w:tc>
                <w:tcPr/>
                <w:p>
                  <w:pPr>
                    <w:pStyle w:val="Compact"/>
                    <w:jc w:val="center"/>
                  </w:pPr>
                  <w:r>
                    <w:t xml:space="preserve">F-test</w:t>
                  </w:r>
                  <w:r>
                    <w:br/>
                  </w:r>
                  <w:r>
                    <w:t xml:space="preserve">p</w:t>
                  </w:r>
                </w:p>
              </w:tc>
              <w:tc>
                <w:tcPr/>
                <w:p>
                  <w:pPr>
                    <w:pStyle w:val="Compact"/>
                    <w:jc w:val="center"/>
                  </w:pPr>
                  <w:r>
                    <w:t xml:space="preserve">Lack of</w:t>
                  </w:r>
                  <w:r>
                    <w:br/>
                  </w:r>
                  <w:r>
                    <w:t xml:space="preserve">fit p</w:t>
                  </w:r>
                </w:p>
              </w:tc>
            </w:tr>
            <w:tr>
              <w:tc>
                <w:tcPr/>
                <w:p>
                  <w:pPr>
                    <w:pStyle w:val="Compact"/>
                    <w:jc w:val="center"/>
                  </w:pPr>
                  <w:r>
                    <w:t xml:space="preserve">Afucosylation (%)</w:t>
                  </w:r>
                </w:p>
              </w:tc>
              <w:tc>
                <w:tcPr/>
                <w:p>
                  <w:pPr>
                    <w:pStyle w:val="Compact"/>
                    <w:jc w:val="center"/>
                  </w:pPr>
                  <w:r>
                    <w:t xml:space="preserve">raw</w:t>
                  </w:r>
                </w:p>
              </w:tc>
              <w:tc>
                <w:tcPr/>
                <w:p>
                  <w:pPr>
                    <w:pStyle w:val="Compact"/>
                    <w:jc w:val="center"/>
                  </w:pPr>
                  <w:r>
                    <w:t xml:space="preserve">0.44 (0.11 to 0.79)</w:t>
                  </w:r>
                </w:p>
              </w:tc>
              <w:tc>
                <w:tcPr/>
                <w:p>
                  <w:pPr>
                    <w:pStyle w:val="Compact"/>
                    <w:jc w:val="center"/>
                  </w:pPr>
                  <w:r>
                    <w:t xml:space="preserve">9</w:t>
                  </w:r>
                </w:p>
              </w:tc>
              <w:tc>
                <w:tcPr/>
                <w:p>
                  <w:pPr>
                    <w:pStyle w:val="Compact"/>
                    <w:jc w:val="center"/>
                  </w:pPr>
                  <w:r>
                    <w:t xml:space="preserve">0.955</w:t>
                  </w:r>
                </w:p>
              </w:tc>
              <w:tc>
                <w:tcPr/>
                <w:p>
                  <w:pPr>
                    <w:pStyle w:val="Compact"/>
                    <w:jc w:val="center"/>
                  </w:pPr>
                  <w:r>
                    <w:t xml:space="preserve">0.941</w:t>
                  </w:r>
                </w:p>
              </w:tc>
              <w:tc>
                <w:tcPr/>
                <w:p>
                  <w:pPr>
                    <w:pStyle w:val="Compact"/>
                    <w:jc w:val="center"/>
                  </w:pPr>
                  <w:r>
                    <w:t xml:space="preserve">0.917</w:t>
                  </w:r>
                </w:p>
              </w:tc>
              <w:tc>
                <w:tcPr/>
                <w:p>
                  <w:pPr>
                    <w:pStyle w:val="Compact"/>
                    <w:jc w:val="center"/>
                  </w:pPr>
                  <w:r>
                    <w:t xml:space="preserve">0.038</w:t>
                  </w:r>
                </w:p>
              </w:tc>
              <w:tc>
                <w:tcPr/>
                <w:p>
                  <w:pPr>
                    <w:pStyle w:val="Compact"/>
                    <w:jc w:val="center"/>
                  </w:pPr>
                  <w:r>
                    <w:t xml:space="preserve">&lt; 0.001</w:t>
                  </w:r>
                </w:p>
              </w:tc>
              <w:tc>
                <w:tcPr/>
                <w:p>
                  <w:pPr>
                    <w:pStyle w:val="Compact"/>
                    <w:jc w:val="center"/>
                  </w:pPr>
                  <w:r>
                    <w:t xml:space="preserve">0.246</w:t>
                  </w:r>
                </w:p>
              </w:tc>
            </w:tr>
            <w:tr>
              <w:tc>
                <w:tcPr/>
                <w:p>
                  <w:pPr>
                    <w:pStyle w:val="Compact"/>
                    <w:jc w:val="center"/>
                  </w:pPr>
                  <w:r>
                    <w:t xml:space="preserve">Galactosylation (%)</w:t>
                  </w:r>
                </w:p>
              </w:tc>
              <w:tc>
                <w:tcPr/>
                <w:p>
                  <w:pPr>
                    <w:pStyle w:val="Compact"/>
                    <w:jc w:val="center"/>
                  </w:pPr>
                  <w:r>
                    <w:t xml:space="preserve">raw</w:t>
                  </w:r>
                </w:p>
              </w:tc>
              <w:tc>
                <w:tcPr/>
                <w:p>
                  <w:pPr>
                    <w:pStyle w:val="Compact"/>
                    <w:jc w:val="center"/>
                  </w:pPr>
                  <w:r>
                    <w:t xml:space="preserve">0.77 (0.13 to 1.37)</w:t>
                  </w:r>
                </w:p>
              </w:tc>
              <w:tc>
                <w:tcPr/>
                <w:p>
                  <w:pPr>
                    <w:pStyle w:val="Compact"/>
                    <w:jc w:val="center"/>
                  </w:pPr>
                  <w:r>
                    <w:t xml:space="preserve">7</w:t>
                  </w:r>
                </w:p>
              </w:tc>
              <w:tc>
                <w:tcPr/>
                <w:p>
                  <w:pPr>
                    <w:pStyle w:val="Compact"/>
                    <w:jc w:val="center"/>
                  </w:pPr>
                  <w:r>
                    <w:t xml:space="preserve">0.960</w:t>
                  </w:r>
                </w:p>
              </w:tc>
              <w:tc>
                <w:tcPr/>
                <w:p>
                  <w:pPr>
                    <w:pStyle w:val="Compact"/>
                    <w:jc w:val="center"/>
                  </w:pPr>
                  <w:r>
                    <w:t xml:space="preserve">0.951</w:t>
                  </w:r>
                </w:p>
              </w:tc>
              <w:tc>
                <w:tcPr/>
                <w:p>
                  <w:pPr>
                    <w:pStyle w:val="Compact"/>
                    <w:jc w:val="center"/>
                  </w:pPr>
                  <w:r>
                    <w:t xml:space="preserve">0.939</w:t>
                  </w:r>
                </w:p>
              </w:tc>
              <w:tc>
                <w:tcPr/>
                <w:p>
                  <w:pPr>
                    <w:pStyle w:val="Compact"/>
                    <w:jc w:val="center"/>
                  </w:pPr>
                  <w:r>
                    <w:t xml:space="preserve">0.022</w:t>
                  </w:r>
                </w:p>
              </w:tc>
              <w:tc>
                <w:tcPr/>
                <w:p>
                  <w:pPr>
                    <w:pStyle w:val="Compact"/>
                    <w:jc w:val="center"/>
                  </w:pPr>
                  <w:r>
                    <w:t xml:space="preserve">&lt; 0.001</w:t>
                  </w:r>
                </w:p>
              </w:tc>
              <w:tc>
                <w:tcPr/>
                <w:p>
                  <w:pPr>
                    <w:pStyle w:val="Compact"/>
                    <w:jc w:val="center"/>
                  </w:pPr>
                  <w:r>
                    <w:t xml:space="preserve">0.994</w:t>
                  </w:r>
                </w:p>
              </w:tc>
            </w:tr>
            <w:tr>
              <w:tc>
                <w:tcPr/>
                <w:p>
                  <w:pPr>
                    <w:pStyle w:val="Compact"/>
                    <w:jc w:val="center"/>
                  </w:pPr>
                  <w:r>
                    <w:t xml:space="preserve">High mannose (%)</w:t>
                  </w:r>
                </w:p>
              </w:tc>
              <w:tc>
                <w:tcPr/>
                <w:p>
                  <w:pPr>
                    <w:pStyle w:val="Compact"/>
                    <w:jc w:val="center"/>
                  </w:pPr>
                  <w:r>
                    <w:t xml:space="preserve">log</w:t>
                  </w:r>
                </w:p>
              </w:tc>
              <w:tc>
                <w:tcPr/>
                <w:p>
                  <w:pPr>
                    <w:pStyle w:val="Compact"/>
                    <w:jc w:val="center"/>
                  </w:pPr>
                  <w:r>
                    <w:t xml:space="preserve">−0.86 (−2.00 to 0.30)</w:t>
                  </w:r>
                </w:p>
              </w:tc>
              <w:tc>
                <w:tcPr/>
                <w:p>
                  <w:pPr>
                    <w:pStyle w:val="Compact"/>
                    <w:jc w:val="center"/>
                  </w:pPr>
                  <w:r>
                    <w:t xml:space="preserve">3</w:t>
                  </w:r>
                </w:p>
              </w:tc>
              <w:tc>
                <w:tcPr/>
                <w:p>
                  <w:pPr>
                    <w:pStyle w:val="Compact"/>
                    <w:jc w:val="center"/>
                  </w:pPr>
                  <w:r>
                    <w:t xml:space="preserve">0.824</w:t>
                  </w:r>
                </w:p>
              </w:tc>
              <w:tc>
                <w:tcPr/>
                <w:p>
                  <w:pPr>
                    <w:pStyle w:val="Compact"/>
                    <w:jc w:val="center"/>
                  </w:pPr>
                  <w:r>
                    <w:t xml:space="preserve">0.806</w:t>
                  </w:r>
                </w:p>
              </w:tc>
              <w:tc>
                <w:tcPr/>
                <w:p>
                  <w:pPr>
                    <w:pStyle w:val="Compact"/>
                    <w:jc w:val="center"/>
                  </w:pPr>
                  <w:r>
                    <w:t xml:space="preserve">0.774</w:t>
                  </w:r>
                </w:p>
              </w:tc>
              <w:tc>
                <w:tcPr/>
                <w:p>
                  <w:pPr>
                    <w:pStyle w:val="Compact"/>
                    <w:jc w:val="center"/>
                  </w:pPr>
                  <w:r>
                    <w:t xml:space="preserve">0.050</w:t>
                  </w:r>
                </w:p>
              </w:tc>
              <w:tc>
                <w:tcPr/>
                <w:p>
                  <w:pPr>
                    <w:pStyle w:val="Compact"/>
                    <w:jc w:val="center"/>
                  </w:pPr>
                  <w:r>
                    <w:t xml:space="preserve">&lt; 0.001</w:t>
                  </w:r>
                </w:p>
              </w:tc>
              <w:tc>
                <w:tcPr/>
                <w:p>
                  <w:pPr>
                    <w:pStyle w:val="Compact"/>
                    <w:jc w:val="center"/>
                  </w:pPr>
                  <w:r>
                    <w:t xml:space="preserve">0.820</w:t>
                  </w:r>
                </w:p>
              </w:tc>
            </w:tr>
            <w:tr>
              <w:tc>
                <w:tcPr/>
                <w:p>
                  <w:pPr>
                    <w:pStyle w:val="Compact"/>
                    <w:jc w:val="center"/>
                  </w:pPr>
                  <w:r>
                    <w:t xml:space="preserve">Acidic variants (%)</w:t>
                  </w:r>
                </w:p>
              </w:tc>
              <w:tc>
                <w:tcPr/>
                <w:p>
                  <w:pPr>
                    <w:pStyle w:val="Compact"/>
                    <w:jc w:val="center"/>
                  </w:pPr>
                  <w:r>
                    <w:t xml:space="preserve">log</w:t>
                  </w:r>
                </w:p>
              </w:tc>
              <w:tc>
                <w:tcPr/>
                <w:p>
                  <w:pPr>
                    <w:pStyle w:val="Compact"/>
                    <w:jc w:val="center"/>
                  </w:pPr>
                  <w:r>
                    <w:t xml:space="preserve">−0.44 (−1.04 to 0.22)</w:t>
                  </w:r>
                </w:p>
              </w:tc>
              <w:tc>
                <w:tcPr/>
                <w:p>
                  <w:pPr>
                    <w:pStyle w:val="Compact"/>
                    <w:jc w:val="center"/>
                  </w:pPr>
                  <w:r>
                    <w:t xml:space="preserve">9</w:t>
                  </w:r>
                </w:p>
              </w:tc>
              <w:tc>
                <w:tcPr/>
                <w:p>
                  <w:pPr>
                    <w:pStyle w:val="Compact"/>
                    <w:jc w:val="center"/>
                  </w:pPr>
                  <w:r>
                    <w:t xml:space="preserve">0.944</w:t>
                  </w:r>
                </w:p>
              </w:tc>
              <w:tc>
                <w:tcPr/>
                <w:p>
                  <w:pPr>
                    <w:pStyle w:val="Compact"/>
                    <w:jc w:val="center"/>
                  </w:pPr>
                  <w:r>
                    <w:t xml:space="preserve">0.928</w:t>
                  </w:r>
                </w:p>
              </w:tc>
              <w:tc>
                <w:tcPr/>
                <w:p>
                  <w:pPr>
                    <w:pStyle w:val="Compact"/>
                    <w:jc w:val="center"/>
                  </w:pPr>
                  <w:r>
                    <w:t xml:space="preserve">0.897</w:t>
                  </w:r>
                </w:p>
              </w:tc>
              <w:tc>
                <w:tcPr/>
                <w:p>
                  <w:pPr>
                    <w:pStyle w:val="Compact"/>
                    <w:jc w:val="center"/>
                  </w:pPr>
                  <w:r>
                    <w:t xml:space="preserve">0.047</w:t>
                  </w:r>
                </w:p>
              </w:tc>
              <w:tc>
                <w:tcPr/>
                <w:p>
                  <w:pPr>
                    <w:pStyle w:val="Compact"/>
                    <w:jc w:val="center"/>
                  </w:pPr>
                  <w:r>
                    <w:t xml:space="preserve">&lt; 0.001</w:t>
                  </w:r>
                </w:p>
              </w:tc>
              <w:tc>
                <w:tcPr/>
                <w:p>
                  <w:pPr>
                    <w:pStyle w:val="Compact"/>
                    <w:jc w:val="center"/>
                  </w:pPr>
                  <w:r>
                    <w:t xml:space="preserve">0.295</w:t>
                  </w:r>
                </w:p>
              </w:tc>
            </w:tr>
            <w:tr>
              <w:tc>
                <w:tcPr/>
                <w:p>
                  <w:pPr>
                    <w:pStyle w:val="Compact"/>
                    <w:jc w:val="center"/>
                  </w:pPr>
                  <w:r>
                    <w:t xml:space="preserve">Aggregates, HMW (%)</w:t>
                  </w:r>
                </w:p>
              </w:tc>
              <w:tc>
                <w:tcPr/>
                <w:p>
                  <w:pPr>
                    <w:pStyle w:val="Compact"/>
                    <w:jc w:val="center"/>
                  </w:pPr>
                  <w:r>
                    <w:t xml:space="preserve">log</w:t>
                  </w:r>
                </w:p>
              </w:tc>
              <w:tc>
                <w:tcPr/>
                <w:p>
                  <w:pPr>
                    <w:pStyle w:val="Compact"/>
                    <w:jc w:val="center"/>
                  </w:pPr>
                  <w:r>
                    <w:t xml:space="preserve">0.13 (−0.43 to 0.76)</w:t>
                  </w:r>
                </w:p>
              </w:tc>
              <w:tc>
                <w:tcPr/>
                <w:p>
                  <w:pPr>
                    <w:pStyle w:val="Compact"/>
                    <w:jc w:val="center"/>
                  </w:pPr>
                  <w:r>
                    <w:t xml:space="preserve">4</w:t>
                  </w:r>
                </w:p>
              </w:tc>
              <w:tc>
                <w:tcPr/>
                <w:p>
                  <w:pPr>
                    <w:pStyle w:val="Compact"/>
                    <w:jc w:val="center"/>
                  </w:pPr>
                  <w:r>
                    <w:t xml:space="preserve">0.955</w:t>
                  </w:r>
                </w:p>
              </w:tc>
              <w:tc>
                <w:tcPr/>
                <w:p>
                  <w:pPr>
                    <w:pStyle w:val="Compact"/>
                    <w:jc w:val="center"/>
                  </w:pPr>
                  <w:r>
                    <w:t xml:space="preserve">0.949</w:t>
                  </w:r>
                </w:p>
              </w:tc>
              <w:tc>
                <w:tcPr/>
                <w:p>
                  <w:pPr>
                    <w:pStyle w:val="Compact"/>
                    <w:jc w:val="center"/>
                  </w:pPr>
                  <w:r>
                    <w:t xml:space="preserve">0.939</w:t>
                  </w:r>
                </w:p>
              </w:tc>
              <w:tc>
                <w:tcPr/>
                <w:p>
                  <w:pPr>
                    <w:pStyle w:val="Compact"/>
                    <w:jc w:val="center"/>
                  </w:pPr>
                  <w:r>
                    <w:t xml:space="preserve">0.016</w:t>
                  </w:r>
                </w:p>
              </w:tc>
              <w:tc>
                <w:tcPr/>
                <w:p>
                  <w:pPr>
                    <w:pStyle w:val="Compact"/>
                    <w:jc w:val="center"/>
                  </w:pPr>
                  <w:r>
                    <w:t xml:space="preserve">&lt; 0.001</w:t>
                  </w:r>
                </w:p>
              </w:tc>
              <w:tc>
                <w:tcPr/>
                <w:p>
                  <w:pPr>
                    <w:pStyle w:val="Compact"/>
                    <w:jc w:val="center"/>
                  </w:pPr>
                  <w:r>
                    <w:t xml:space="preserve">0.514</w:t>
                  </w:r>
                </w:p>
              </w:tc>
            </w:tr>
            <w:tr>
              <w:tc>
                <w:tcPr>
                  <w:gridSpan w:val="10"/>
                </w:tcPr>
                <w:p>
                  <w:pPr>
                    <w:pStyle w:val="Compact"/>
                    <w:jc w:val="center"/>
                  </w:pPr>
                  <w:r>
                    <w:t xml:space="preserve">Terms are counted without the intercept and the block term. Adj. R², adjusted R². Pred. R², predicted R² from PRESS. The model scale is the log scale where the 95 % interval of the Box-Cox exponent λ contains 0 and excludes 1, and the raw scale otherwise.</w:t>
                  </w:r>
                </w:p>
              </w:tc>
            </w:tr>
          </w:tbl>
          <w:bookmarkEnd w:id="59"/>
          <w:p/>
        </w:tc>
      </w:tr>
    </w:tbl>
    <w:p>
      <w:pPr>
        <w:pStyle w:val="BodyText"/>
      </w:pPr>
      <w:r>
        <w:t xml:space="preserve">At the set-points, the selected models of afucosylation and acidic variants predict 8.29 % and 22.23 % in the scale-down model. The means of the four centre points of the response-surface design are 7.61 % and 21.50 %, with standard errors of 0.18 and 0.44 points. The lack-of-fit test is not significant for either model. At manufacturing scale the model of acidic variants predicts 22.83 % at the set-point, against a geometric mean of 21.85 % in the manufacturing batches of the qualification. For acidic variants the difference lies in the unfavourable direction, because a model that predicts too high near the set-point overstates the distance to the lower limit. The predicted median at the least favourable NOR combination lies 0.39 points above the lower limit, less than either difference at the set-point. If the model overstates acidic variants there by the same factor as at the centre points, the median at that combination is about 17.79 %, below the lower limit (</w:t>
      </w:r>
      <w:hyperlink w:anchor="sec-criteria-results">
        <w:r>
          <w:rPr>
            <w:rStyle w:val="Hyperlink"/>
          </w:rPr>
          <w:t xml:space="preserve">Section 7.2</w:t>
        </w:r>
      </w:hyperlink>
      <w:r>
        <w:t xml:space="preserve">).</w:t>
      </w:r>
    </w:p>
    <w:p>
      <w:pPr>
        <w:pStyle w:val="BodyText"/>
      </w:pPr>
      <w:hyperlink w:anchor="tbl-reeval-bioreactor">
        <w:r>
          <w:rPr>
            <w:rStyle w:val="Hyperlink"/>
          </w:rPr>
          <w:t xml:space="preserve">Table 13</w:t>
        </w:r>
      </w:hyperlink>
      <w:r>
        <w:t xml:space="preserve"> </w:t>
      </w:r>
      <w:r>
        <w:t xml:space="preserve">sets the plan’s full quadratic model, fitted on the raw scale to the planned runs and to all runs with a block term, beside the model used. On the planned runs the full quadratic models of high mannose and acidic variants exceed the limit on overfitting, which is why the design was augmented. On all runs the full quadratic model of acidic variants meets the limit, but that of high mannose still exceeds it, with predicted R² 0.25 below R². The selected model of high mannose meets the limit, and the full quadratic model that the plan prescribes would leave high mannose without an adequate model on all runs.</w:t>
      </w:r>
    </w:p>
    <w:tbl>
      <w:tblPr>
        <w:tblStyle w:val="Table"/>
        <w:tblW w:type="pct" w:w="5000"/>
        <w:tblLayout w:type="fixed"/>
        <w:tblLook w:firstRow="0" w:lastRow="0" w:firstColumn="0" w:lastColumn="0" w:noHBand="0" w:noVBand="0" w:val="0000"/>
      </w:tblPr>
      <w:tblGrid>
        <w:gridCol w:w="7920"/>
      </w:tblGrid>
      <w:tr>
        <w:tc>
          <w:tcPr/>
          <w:bookmarkStart w:id="60" w:name="tbl-reeval-bioreactor"/>
          <w:p>
            <w:pPr>
              <w:jc w:val="center"/>
            </w:pPr>
            <w:pPr>
              <w:jc w:val="start"/>
              <w:spacing w:before="200"/>
              <w:pStyle w:val="ImageCaption"/>
            </w:pPr>
            <w:r>
              <w:t xml:space="preserve">Table 13: Re-evaluation of the response-surface models with the augmentation runs.</w:t>
            </w:r>
          </w:p>
          <w:tbl>
            <w:tblPr>
              <w:tblStyle w:val="Table"/>
              <w:tblW w:type="pct" w:w="5000"/>
              <w:tblLayout w:type="fixed"/>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gridSpan w:val="6"/>
                </w:tcPr>
                <w:p>
                  <w:pPr>
                    <w:pStyle w:val="Compact"/>
                    <w:jc w:val="center"/>
                  </w:pPr>
                  <w:r>
                    <w:t xml:space="preserve">All runs, full quadratic with block</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p>
                  <w:pPr>
                    <w:pStyle w:val="Compact"/>
                    <w:jc w:val="center"/>
                  </w:pPr>
                  <w:r>
                    <w:t xml:space="preserve">Lack of</w:t>
                  </w:r>
                  <w:r>
                    <w:br/>
                  </w:r>
                  <w:r>
                    <w:t xml:space="preserve">fit p</w:t>
                  </w:r>
                </w:p>
              </w:tc>
              <w:tc>
                <w:tcPr/>
                <w:p>
                  <w:pPr>
                    <w:pStyle w:val="Compact"/>
                    <w:jc w:val="center"/>
                  </w:pPr>
                  <w:r>
                    <w:t xml:space="preserve">Block p</w:t>
                  </w:r>
                </w:p>
              </w:tc>
              <w:tc>
                <w:tcPr>
                  <w:gridSpan w:val="1"/>
                  <w:vMerge w:val="continue"/>
                </w:tcPr>
                <w:p>
                  <w:pPr/>
                </w:p>
              </w:tc>
            </w:tr>
            <w:tr>
              <w:tc>
                <w:tcPr/>
                <w:p>
                  <w:pPr>
                    <w:pStyle w:val="Compact"/>
                    <w:jc w:val="center"/>
                  </w:pPr>
                  <w:r>
                    <w:t xml:space="preserve">Afucosylation (%)</w:t>
                  </w:r>
                </w:p>
              </w:tc>
              <w:tc>
                <w:tcPr/>
                <w:p>
                  <w:pPr>
                    <w:pStyle w:val="Compact"/>
                    <w:jc w:val="center"/>
                  </w:pPr>
                  <w:r>
                    <w:t xml:space="preserve">28</w:t>
                  </w:r>
                </w:p>
              </w:tc>
              <w:tc>
                <w:tcPr/>
                <w:p>
                  <w:pPr>
                    <w:pStyle w:val="Compact"/>
                    <w:jc w:val="center"/>
                  </w:pPr>
                  <w:r>
                    <w:t xml:space="preserve">0.96</w:t>
                  </w:r>
                </w:p>
              </w:tc>
              <w:tc>
                <w:tcPr/>
                <w:p>
                  <w:pPr>
                    <w:pStyle w:val="Compact"/>
                    <w:jc w:val="center"/>
                  </w:pPr>
                  <w:r>
                    <w:t xml:space="preserve">0.79</w:t>
                  </w:r>
                </w:p>
              </w:tc>
              <w:tc>
                <w:tcPr/>
                <w:p>
                  <w:pPr>
                    <w:pStyle w:val="Compact"/>
                    <w:jc w:val="center"/>
                  </w:pPr>
                  <w:r>
                    <w:t xml:space="preserve">0.17</w:t>
                  </w:r>
                </w:p>
              </w:tc>
              <w:tc>
                <w:tcPr/>
                <w:p>
                  <w:pPr>
                    <w:pStyle w:val="Compact"/>
                    <w:jc w:val="center"/>
                  </w:pPr>
                  <w:r>
                    <w:t xml:space="preserve">44</w:t>
                  </w:r>
                </w:p>
              </w:tc>
              <w:tc>
                <w:tcPr/>
                <w:p>
                  <w:pPr>
                    <w:pStyle w:val="Compact"/>
                    <w:jc w:val="center"/>
                  </w:pPr>
                  <w:r>
                    <w:t xml:space="preserve">0.96</w:t>
                  </w:r>
                </w:p>
              </w:tc>
              <w:tc>
                <w:tcPr/>
                <w:p>
                  <w:pPr>
                    <w:pStyle w:val="Compact"/>
                    <w:jc w:val="center"/>
                  </w:pPr>
                  <w:r>
                    <w:t xml:space="preserve">0.90</w:t>
                  </w:r>
                </w:p>
              </w:tc>
              <w:tc>
                <w:tcPr/>
                <w:p>
                  <w:pPr>
                    <w:pStyle w:val="Compact"/>
                    <w:jc w:val="center"/>
                  </w:pPr>
                  <w:r>
                    <w:t xml:space="preserve">0.06</w:t>
                  </w:r>
                </w:p>
              </w:tc>
              <w:tc>
                <w:tcPr/>
                <w:p>
                  <w:pPr>
                    <w:pStyle w:val="Compact"/>
                    <w:jc w:val="center"/>
                  </w:pPr>
                  <w:r>
                    <w:t xml:space="preserve">0.237</w:t>
                  </w:r>
                </w:p>
              </w:tc>
              <w:tc>
                <w:tcPr/>
                <w:p>
                  <w:pPr>
                    <w:pStyle w:val="Compact"/>
                    <w:jc w:val="center"/>
                  </w:pPr>
                  <w:r>
                    <w:t xml:space="preserve">0.377</w:t>
                  </w:r>
                </w:p>
              </w:tc>
              <w:tc>
                <w:tcPr/>
                <w:p>
                  <w:pPr>
                    <w:pStyle w:val="Compact"/>
                    <w:jc w:val="center"/>
                  </w:pPr>
                  <w:r>
                    <w:t xml:space="preserve">9 terms</w:t>
                  </w:r>
                </w:p>
              </w:tc>
            </w:tr>
            <w:tr>
              <w:tc>
                <w:tcPr/>
                <w:p>
                  <w:pPr>
                    <w:pStyle w:val="Compact"/>
                    <w:jc w:val="center"/>
                  </w:pPr>
                  <w:r>
                    <w:t xml:space="preserve">Galactosylation (%)</w:t>
                  </w:r>
                </w:p>
              </w:tc>
              <w:tc>
                <w:tcPr/>
                <w:p>
                  <w:pPr>
                    <w:pStyle w:val="Compact"/>
                    <w:jc w:val="center"/>
                  </w:pPr>
                  <w:r>
                    <w:t xml:space="preserve">28</w:t>
                  </w:r>
                </w:p>
              </w:tc>
              <w:tc>
                <w:tcPr/>
                <w:p>
                  <w:pPr>
                    <w:pStyle w:val="Compact"/>
                    <w:jc w:val="center"/>
                  </w:pPr>
                  <w:r>
                    <w:t xml:space="preserve">0.97</w:t>
                  </w:r>
                </w:p>
              </w:tc>
              <w:tc>
                <w:tcPr/>
                <w:p>
                  <w:pPr>
                    <w:pStyle w:val="Compact"/>
                    <w:jc w:val="center"/>
                  </w:pPr>
                  <w:r>
                    <w:t xml:space="preserve">0.92</w:t>
                  </w:r>
                </w:p>
              </w:tc>
              <w:tc>
                <w:tcPr/>
                <w:p>
                  <w:pPr>
                    <w:pStyle w:val="Compact"/>
                    <w:jc w:val="center"/>
                  </w:pPr>
                  <w:r>
                    <w:t xml:space="preserve">0.06</w:t>
                  </w:r>
                </w:p>
              </w:tc>
              <w:tc>
                <w:tcPr/>
                <w:p>
                  <w:pPr>
                    <w:pStyle w:val="Compact"/>
                    <w:jc w:val="center"/>
                  </w:pPr>
                  <w:r>
                    <w:t xml:space="preserve">44</w:t>
                  </w:r>
                </w:p>
              </w:tc>
              <w:tc>
                <w:tcPr/>
                <w:p>
                  <w:pPr>
                    <w:pStyle w:val="Compact"/>
                    <w:jc w:val="center"/>
                  </w:pPr>
                  <w:r>
                    <w:t xml:space="preserve">0.96</w:t>
                  </w:r>
                </w:p>
              </w:tc>
              <w:tc>
                <w:tcPr/>
                <w:p>
                  <w:pPr>
                    <w:pStyle w:val="Compact"/>
                    <w:jc w:val="center"/>
                  </w:pPr>
                  <w:r>
                    <w:t xml:space="preserve">0.92</w:t>
                  </w:r>
                </w:p>
              </w:tc>
              <w:tc>
                <w:tcPr/>
                <w:p>
                  <w:pPr>
                    <w:pStyle w:val="Compact"/>
                    <w:jc w:val="center"/>
                  </w:pPr>
                  <w:r>
                    <w:t xml:space="preserve">0.04</w:t>
                  </w:r>
                </w:p>
              </w:tc>
              <w:tc>
                <w:tcPr/>
                <w:p>
                  <w:pPr>
                    <w:pStyle w:val="Compact"/>
                    <w:jc w:val="center"/>
                  </w:pPr>
                  <w:r>
                    <w:t xml:space="preserve">0.990</w:t>
                  </w:r>
                </w:p>
              </w:tc>
              <w:tc>
                <w:tcPr/>
                <w:p>
                  <w:pPr>
                    <w:pStyle w:val="Compact"/>
                    <w:jc w:val="center"/>
                  </w:pPr>
                  <w:r>
                    <w:t xml:space="preserve">0.518</w:t>
                  </w:r>
                </w:p>
              </w:tc>
              <w:tc>
                <w:tcPr/>
                <w:p>
                  <w:pPr>
                    <w:pStyle w:val="Compact"/>
                    <w:jc w:val="center"/>
                  </w:pPr>
                  <w:r>
                    <w:t xml:space="preserve">7 terms</w:t>
                  </w:r>
                </w:p>
              </w:tc>
            </w:tr>
            <w:tr>
              <w:tc>
                <w:tcPr/>
                <w:p>
                  <w:pPr>
                    <w:pStyle w:val="Compact"/>
                    <w:jc w:val="center"/>
                  </w:pPr>
                  <w:r>
                    <w:t xml:space="preserve">High mannose (%)</w:t>
                  </w:r>
                </w:p>
              </w:tc>
              <w:tc>
                <w:tcPr/>
                <w:p>
                  <w:pPr>
                    <w:pStyle w:val="Compact"/>
                    <w:jc w:val="center"/>
                  </w:pPr>
                  <w:r>
                    <w:t xml:space="preserve">28</w:t>
                  </w:r>
                </w:p>
              </w:tc>
              <w:tc>
                <w:tcPr/>
                <w:p>
                  <w:pPr>
                    <w:pStyle w:val="Compact"/>
                    <w:jc w:val="center"/>
                  </w:pPr>
                  <w:r>
                    <w:t xml:space="preserve">0.91</w:t>
                  </w:r>
                </w:p>
              </w:tc>
              <w:tc>
                <w:tcPr/>
                <w:p>
                  <w:pPr>
                    <w:pStyle w:val="Compact"/>
                    <w:jc w:val="center"/>
                  </w:pPr>
                  <w:r>
                    <w:t xml:space="preserve">0.65</w:t>
                  </w:r>
                </w:p>
              </w:tc>
              <w:tc>
                <w:tcPr/>
                <w:p>
                  <w:pPr>
                    <w:pStyle w:val="Compact"/>
                    <w:jc w:val="center"/>
                  </w:pPr>
                  <w:r>
                    <w:t xml:space="preserve">0.26</w:t>
                  </w:r>
                </w:p>
              </w:tc>
              <w:tc>
                <w:tcPr/>
                <w:p>
                  <w:pPr>
                    <w:pStyle w:val="Compact"/>
                    <w:jc w:val="center"/>
                  </w:pPr>
                  <w:r>
                    <w:t xml:space="preserve">44</w:t>
                  </w:r>
                </w:p>
              </w:tc>
              <w:tc>
                <w:tcPr/>
                <w:p>
                  <w:pPr>
                    <w:pStyle w:val="Compact"/>
                    <w:jc w:val="center"/>
                  </w:pPr>
                  <w:r>
                    <w:t xml:space="preserve">0.84</w:t>
                  </w:r>
                </w:p>
              </w:tc>
              <w:tc>
                <w:tcPr/>
                <w:p>
                  <w:pPr>
                    <w:pStyle w:val="Compact"/>
                    <w:jc w:val="center"/>
                  </w:pPr>
                  <w:r>
                    <w:t xml:space="preserve">0.59</w:t>
                  </w:r>
                </w:p>
              </w:tc>
              <w:tc>
                <w:tcPr/>
                <w:p>
                  <w:pPr>
                    <w:pStyle w:val="Compact"/>
                    <w:jc w:val="center"/>
                  </w:pPr>
                  <w:r>
                    <w:t xml:space="preserve">0.25</w:t>
                  </w:r>
                </w:p>
              </w:tc>
              <w:tc>
                <w:tcPr/>
                <w:p>
                  <w:pPr>
                    <w:pStyle w:val="Compact"/>
                    <w:jc w:val="center"/>
                  </w:pPr>
                  <w:r>
                    <w:t xml:space="preserve">0.638</w:t>
                  </w:r>
                </w:p>
              </w:tc>
              <w:tc>
                <w:tcPr/>
                <w:p>
                  <w:pPr>
                    <w:pStyle w:val="Compact"/>
                    <w:jc w:val="center"/>
                  </w:pPr>
                  <w:r>
                    <w:t xml:space="preserve">0.898</w:t>
                  </w:r>
                </w:p>
              </w:tc>
              <w:tc>
                <w:tcPr/>
                <w:p>
                  <w:pPr>
                    <w:pStyle w:val="Compact"/>
                    <w:jc w:val="center"/>
                  </w:pPr>
                  <w:r>
                    <w:t xml:space="preserve">Culture pH, culture temperature, culture pH × culture temperature, log scale</w:t>
                  </w:r>
                </w:p>
              </w:tc>
            </w:tr>
            <w:tr>
              <w:tc>
                <w:tcPr/>
                <w:p>
                  <w:pPr>
                    <w:pStyle w:val="Compact"/>
                    <w:jc w:val="center"/>
                  </w:pPr>
                  <w:r>
                    <w:t xml:space="preserve">Acidic variants (%)</w:t>
                  </w:r>
                </w:p>
              </w:tc>
              <w:tc>
                <w:tcPr/>
                <w:p>
                  <w:pPr>
                    <w:pStyle w:val="Compact"/>
                    <w:jc w:val="center"/>
                  </w:pPr>
                  <w:r>
                    <w:t xml:space="preserve">28</w:t>
                  </w:r>
                </w:p>
              </w:tc>
              <w:tc>
                <w:tcPr/>
                <w:p>
                  <w:pPr>
                    <w:pStyle w:val="Compact"/>
                    <w:jc w:val="center"/>
                  </w:pPr>
                  <w:r>
                    <w:t xml:space="preserve">0.94</w:t>
                  </w:r>
                </w:p>
              </w:tc>
              <w:tc>
                <w:tcPr/>
                <w:p>
                  <w:pPr>
                    <w:pStyle w:val="Compact"/>
                    <w:jc w:val="center"/>
                  </w:pPr>
                  <w:r>
                    <w:t xml:space="preserve">0.60</w:t>
                  </w:r>
                </w:p>
              </w:tc>
              <w:tc>
                <w:tcPr/>
                <w:p>
                  <w:pPr>
                    <w:pStyle w:val="Compact"/>
                    <w:jc w:val="center"/>
                  </w:pPr>
                  <w:r>
                    <w:t xml:space="preserve">0.34</w:t>
                  </w:r>
                </w:p>
              </w:tc>
              <w:tc>
                <w:tcPr/>
                <w:p>
                  <w:pPr>
                    <w:pStyle w:val="Compact"/>
                    <w:jc w:val="center"/>
                  </w:pPr>
                  <w:r>
                    <w:t xml:space="preserve">44</w:t>
                  </w:r>
                </w:p>
              </w:tc>
              <w:tc>
                <w:tcPr/>
                <w:p>
                  <w:pPr>
                    <w:pStyle w:val="Compact"/>
                    <w:jc w:val="center"/>
                  </w:pPr>
                  <w:r>
                    <w:t xml:space="preserve">0.93</w:t>
                  </w:r>
                </w:p>
              </w:tc>
              <w:tc>
                <w:tcPr/>
                <w:p>
                  <w:pPr>
                    <w:pStyle w:val="Compact"/>
                    <w:jc w:val="center"/>
                  </w:pPr>
                  <w:r>
                    <w:t xml:space="preserve">0.81</w:t>
                  </w:r>
                </w:p>
              </w:tc>
              <w:tc>
                <w:tcPr/>
                <w:p>
                  <w:pPr>
                    <w:pStyle w:val="Compact"/>
                    <w:jc w:val="center"/>
                  </w:pPr>
                  <w:r>
                    <w:t xml:space="preserve">0.12</w:t>
                  </w:r>
                </w:p>
              </w:tc>
              <w:tc>
                <w:tcPr/>
                <w:p>
                  <w:pPr>
                    <w:pStyle w:val="Compact"/>
                    <w:jc w:val="center"/>
                  </w:pPr>
                  <w:r>
                    <w:t xml:space="preserve">0.188</w:t>
                  </w:r>
                </w:p>
              </w:tc>
              <w:tc>
                <w:tcPr/>
                <w:p>
                  <w:pPr>
                    <w:pStyle w:val="Compact"/>
                    <w:jc w:val="center"/>
                  </w:pPr>
                  <w:r>
                    <w:t xml:space="preserve">0.640</w:t>
                  </w:r>
                </w:p>
              </w:tc>
              <w:tc>
                <w:tcPr/>
                <w:p>
                  <w:pPr>
                    <w:pStyle w:val="Compact"/>
                    <w:jc w:val="center"/>
                  </w:pPr>
                  <w:r>
                    <w:t xml:space="preserve">9 terms, log scale</w:t>
                  </w:r>
                </w:p>
              </w:tc>
            </w:tr>
            <w:tr>
              <w:tc>
                <w:tcPr/>
                <w:p>
                  <w:pPr>
                    <w:pStyle w:val="Compact"/>
                    <w:jc w:val="center"/>
                  </w:pPr>
                  <w:r>
                    <w:t xml:space="preserve">Aggregates, HMW (%)</w:t>
                  </w:r>
                </w:p>
              </w:tc>
              <w:tc>
                <w:tcPr/>
                <w:p>
                  <w:pPr>
                    <w:pStyle w:val="Compact"/>
                    <w:jc w:val="center"/>
                  </w:pPr>
                  <w:r>
                    <w:t xml:space="preserve">28</w:t>
                  </w:r>
                </w:p>
              </w:tc>
              <w:tc>
                <w:tcPr/>
                <w:p>
                  <w:pPr>
                    <w:pStyle w:val="Compact"/>
                    <w:jc w:val="center"/>
                  </w:pPr>
                  <w:r>
                    <w:t xml:space="preserve">0.97</w:t>
                  </w:r>
                </w:p>
              </w:tc>
              <w:tc>
                <w:tcPr/>
                <w:p>
                  <w:pPr>
                    <w:pStyle w:val="Compact"/>
                    <w:jc w:val="center"/>
                  </w:pPr>
                  <w:r>
                    <w:t xml:space="preserve">0.83</w:t>
                  </w:r>
                </w:p>
              </w:tc>
              <w:tc>
                <w:tcPr/>
                <w:p>
                  <w:pPr>
                    <w:pStyle w:val="Compact"/>
                    <w:jc w:val="center"/>
                  </w:pPr>
                  <w:r>
                    <w:t xml:space="preserve">0.13</w:t>
                  </w:r>
                </w:p>
              </w:tc>
              <w:tc>
                <w:tcPr/>
                <w:p>
                  <w:pPr>
                    <w:pStyle w:val="Compact"/>
                    <w:jc w:val="center"/>
                  </w:pPr>
                  <w:r>
                    <w:t xml:space="preserve">44</w:t>
                  </w:r>
                </w:p>
              </w:tc>
              <w:tc>
                <w:tcPr/>
                <w:p>
                  <w:pPr>
                    <w:pStyle w:val="Compact"/>
                    <w:jc w:val="center"/>
                  </w:pPr>
                  <w:r>
                    <w:t xml:space="preserve">0.95</w:t>
                  </w:r>
                </w:p>
              </w:tc>
              <w:tc>
                <w:tcPr/>
                <w:p>
                  <w:pPr>
                    <w:pStyle w:val="Compact"/>
                    <w:jc w:val="center"/>
                  </w:pPr>
                  <w:r>
                    <w:t xml:space="preserve">0.87</w:t>
                  </w:r>
                </w:p>
              </w:tc>
              <w:tc>
                <w:tcPr/>
                <w:p>
                  <w:pPr>
                    <w:pStyle w:val="Compact"/>
                    <w:jc w:val="center"/>
                  </w:pPr>
                  <w:r>
                    <w:t xml:space="preserve">0.08</w:t>
                  </w:r>
                </w:p>
              </w:tc>
              <w:tc>
                <w:tcPr/>
                <w:p>
                  <w:pPr>
                    <w:pStyle w:val="Compact"/>
                    <w:jc w:val="center"/>
                  </w:pPr>
                  <w:r>
                    <w:t xml:space="preserve">0.415</w:t>
                  </w:r>
                </w:p>
              </w:tc>
              <w:tc>
                <w:tcPr/>
                <w:p>
                  <w:pPr>
                    <w:pStyle w:val="Compact"/>
                    <w:jc w:val="center"/>
                  </w:pPr>
                  <w:r>
                    <w:t xml:space="preserve">0.096</w:t>
                  </w:r>
                </w:p>
              </w:tc>
              <w:tc>
                <w:tcPr/>
                <w:p>
                  <w:pPr>
                    <w:pStyle w:val="Compact"/>
                    <w:jc w:val="center"/>
                  </w:pPr>
                  <w:r>
                    <w:t xml:space="preserve">4 terms, log scale</w:t>
                  </w:r>
                </w:p>
              </w:tc>
            </w:tr>
            <w:tr>
              <w:tc>
                <w:tcPr>
                  <w:gridSpan w:val="12"/>
                </w:tcPr>
                <w:p>
                  <w:pPr>
                    <w:pStyle w:val="Compact"/>
                    <w:jc w:val="center"/>
                  </w:pPr>
                  <w:r>
                    <w:t xml:space="preserve">Gap: R² minus predicted R², at most 0.20 under PCMP-001 §7.2. Model used: the scale chosen by the Box-Cox profile and the model with the lowest AICc among the hierarchical submodels of the full quadratic, a block term kept (INV-002).</w:t>
                  </w:r>
                </w:p>
              </w:tc>
            </w:tr>
          </w:tbl>
          <w:bookmarkEnd w:id="60"/>
          <w:p/>
        </w:tc>
      </w:tr>
    </w:tbl>
    <w:bookmarkEnd w:id="61"/>
    <w:bookmarkStart w:id="83" w:name="sec-residuals"/>
    <w:p>
      <w:pPr>
        <w:pStyle w:val="Heading3"/>
      </w:pPr>
      <w:r>
        <w:t xml:space="preserve">5.3.2 Residual patterns and influential runs</w:t>
      </w:r>
    </w:p>
    <w:p>
      <w:pPr>
        <w:pStyle w:val="FirstParagraph"/>
      </w:pPr>
      <w:r>
        <w:t xml:space="preserve">The selected models of afucosylation, high mannose and aggregate meet the criterion on residuals and influential runs, and those of galactosylation and acidic variants do not (</w:t>
      </w:r>
      <w:hyperlink w:anchor="tbl-crit4">
        <w:r>
          <w:rPr>
            <w:rStyle w:val="Hyperlink"/>
          </w:rPr>
          <w:t xml:space="preserve">Table 14</w:t>
        </w:r>
      </w:hyperlink>
      <w:r>
        <w:t xml:space="preserve">). For these two the absolute residuals rise with the predicted value, with a slope significant at p = 0.027 for galactosylation and p &lt; 0.001 for acidic variants. No model shows a trend with the run order, and the lowest p-value of that test is 0.720. No run has a Cook’s distance above the F median of its model, which lies between 0.886 and 0.959 for these models. Every model has at least one run with a Cook’s distance above 4/n = 0.091. Across the five models there are 17 such cases, on 13 different runs.</w:t>
      </w:r>
    </w:p>
    <w:p>
      <w:pPr>
        <w:pStyle w:val="BodyText"/>
      </w:pPr>
      <w:r>
        <w:t xml:space="preserve">Each of these runs was deleted in turn and the model selection repeated. For every attribute and every deleted run, the model selected without the run met the model F-test, the lack-of-fit test and the limit on overfitting, every attribute kept its verdict over the NOR, and every NOR-propagated PAR still contained the NOR. The share of the region studied that lies inside the design space ranged from 73.5 % to 75.5 %, against 73.7 % with all runs. The same model was selected in 12 of the 17 cases. For afucosylation, without run 1 the selection adds culture duration × pCO2 and pCO2². For high mannose, without run 34 the raw scale is selected with the same terms. For acidic variants, without run 1 the selection drops culture temperature × pCO2, without run 3 the selection drops culture pH × pCO2 and without run 30 the selection drops culture temperature × pCO2.</w:t>
      </w:r>
    </w:p>
    <w:tbl>
      <w:tblPr>
        <w:tblStyle w:val="Table"/>
        <w:tblW w:type="pct" w:w="5000"/>
        <w:tblLayout w:type="fixed"/>
        <w:tblLook w:firstRow="0" w:lastRow="0" w:firstColumn="0" w:lastColumn="0" w:noHBand="0" w:noVBand="0" w:val="0000"/>
      </w:tblPr>
      <w:tblGrid>
        <w:gridCol w:w="7920"/>
      </w:tblGrid>
      <w:tr>
        <w:tc>
          <w:tcPr/>
          <w:bookmarkStart w:id="62" w:name="tbl-crit4"/>
          <w:p>
            <w:pPr>
              <w:jc w:val="center"/>
            </w:pPr>
            <w:pPr>
              <w:jc w:val="start"/>
              <w:spacing w:before="200"/>
              <w:pStyle w:val="ImageCaption"/>
            </w:pPr>
            <w:r>
              <w:t xml:space="preserve">Table 14: Residual patterns and influential runs of the selected models, against the criterion on residuals and influential runs.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Attribute</w:t>
                  </w:r>
                </w:p>
              </w:tc>
              <w:tc>
                <w:tcPr/>
                <w:p>
                  <w:pPr>
                    <w:pStyle w:val="Compact"/>
                    <w:jc w:val="center"/>
                  </w:pPr>
                  <w:r>
                    <w:t xml:space="preserve">Spread</w:t>
                  </w:r>
                  <w:r>
                    <w:br/>
                  </w:r>
                  <w:r>
                    <w:t xml:space="preserve">p</w:t>
                  </w:r>
                </w:p>
              </w:tc>
              <w:tc>
                <w:tcPr/>
                <w:p>
                  <w:pPr>
                    <w:pStyle w:val="Compact"/>
                    <w:jc w:val="center"/>
                  </w:pPr>
                  <w:r>
                    <w:t xml:space="preserve">Order</w:t>
                  </w:r>
                  <w:r>
                    <w:br/>
                  </w:r>
                  <w:r>
                    <w:t xml:space="preserve">p</w:t>
                  </w:r>
                </w:p>
              </w:tc>
              <w:tc>
                <w:tcPr/>
                <w:p>
                  <w:pPr>
                    <w:pStyle w:val="Compact"/>
                    <w:jc w:val="center"/>
                  </w:pPr>
                  <w:r>
                    <w:t xml:space="preserve">Largest Cook's</w:t>
                  </w:r>
                  <w:r>
                    <w:br/>
                  </w:r>
                  <w:r>
                    <w:t xml:space="preserve">distance (run)</w:t>
                  </w:r>
                </w:p>
              </w:tc>
              <w:tc>
                <w:tcPr/>
                <w:p>
                  <w:pPr>
                    <w:pStyle w:val="Compact"/>
                    <w:jc w:val="center"/>
                  </w:pPr>
                  <w:r>
                    <w:t xml:space="preserve">F median</w:t>
                  </w:r>
                </w:p>
              </w:tc>
              <w:tc>
                <w:tcPr/>
                <w:p>
                  <w:pPr>
                    <w:pStyle w:val="Compact"/>
                    <w:jc w:val="center"/>
                  </w:pPr>
                  <w:r>
                    <w:t xml:space="preserve">Runs above</w:t>
                  </w:r>
                  <w:r>
                    <w:br/>
                  </w:r>
                  <w:r>
                    <w:t xml:space="preserve">4/n</w:t>
                  </w:r>
                </w:p>
              </w:tc>
              <w:tc>
                <w:tcPr/>
                <w:p>
                  <w:pPr>
                    <w:pStyle w:val="Compact"/>
                    <w:jc w:val="center"/>
                  </w:pPr>
                  <w:r>
                    <w:t xml:space="preserve">Verdict</w:t>
                  </w:r>
                </w:p>
              </w:tc>
            </w:tr>
            <w:tr>
              <w:tc>
                <w:tcPr/>
                <w:p>
                  <w:pPr>
                    <w:pStyle w:val="Compact"/>
                    <w:jc w:val="center"/>
                  </w:pPr>
                  <w:r>
                    <w:t xml:space="preserve">Afucosylation (%)</w:t>
                  </w:r>
                </w:p>
              </w:tc>
              <w:tc>
                <w:tcPr/>
                <w:p>
                  <w:pPr>
                    <w:pStyle w:val="Compact"/>
                    <w:jc w:val="center"/>
                  </w:pPr>
                  <w:r>
                    <w:t xml:space="preserve">0.062</w:t>
                  </w:r>
                </w:p>
              </w:tc>
              <w:tc>
                <w:tcPr/>
                <w:p>
                  <w:pPr>
                    <w:pStyle w:val="Compact"/>
                    <w:jc w:val="center"/>
                  </w:pPr>
                  <w:r>
                    <w:t xml:space="preserve">0.720</w:t>
                  </w:r>
                </w:p>
              </w:tc>
              <w:tc>
                <w:tcPr/>
                <w:p>
                  <w:pPr>
                    <w:pStyle w:val="Compact"/>
                    <w:jc w:val="center"/>
                  </w:pPr>
                  <w:r>
                    <w:t xml:space="preserve">0.289 (1)</w:t>
                  </w:r>
                </w:p>
              </w:tc>
              <w:tc>
                <w:tcPr/>
                <w:p>
                  <w:pPr>
                    <w:pStyle w:val="Compact"/>
                    <w:jc w:val="center"/>
                  </w:pPr>
                  <w:r>
                    <w:t xml:space="preserve">0.959</w:t>
                  </w:r>
                </w:p>
              </w:tc>
              <w:tc>
                <w:tcPr/>
                <w:p>
                  <w:pPr>
                    <w:pStyle w:val="Compact"/>
                    <w:jc w:val="center"/>
                  </w:pPr>
                  <w:r>
                    <w:t xml:space="preserve">1, 5, 36, 43</w:t>
                  </w:r>
                </w:p>
              </w:tc>
              <w:tc>
                <w:tcPr/>
                <w:p>
                  <w:pPr>
                    <w:pStyle w:val="Compact"/>
                    <w:jc w:val="center"/>
                  </w:pPr>
                  <w:r>
                    <w:t xml:space="preserve">met</w:t>
                  </w:r>
                </w:p>
              </w:tc>
            </w:tr>
            <w:tr>
              <w:tc>
                <w:tcPr/>
                <w:p>
                  <w:pPr>
                    <w:pStyle w:val="Compact"/>
                    <w:jc w:val="center"/>
                  </w:pPr>
                  <w:r>
                    <w:t xml:space="preserve">Galactosylation (%)</w:t>
                  </w:r>
                </w:p>
              </w:tc>
              <w:tc>
                <w:tcPr/>
                <w:p>
                  <w:pPr>
                    <w:pStyle w:val="Compact"/>
                    <w:jc w:val="center"/>
                  </w:pPr>
                  <w:r>
                    <w:t xml:space="preserve">0.027</w:t>
                  </w:r>
                </w:p>
              </w:tc>
              <w:tc>
                <w:tcPr/>
                <w:p>
                  <w:pPr>
                    <w:pStyle w:val="Compact"/>
                    <w:jc w:val="center"/>
                  </w:pPr>
                  <w:r>
                    <w:t xml:space="preserve">0.776</w:t>
                  </w:r>
                </w:p>
              </w:tc>
              <w:tc>
                <w:tcPr/>
                <w:p>
                  <w:pPr>
                    <w:pStyle w:val="Compact"/>
                    <w:jc w:val="center"/>
                  </w:pPr>
                  <w:r>
                    <w:t xml:space="preserve">0.346 (33)</w:t>
                  </w:r>
                </w:p>
              </w:tc>
              <w:tc>
                <w:tcPr/>
                <w:p>
                  <w:pPr>
                    <w:pStyle w:val="Compact"/>
                    <w:jc w:val="center"/>
                  </w:pPr>
                  <w:r>
                    <w:t xml:space="preserve">0.945</w:t>
                  </w:r>
                </w:p>
              </w:tc>
              <w:tc>
                <w:tcPr/>
                <w:p>
                  <w:pPr>
                    <w:pStyle w:val="Compact"/>
                    <w:jc w:val="center"/>
                  </w:pPr>
                  <w:r>
                    <w:t xml:space="preserve">5, 10, 33</w:t>
                  </w:r>
                </w:p>
              </w:tc>
              <w:tc>
                <w:tcPr/>
                <w:p>
                  <w:pPr>
                    <w:pStyle w:val="Compact"/>
                    <w:jc w:val="center"/>
                  </w:pPr>
                  <w:r>
                    <w:t xml:space="preserve">not met</w:t>
                  </w:r>
                </w:p>
              </w:tc>
            </w:tr>
            <w:tr>
              <w:tc>
                <w:tcPr/>
                <w:p>
                  <w:pPr>
                    <w:pStyle w:val="Compact"/>
                    <w:jc w:val="center"/>
                  </w:pPr>
                  <w:r>
                    <w:t xml:space="preserve">High mannose (%)</w:t>
                  </w:r>
                </w:p>
              </w:tc>
              <w:tc>
                <w:tcPr/>
                <w:p>
                  <w:pPr>
                    <w:pStyle w:val="Compact"/>
                    <w:jc w:val="center"/>
                  </w:pPr>
                  <w:r>
                    <w:t xml:space="preserve">0.164</w:t>
                  </w:r>
                </w:p>
              </w:tc>
              <w:tc>
                <w:tcPr/>
                <w:p>
                  <w:pPr>
                    <w:pStyle w:val="Compact"/>
                    <w:jc w:val="center"/>
                  </w:pPr>
                  <w:r>
                    <w:t xml:space="preserve">0.857</w:t>
                  </w:r>
                </w:p>
              </w:tc>
              <w:tc>
                <w:tcPr/>
                <w:p>
                  <w:pPr>
                    <w:pStyle w:val="Compact"/>
                    <w:jc w:val="center"/>
                  </w:pPr>
                  <w:r>
                    <w:t xml:space="preserve">0.243 (10)</w:t>
                  </w:r>
                </w:p>
              </w:tc>
              <w:tc>
                <w:tcPr/>
                <w:p>
                  <w:pPr>
                    <w:pStyle w:val="Compact"/>
                    <w:jc w:val="center"/>
                  </w:pPr>
                  <w:r>
                    <w:t xml:space="preserve">0.886</w:t>
                  </w:r>
                </w:p>
              </w:tc>
              <w:tc>
                <w:tcPr/>
                <w:p>
                  <w:pPr>
                    <w:pStyle w:val="Compact"/>
                    <w:jc w:val="center"/>
                  </w:pPr>
                  <w:r>
                    <w:t xml:space="preserve">10, 11, 15, 34</w:t>
                  </w:r>
                </w:p>
              </w:tc>
              <w:tc>
                <w:tcPr/>
                <w:p>
                  <w:pPr>
                    <w:pStyle w:val="Compact"/>
                    <w:jc w:val="center"/>
                  </w:pPr>
                  <w:r>
                    <w:t xml:space="preserve">met</w:t>
                  </w:r>
                </w:p>
              </w:tc>
            </w:tr>
            <w:tr>
              <w:tc>
                <w:tcPr/>
                <w:p>
                  <w:pPr>
                    <w:pStyle w:val="Compact"/>
                    <w:jc w:val="center"/>
                  </w:pPr>
                  <w:r>
                    <w:t xml:space="preserve">Acidic variants (%)</w:t>
                  </w:r>
                </w:p>
              </w:tc>
              <w:tc>
                <w:tcPr/>
                <w:p>
                  <w:pPr>
                    <w:pStyle w:val="Compact"/>
                    <w:jc w:val="center"/>
                  </w:pPr>
                  <w:r>
                    <w:t xml:space="preserve">&lt; 0.001</w:t>
                  </w:r>
                </w:p>
              </w:tc>
              <w:tc>
                <w:tcPr/>
                <w:p>
                  <w:pPr>
                    <w:pStyle w:val="Compact"/>
                    <w:jc w:val="center"/>
                  </w:pPr>
                  <w:r>
                    <w:t xml:space="preserve">0.882</w:t>
                  </w:r>
                </w:p>
              </w:tc>
              <w:tc>
                <w:tcPr/>
                <w:p>
                  <w:pPr>
                    <w:pStyle w:val="Compact"/>
                    <w:jc w:val="center"/>
                  </w:pPr>
                  <w:r>
                    <w:t xml:space="preserve">0.303 (3)</w:t>
                  </w:r>
                </w:p>
              </w:tc>
              <w:tc>
                <w:tcPr/>
                <w:p>
                  <w:pPr>
                    <w:pStyle w:val="Compact"/>
                    <w:jc w:val="center"/>
                  </w:pPr>
                  <w:r>
                    <w:t xml:space="preserve">0.959</w:t>
                  </w:r>
                </w:p>
              </w:tc>
              <w:tc>
                <w:tcPr/>
                <w:p>
                  <w:pPr>
                    <w:pStyle w:val="Compact"/>
                    <w:jc w:val="center"/>
                  </w:pPr>
                  <w:r>
                    <w:t xml:space="preserve">1, 3, 30, 36</w:t>
                  </w:r>
                </w:p>
              </w:tc>
              <w:tc>
                <w:tcPr/>
                <w:p>
                  <w:pPr>
                    <w:pStyle w:val="Compact"/>
                    <w:jc w:val="center"/>
                  </w:pPr>
                  <w:r>
                    <w:t xml:space="preserve">not met</w:t>
                  </w:r>
                </w:p>
              </w:tc>
            </w:tr>
            <w:tr>
              <w:tc>
                <w:tcPr/>
                <w:p>
                  <w:pPr>
                    <w:pStyle w:val="Compact"/>
                    <w:jc w:val="center"/>
                  </w:pPr>
                  <w:r>
                    <w:t xml:space="preserve">Aggregates, HMW (%)</w:t>
                  </w:r>
                </w:p>
              </w:tc>
              <w:tc>
                <w:tcPr/>
                <w:p>
                  <w:pPr>
                    <w:pStyle w:val="Compact"/>
                    <w:jc w:val="center"/>
                  </w:pPr>
                  <w:r>
                    <w:t xml:space="preserve">0.291</w:t>
                  </w:r>
                </w:p>
              </w:tc>
              <w:tc>
                <w:tcPr/>
                <w:p>
                  <w:pPr>
                    <w:pStyle w:val="Compact"/>
                    <w:jc w:val="center"/>
                  </w:pPr>
                  <w:r>
                    <w:t xml:space="preserve">0.926</w:t>
                  </w:r>
                </w:p>
              </w:tc>
              <w:tc>
                <w:tcPr/>
                <w:p>
                  <w:pPr>
                    <w:pStyle w:val="Compact"/>
                    <w:jc w:val="center"/>
                  </w:pPr>
                  <w:r>
                    <w:t xml:space="preserve">0.141 (29)</w:t>
                  </w:r>
                </w:p>
              </w:tc>
              <w:tc>
                <w:tcPr/>
                <w:p>
                  <w:pPr>
                    <w:pStyle w:val="Compact"/>
                    <w:jc w:val="center"/>
                  </w:pPr>
                  <w:r>
                    <w:t xml:space="preserve">0.907</w:t>
                  </w:r>
                </w:p>
              </w:tc>
              <w:tc>
                <w:tcPr/>
                <w:p>
                  <w:pPr>
                    <w:pStyle w:val="Compact"/>
                    <w:jc w:val="center"/>
                  </w:pPr>
                  <w:r>
                    <w:t xml:space="preserve">29, 32</w:t>
                  </w:r>
                </w:p>
              </w:tc>
              <w:tc>
                <w:tcPr/>
                <w:p>
                  <w:pPr>
                    <w:pStyle w:val="Compact"/>
                    <w:jc w:val="center"/>
                  </w:pPr>
                  <w:r>
                    <w:t xml:space="preserve">met</w:t>
                  </w:r>
                </w:p>
              </w:tc>
            </w:tr>
            <w:tr>
              <w:tc>
                <w:tcPr>
                  <w:gridSpan w:val="7"/>
                </w:tcPr>
                <w:p>
                  <w:pPr>
                    <w:pStyle w:val="Compact"/>
                    <w:jc w:val="center"/>
                  </w:pPr>
                  <w:r>
                    <w:t xml:space="preserve">Spread, the regression of the absolute residuals on the predicted values. Order, the regression of the residuals on the run order, the augmentation runs continuing the planned order. A run above 4/n = 0.091 for 44 runs is examined by deletion, and the model fails the criterion only on a significant slope or on a run above the F median, the median of the F distribution with p and n − p degrees of freedom, where p is the number of parameters of the model.</w:t>
                  </w:r>
                </w:p>
              </w:tc>
            </w:tr>
          </w:tbl>
          <w:bookmarkEnd w:id="62"/>
          <w:p/>
        </w:tc>
      </w:tr>
    </w:tbl>
    <w:p>
      <w:pPr>
        <w:pStyle w:val="BodyText"/>
      </w:pPr>
      <w:r>
        <w:t xml:space="preserve">Each residual trend was sized against the criterion of its attribute, on the residual standard deviation in the lower and the upper half of the predicted values. For galactosylation it is 1.07 points in the lower half and 1.09 points in the upper half. The rise that the slope detects therefore does not show as a difference between the halves, and both are small against the width of the criterion, 30 points. For acidic variants it is 0.033 in the lower half and 0.063 in the upper half, on the log scale. With the standard deviation of the half in which each prediction lies, both attributes keep their verdict over the NOR. For acidic variants the lowest prediction limit moves from 16.25 % to 17.02 %, still below the lower limit. Afucosylation, whose Box-Cox profile rejects the raw scale and whose slope is not significant (p = 0.062), has a residual standard deviation of 0.34 points in the lower half and 0.58 in the upper half. Judged with the standard deviation of each half, it still meets its criterion across the NOR, with prediction limits from 6.13 % to 11.39 %.</w:t>
      </w:r>
    </w:p>
    <w:p>
      <w:pPr>
        <w:pStyle w:val="BodyText"/>
      </w:pPr>
      <w:r>
        <w:t xml:space="preserve">The normal quantile plots of the residuals in</w:t>
      </w:r>
      <w:r>
        <w:t xml:space="preserve"> </w:t>
      </w:r>
      <w:hyperlink w:anchor="fig-diag-afucosylation">
        <w:r>
          <w:rPr>
            <w:rStyle w:val="Hyperlink"/>
          </w:rPr>
          <w:t xml:space="preserve">Figure 1</w:t>
        </w:r>
      </w:hyperlink>
      <w:r>
        <w:t xml:space="preserve"> </w:t>
      </w:r>
      <w:r>
        <w:t xml:space="preserve">to</w:t>
      </w:r>
      <w:r>
        <w:t xml:space="preserve"> </w:t>
      </w:r>
      <w:hyperlink w:anchor="fig-diag-aggregates">
        <w:r>
          <w:rPr>
            <w:rStyle w:val="Hyperlink"/>
          </w:rPr>
          <w:t xml:space="preserve">Figure 5</w:t>
        </w:r>
      </w:hyperlink>
      <w:r>
        <w:t xml:space="preserve"> </w:t>
      </w:r>
      <w:r>
        <w:t xml:space="preserve">show no departure from normality, so the normality criterion is met.</w:t>
      </w:r>
    </w:p>
    <w:tbl>
      <w:tblPr>
        <w:tblStyle w:val="Table"/>
        <w:tblW w:type="pct" w:w="5000"/>
        <w:tblLayout w:type="fixed"/>
        <w:tblLook w:firstRow="0" w:lastRow="0" w:firstColumn="0" w:lastColumn="0" w:noHBand="0" w:noVBand="0" w:val="0000"/>
      </w:tblPr>
      <w:tblGrid>
        <w:gridCol w:w="7920"/>
      </w:tblGrid>
      <w:tr>
        <w:tc>
          <w:tcPr/>
          <w:bookmarkStart w:id="66" w:name="fig-diag-afucosylation"/>
          <w:p>
            <w:pPr>
              <w:pStyle w:val="Compact"/>
              <w:jc w:val="center"/>
            </w:pPr>
            <w:r>
              <w:drawing>
                <wp:inline>
                  <wp:extent cx="5334000" cy="1652214"/>
                  <wp:effectExtent b="0" l="0" r="0" t="0"/>
                  <wp:docPr descr="" title="" id="64" name="Picture"/>
                  <a:graphic>
                    <a:graphicData uri="http://schemas.openxmlformats.org/drawingml/2006/picture">
                      <pic:pic>
                        <pic:nvPicPr>
                          <pic:cNvPr descr="PCR-003_bioreactor_files/figure-docx/fig-diag-afucosylation-output-1.png" id="65" name="Picture"/>
                          <pic:cNvPicPr>
                            <a:picLocks noChangeArrowheads="1" noChangeAspect="1"/>
                          </pic:cNvPicPr>
                        </pic:nvPicPr>
                        <pic:blipFill>
                          <a:blip r:embed="rId63"/>
                          <a:stretch>
                            <a:fillRect/>
                          </a:stretch>
                        </pic:blipFill>
                        <pic:spPr bwMode="auto">
                          <a:xfrm>
                            <a:off x="0" y="0"/>
                            <a:ext cx="5334000" cy="16522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Residual diagnostics of the selected model of afucosylation, on the raw scale. Left, standardized residuals against predicted values. Centre, normal quantile plot. Right, predicted against measured values.</w:t>
            </w:r>
          </w:p>
          <w:bookmarkEnd w:id="66"/>
        </w:tc>
      </w:tr>
    </w:tbl>
    <w:tbl>
      <w:tblPr>
        <w:tblStyle w:val="Table"/>
        <w:tblW w:type="pct" w:w="5000"/>
        <w:tblLayout w:type="fixed"/>
        <w:tblLook w:firstRow="0" w:lastRow="0" w:firstColumn="0" w:lastColumn="0" w:noHBand="0" w:noVBand="0" w:val="0000"/>
      </w:tblPr>
      <w:tblGrid>
        <w:gridCol w:w="7920"/>
      </w:tblGrid>
      <w:tr>
        <w:tc>
          <w:tcPr/>
          <w:bookmarkStart w:id="70" w:name="fig-diag-galactosylation"/>
          <w:p>
            <w:pPr>
              <w:pStyle w:val="Compact"/>
              <w:jc w:val="center"/>
            </w:pPr>
            <w:r>
              <w:drawing>
                <wp:inline>
                  <wp:extent cx="5334000" cy="1652214"/>
                  <wp:effectExtent b="0" l="0" r="0" t="0"/>
                  <wp:docPr descr="" title="" id="68" name="Picture"/>
                  <a:graphic>
                    <a:graphicData uri="http://schemas.openxmlformats.org/drawingml/2006/picture">
                      <pic:pic>
                        <pic:nvPicPr>
                          <pic:cNvPr descr="PCR-003_bioreactor_files/figure-docx/fig-diag-galactosylation-output-1.png" id="69" name="Picture"/>
                          <pic:cNvPicPr>
                            <a:picLocks noChangeArrowheads="1" noChangeAspect="1"/>
                          </pic:cNvPicPr>
                        </pic:nvPicPr>
                        <pic:blipFill>
                          <a:blip r:embed="rId67"/>
                          <a:stretch>
                            <a:fillRect/>
                          </a:stretch>
                        </pic:blipFill>
                        <pic:spPr bwMode="auto">
                          <a:xfrm>
                            <a:off x="0" y="0"/>
                            <a:ext cx="5334000" cy="16522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Residual diagnostics of the selected model of galactosylation, on the raw scale. Left, standardized residuals against predicted values. Centre, normal quantile plot. Right, predicted against measured values.</w:t>
            </w:r>
          </w:p>
          <w:bookmarkEnd w:id="70"/>
        </w:tc>
      </w:tr>
    </w:tbl>
    <w:tbl>
      <w:tblPr>
        <w:tblStyle w:val="Table"/>
        <w:tblW w:type="pct" w:w="5000"/>
        <w:tblLayout w:type="fixed"/>
        <w:tblLook w:firstRow="0" w:lastRow="0" w:firstColumn="0" w:lastColumn="0" w:noHBand="0" w:noVBand="0" w:val="0000"/>
      </w:tblPr>
      <w:tblGrid>
        <w:gridCol w:w="7920"/>
      </w:tblGrid>
      <w:tr>
        <w:tc>
          <w:tcPr/>
          <w:bookmarkStart w:id="74" w:name="fig-diag-high-mannose"/>
          <w:p>
            <w:pPr>
              <w:pStyle w:val="Compact"/>
              <w:jc w:val="center"/>
            </w:pPr>
            <w:r>
              <w:drawing>
                <wp:inline>
                  <wp:extent cx="5334000" cy="1653795"/>
                  <wp:effectExtent b="0" l="0" r="0" t="0"/>
                  <wp:docPr descr="" title="" id="72" name="Picture"/>
                  <a:graphic>
                    <a:graphicData uri="http://schemas.openxmlformats.org/drawingml/2006/picture">
                      <pic:pic>
                        <pic:nvPicPr>
                          <pic:cNvPr descr="PCR-003_bioreactor_files/figure-docx/fig-diag-high-mannose-output-1.png" id="73" name="Picture"/>
                          <pic:cNvPicPr>
                            <a:picLocks noChangeArrowheads="1" noChangeAspect="1"/>
                          </pic:cNvPicPr>
                        </pic:nvPicPr>
                        <pic:blipFill>
                          <a:blip r:embed="rId71"/>
                          <a:stretch>
                            <a:fillRect/>
                          </a:stretch>
                        </pic:blipFill>
                        <pic:spPr bwMode="auto">
                          <a:xfrm>
                            <a:off x="0" y="0"/>
                            <a:ext cx="5334000" cy="16537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Residual diagnostics of the selected model of high mannose, on the log scale. Left, standardized residuals against predicted values. Centre, normal quantile plot. Right, predicted against measured values.</w:t>
            </w:r>
          </w:p>
          <w:bookmarkEnd w:id="74"/>
        </w:tc>
      </w:tr>
    </w:tbl>
    <w:tbl>
      <w:tblPr>
        <w:tblStyle w:val="Table"/>
        <w:tblW w:type="pct" w:w="5000"/>
        <w:tblLayout w:type="fixed"/>
        <w:tblLook w:firstRow="0" w:lastRow="0" w:firstColumn="0" w:lastColumn="0" w:noHBand="0" w:noVBand="0" w:val="0000"/>
      </w:tblPr>
      <w:tblGrid>
        <w:gridCol w:w="7920"/>
      </w:tblGrid>
      <w:tr>
        <w:tc>
          <w:tcPr/>
          <w:bookmarkStart w:id="78" w:name="fig-diag-acidic-variants"/>
          <w:p>
            <w:pPr>
              <w:pStyle w:val="Compact"/>
              <w:jc w:val="center"/>
            </w:pPr>
            <w:r>
              <w:drawing>
                <wp:inline>
                  <wp:extent cx="5334000" cy="1671388"/>
                  <wp:effectExtent b="0" l="0" r="0" t="0"/>
                  <wp:docPr descr="" title="" id="76" name="Picture"/>
                  <a:graphic>
                    <a:graphicData uri="http://schemas.openxmlformats.org/drawingml/2006/picture">
                      <pic:pic>
                        <pic:nvPicPr>
                          <pic:cNvPr descr="PCR-003_bioreactor_files/figure-docx/fig-diag-acidic-variants-output-1.png" id="77" name="Picture"/>
                          <pic:cNvPicPr>
                            <a:picLocks noChangeArrowheads="1" noChangeAspect="1"/>
                          </pic:cNvPicPr>
                        </pic:nvPicPr>
                        <pic:blipFill>
                          <a:blip r:embed="rId75"/>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Residual diagnostics of the selected model of acidic variants, on the log scale. Left, standardized residuals against predicted values. Centre, normal quantile plot. Right, predicted against measured values.</w:t>
            </w:r>
          </w:p>
          <w:bookmarkEnd w:id="78"/>
        </w:tc>
      </w:tr>
    </w:tbl>
    <w:tbl>
      <w:tblPr>
        <w:tblStyle w:val="Table"/>
        <w:tblW w:type="pct" w:w="5000"/>
        <w:tblLayout w:type="fixed"/>
        <w:tblLook w:firstRow="0" w:lastRow="0" w:firstColumn="0" w:lastColumn="0" w:noHBand="0" w:noVBand="0" w:val="0000"/>
      </w:tblPr>
      <w:tblGrid>
        <w:gridCol w:w="7920"/>
      </w:tblGrid>
      <w:tr>
        <w:tc>
          <w:tcPr/>
          <w:bookmarkStart w:id="82" w:name="fig-diag-aggregates"/>
          <w:p>
            <w:pPr>
              <w:pStyle w:val="Compact"/>
              <w:jc w:val="center"/>
            </w:pPr>
            <w:r>
              <w:drawing>
                <wp:inline>
                  <wp:extent cx="5334000" cy="1671388"/>
                  <wp:effectExtent b="0" l="0" r="0" t="0"/>
                  <wp:docPr descr="" title="" id="80" name="Picture"/>
                  <a:graphic>
                    <a:graphicData uri="http://schemas.openxmlformats.org/drawingml/2006/picture">
                      <pic:pic>
                        <pic:nvPicPr>
                          <pic:cNvPr descr="PCR-003_bioreactor_files/figure-docx/fig-diag-aggregates-output-1.png" id="81" name="Picture"/>
                          <pic:cNvPicPr>
                            <a:picLocks noChangeArrowheads="1" noChangeAspect="1"/>
                          </pic:cNvPicPr>
                        </pic:nvPicPr>
                        <pic:blipFill>
                          <a:blip r:embed="rId79"/>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Residual diagnostics of the selected model of aggregate, on the log scale. Left, standardized residuals against predicted values. Centre, normal quantile plot. Right, predicted against measured values.</w:t>
            </w:r>
          </w:p>
          <w:bookmarkEnd w:id="82"/>
        </w:tc>
      </w:tr>
    </w:tbl>
    <w:bookmarkEnd w:id="83"/>
    <w:bookmarkStart w:id="91" w:name="sec-effects"/>
    <w:p>
      <w:pPr>
        <w:pStyle w:val="Heading3"/>
      </w:pPr>
      <w:r>
        <w:t xml:space="preserve">5.3.3 Effects of the parameters</w:t>
      </w:r>
    </w:p>
    <w:p>
      <w:pPr>
        <w:pStyle w:val="FirstParagraph"/>
      </w:pPr>
      <w:r>
        <w:t xml:space="preserve">The coefficients of the selected models are in coded units, so each measures the change from the set-point to the end of the range of its factor. Appendix C gives the coefficient tables of afucosylation, galactosylation, high mannose and aggregate, and</w:t>
      </w:r>
      <w:r>
        <w:t xml:space="preserve"> </w:t>
      </w:r>
      <w:hyperlink w:anchor="tbl-coef-acidic">
        <w:r>
          <w:rPr>
            <w:rStyle w:val="Hyperlink"/>
          </w:rPr>
          <w:t xml:space="preserve">Table 16</w:t>
        </w:r>
      </w:hyperlink>
      <w:r>
        <w:t xml:space="preserve"> </w:t>
      </w:r>
      <w:r>
        <w:t xml:space="preserve">and</w:t>
      </w:r>
      <w:r>
        <w:t xml:space="preserve"> </w:t>
      </w:r>
      <w:hyperlink w:anchor="tbl-anova-acidic">
        <w:r>
          <w:rPr>
            <w:rStyle w:val="Hyperlink"/>
          </w:rPr>
          <w:t xml:space="preserve">Table 17</w:t>
        </w:r>
      </w:hyperlink>
      <w:r>
        <w:t xml:space="preserve"> </w:t>
      </w:r>
      <w:r>
        <w:t xml:space="preserve">those of acidic variants, the attribute nearest its limit.</w:t>
      </w:r>
      <w:r>
        <w:t xml:space="preserve"> </w:t>
      </w:r>
      <w:hyperlink w:anchor="tbl-effect-size">
        <w:r>
          <w:rPr>
            <w:rStyle w:val="Hyperlink"/>
          </w:rPr>
          <w:t xml:space="preserve">Table 15</w:t>
        </w:r>
      </w:hyperlink>
      <w:r>
        <w:t xml:space="preserve"> </w:t>
      </w:r>
      <w:r>
        <w:t xml:space="preserve">states each main effect as the change it causes across the range studied, at manufacturing scale with the other factors at their set-points, against the width of the criterion.</w:t>
      </w:r>
    </w:p>
    <w:p>
      <w:pPr>
        <w:pStyle w:val="BodyText"/>
      </w:pPr>
      <w:r>
        <w:t xml:space="preserve">PCP-003 §7 calls an effect practically important when that change is large relative to the width of the criterion, and PCMP-001 §7.7 asks for the size of an effect beside its significance. Neither sets a threshold.</w:t>
      </w:r>
      <w:r>
        <w:t xml:space="preserve"> </w:t>
      </w:r>
      <w:hyperlink w:anchor="tbl-effect-size">
        <w:r>
          <w:rPr>
            <w:rStyle w:val="Hyperlink"/>
          </w:rPr>
          <w:t xml:space="preserve">Table 15</w:t>
        </w:r>
      </w:hyperlink>
      <w:r>
        <w:t xml:space="preserve"> </w:t>
      </w:r>
      <w:r>
        <w:t xml:space="preserve">describes a change of a fifth of the width or more as large, of a tenth to a fifth as moderate and of less than a tenth as small. These bands are a judgement of this report, and no class rests on them (</w:t>
      </w:r>
      <w:hyperlink w:anchor="sec-classification">
        <w:r>
          <w:rPr>
            <w:rStyle w:val="Hyperlink"/>
          </w:rPr>
          <w:t xml:space="preserve">Section 9</w:t>
        </w:r>
      </w:hyperlink>
      <w:r>
        <w:t xml:space="preserve">). Only for acidic variants do the effects bring the attribute to its limit within the NOR. There a higher pCO2 and a higher culture pH each lower acidic variants, and the PARs of these two parameters end just above their NOR highs (</w:t>
      </w:r>
      <w:hyperlink w:anchor="sec-par-table">
        <w:r>
          <w:rPr>
            <w:rStyle w:val="Hyperlink"/>
          </w:rPr>
          <w:t xml:space="preserve">Section 7.3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4" w:name="tbl-effect-size"/>
          <w:p>
            <w:pPr>
              <w:jc w:val="center"/>
            </w:pPr>
            <w:pPr>
              <w:jc w:val="start"/>
              <w:spacing w:before="200"/>
              <w:pStyle w:val="ImageCaption"/>
            </w:pPr>
            <w:r>
              <w:t xml:space="preserve">Table 15: Main effects of the selected models against the width of each criterion, at manufacturing scale with the other factors at their set-points.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Attribute</w:t>
                  </w:r>
                </w:p>
              </w:tc>
              <w:tc>
                <w:tcPr/>
                <w:p>
                  <w:pPr>
                    <w:pStyle w:val="Compact"/>
                    <w:jc w:val="center"/>
                  </w:pPr>
                  <w:r>
                    <w:t xml:space="preserve">Parameter</w:t>
                  </w:r>
                </w:p>
              </w:tc>
              <w:tc>
                <w:tcPr/>
                <w:p>
                  <w:pPr>
                    <w:pStyle w:val="Compact"/>
                    <w:jc w:val="center"/>
                  </w:pPr>
                  <w:r>
                    <w:t xml:space="preserve">Change over the</w:t>
                  </w:r>
                  <w:r>
                    <w:br/>
                  </w:r>
                  <w:r>
                    <w:t xml:space="preserve">range studied</w:t>
                  </w:r>
                </w:p>
              </w:tc>
              <w:tc>
                <w:tcPr/>
                <w:p>
                  <w:pPr>
                    <w:pStyle w:val="Compact"/>
                    <w:jc w:val="center"/>
                  </w:pPr>
                  <w:r>
                    <w:t xml:space="preserve">Change over</w:t>
                  </w:r>
                  <w:r>
                    <w:br/>
                  </w:r>
                  <w:r>
                    <w:t xml:space="preserve">the NOR</w:t>
                  </w:r>
                </w:p>
              </w:tc>
              <w:tc>
                <w:tcPr/>
                <w:p>
                  <w:pPr>
                    <w:pStyle w:val="Compact"/>
                    <w:jc w:val="center"/>
                  </w:pPr>
                  <w:r>
                    <w:t xml:space="preserve">Criterion</w:t>
                  </w:r>
                  <w:r>
                    <w:br/>
                  </w:r>
                  <w:r>
                    <w:t xml:space="preserve">width</w:t>
                  </w:r>
                </w:p>
              </w:tc>
              <w:tc>
                <w:tcPr/>
                <w:p>
                  <w:pPr>
                    <w:pStyle w:val="Compact"/>
                    <w:jc w:val="center"/>
                  </w:pPr>
                  <w:r>
                    <w:t xml:space="preserve">Share of the</w:t>
                  </w:r>
                  <w:r>
                    <w:br/>
                  </w:r>
                  <w:r>
                    <w:t xml:space="preserve">width (%)</w:t>
                  </w:r>
                </w:p>
              </w:tc>
              <w:tc>
                <w:tcPr/>
                <w:p>
                  <w:pPr>
                    <w:pStyle w:val="Compact"/>
                    <w:jc w:val="center"/>
                  </w:pPr>
                  <w:r>
                    <w:t xml:space="preserve">Size</w:t>
                  </w:r>
                </w:p>
              </w:tc>
            </w:tr>
            <w:tr>
              <w:tc>
                <w:tcPr>
                  <w:vMerge w:val="restart"/>
                </w:tcPr>
                <w:p>
                  <w:pPr>
                    <w:pStyle w:val="Compact"/>
                    <w:jc w:val="center"/>
                  </w:pPr>
                  <w:r>
                    <w:t xml:space="preserve">Afucosylation (%)</w:t>
                  </w:r>
                </w:p>
              </w:tc>
              <w:tc>
                <w:tcPr/>
                <w:p>
                  <w:pPr>
                    <w:pStyle w:val="Compact"/>
                    <w:jc w:val="center"/>
                  </w:pPr>
                  <w:r>
                    <w:t xml:space="preserve">Culture pH</w:t>
                  </w:r>
                </w:p>
              </w:tc>
              <w:tc>
                <w:tcPr/>
                <w:p>
                  <w:pPr>
                    <w:pStyle w:val="Compact"/>
                    <w:jc w:val="center"/>
                  </w:pPr>
                  <w:r>
                    <w:t xml:space="preserve">−1.94</w:t>
                  </w:r>
                </w:p>
              </w:tc>
              <w:tc>
                <w:tcPr/>
                <w:p>
                  <w:pPr>
                    <w:pStyle w:val="Compact"/>
                    <w:jc w:val="center"/>
                  </w:pPr>
                  <w:r>
                    <w:t xml:space="preserve">−0.78</w:t>
                  </w:r>
                </w:p>
              </w:tc>
              <w:tc>
                <w:tcPr/>
                <w:p>
                  <w:pPr>
                    <w:pStyle w:val="Compact"/>
                    <w:jc w:val="center"/>
                  </w:pPr>
                  <w:r>
                    <w:t xml:space="preserve">11</w:t>
                  </w:r>
                </w:p>
              </w:tc>
              <w:tc>
                <w:tcPr/>
                <w:p>
                  <w:pPr>
                    <w:pStyle w:val="Compact"/>
                    <w:jc w:val="center"/>
                  </w:pPr>
                  <w:r>
                    <w:t xml:space="preserve">17.7</w:t>
                  </w:r>
                </w:p>
              </w:tc>
              <w:tc>
                <w:tcPr/>
                <w:p>
                  <w:pPr>
                    <w:pStyle w:val="Compact"/>
                    <w:jc w:val="center"/>
                  </w:pPr>
                  <w:r>
                    <w:t xml:space="preserve">moderate</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−1.32</w:t>
                  </w:r>
                </w:p>
              </w:tc>
              <w:tc>
                <w:tcPr/>
                <w:p>
                  <w:pPr>
                    <w:pStyle w:val="Compact"/>
                    <w:jc w:val="center"/>
                  </w:pPr>
                  <w:r>
                    <w:t xml:space="preserve">−0.66</w:t>
                  </w:r>
                </w:p>
              </w:tc>
              <w:tc>
                <w:tcPr/>
                <w:p>
                  <w:pPr>
                    <w:pStyle w:val="Compact"/>
                    <w:jc w:val="center"/>
                  </w:pPr>
                  <w:r>
                    <w:t xml:space="preserve">11</w:t>
                  </w:r>
                </w:p>
              </w:tc>
              <w:tc>
                <w:tcPr/>
                <w:p>
                  <w:pPr>
                    <w:pStyle w:val="Compact"/>
                    <w:jc w:val="center"/>
                  </w:pPr>
                  <w:r>
                    <w:t xml:space="preserve">12.0</w:t>
                  </w:r>
                </w:p>
              </w:tc>
              <w:tc>
                <w:tcPr/>
                <w:p>
                  <w:pPr>
                    <w:pStyle w:val="Compact"/>
                    <w:jc w:val="center"/>
                  </w:pPr>
                  <w:r>
                    <w:t xml:space="preserve">moderate</w:t>
                  </w:r>
                </w:p>
              </w:tc>
            </w:tr>
            <w:tr>
              <w:tc>
                <w:tcPr>
                  <w:gridSpan w:val="1"/>
                  <w:vMerge w:val="continue"/>
                </w:tcPr>
                <w:p>
                  <w:pPr/>
                </w:p>
              </w:tc>
              <w:tc>
                <w:tcPr/>
                <w:p>
                  <w:pPr>
                    <w:pStyle w:val="Compact"/>
                    <w:jc w:val="center"/>
                  </w:pPr>
                  <w:r>
                    <w:t xml:space="preserve">Culture duration</w:t>
                  </w:r>
                </w:p>
              </w:tc>
              <w:tc>
                <w:tcPr/>
                <w:p>
                  <w:pPr>
                    <w:pStyle w:val="Compact"/>
                    <w:jc w:val="center"/>
                  </w:pPr>
                  <w:r>
                    <w:t xml:space="preserve">−2.73</w:t>
                  </w:r>
                </w:p>
              </w:tc>
              <w:tc>
                <w:tcPr/>
                <w:p>
                  <w:pPr>
                    <w:pStyle w:val="Compact"/>
                    <w:jc w:val="center"/>
                  </w:pPr>
                  <w:r>
                    <w:t xml:space="preserve">−1.37</w:t>
                  </w:r>
                </w:p>
              </w:tc>
              <w:tc>
                <w:tcPr/>
                <w:p>
                  <w:pPr>
                    <w:pStyle w:val="Compact"/>
                    <w:jc w:val="center"/>
                  </w:pPr>
                  <w:r>
                    <w:t xml:space="preserve">11</w:t>
                  </w:r>
                </w:p>
              </w:tc>
              <w:tc>
                <w:tcPr/>
                <w:p>
                  <w:pPr>
                    <w:pStyle w:val="Compact"/>
                    <w:jc w:val="center"/>
                  </w:pPr>
                  <w:r>
                    <w:t xml:space="preserve">24.8</w:t>
                  </w:r>
                </w:p>
              </w:tc>
              <w:tc>
                <w:tcPr/>
                <w:p>
                  <w:pPr>
                    <w:pStyle w:val="Compact"/>
                    <w:jc w:val="center"/>
                  </w:pPr>
                  <w:r>
                    <w:t xml:space="preserve">large</w:t>
                  </w:r>
                </w:p>
              </w:tc>
            </w:tr>
            <w:tr>
              <w:tc>
                <w:tcPr>
                  <w:gridSpan w:val="1"/>
                  <w:vMerge w:val="continue"/>
                </w:tcPr>
                <w:p>
                  <w:pPr/>
                </w:p>
              </w:tc>
              <w:tc>
                <w:tcPr/>
                <w:p>
                  <w:pPr>
                    <w:pStyle w:val="Compact"/>
                    <w:jc w:val="center"/>
                  </w:pPr>
                  <w:r>
                    <w:t xml:space="preserve">pCO2</w:t>
                  </w:r>
                </w:p>
              </w:tc>
              <w:tc>
                <w:tcPr/>
                <w:p>
                  <w:pPr>
                    <w:pStyle w:val="Compact"/>
                    <w:jc w:val="center"/>
                  </w:pPr>
                  <w:r>
                    <w:t xml:space="preserve">−0.92</w:t>
                  </w:r>
                </w:p>
              </w:tc>
              <w:tc>
                <w:tcPr/>
                <w:p>
                  <w:pPr>
                    <w:pStyle w:val="Compact"/>
                    <w:jc w:val="center"/>
                  </w:pPr>
                  <w:r>
                    <w:t xml:space="preserve">−0.46</w:t>
                  </w:r>
                </w:p>
              </w:tc>
              <w:tc>
                <w:tcPr/>
                <w:p>
                  <w:pPr>
                    <w:pStyle w:val="Compact"/>
                    <w:jc w:val="center"/>
                  </w:pPr>
                  <w:r>
                    <w:t xml:space="preserve">11</w:t>
                  </w:r>
                </w:p>
              </w:tc>
              <w:tc>
                <w:tcPr/>
                <w:p>
                  <w:pPr>
                    <w:pStyle w:val="Compact"/>
                    <w:jc w:val="center"/>
                  </w:pPr>
                  <w:r>
                    <w:t xml:space="preserve">8.4</w:t>
                  </w:r>
                </w:p>
              </w:tc>
              <w:tc>
                <w:tcPr/>
                <w:p>
                  <w:pPr>
                    <w:pStyle w:val="Compact"/>
                    <w:jc w:val="center"/>
                  </w:pPr>
                  <w:r>
                    <w:t xml:space="preserve">small</w:t>
                  </w:r>
                </w:p>
              </w:tc>
            </w:tr>
            <w:tr>
              <w:tc>
                <w:tcPr>
                  <w:vMerge w:val="restart"/>
                </w:tcPr>
                <w:p>
                  <w:pPr>
                    <w:pStyle w:val="Compact"/>
                    <w:jc w:val="center"/>
                  </w:pPr>
                  <w:r>
                    <w:t xml:space="preserve">Galactosylation (%)</w:t>
                  </w:r>
                </w:p>
              </w:tc>
              <w:tc>
                <w:tcPr/>
                <w:p>
                  <w:pPr>
                    <w:pStyle w:val="Compact"/>
                    <w:jc w:val="center"/>
                  </w:pPr>
                  <w:r>
                    <w:t xml:space="preserve">Culture pH</w:t>
                  </w:r>
                </w:p>
              </w:tc>
              <w:tc>
                <w:tcPr/>
                <w:p>
                  <w:pPr>
                    <w:pStyle w:val="Compact"/>
                    <w:jc w:val="center"/>
                  </w:pPr>
                  <w:r>
                    <w:t xml:space="preserve">−4.12</w:t>
                  </w:r>
                </w:p>
              </w:tc>
              <w:tc>
                <w:tcPr/>
                <w:p>
                  <w:pPr>
                    <w:pStyle w:val="Compact"/>
                    <w:jc w:val="center"/>
                  </w:pPr>
                  <w:r>
                    <w:t xml:space="preserve">−1.65</w:t>
                  </w:r>
                </w:p>
              </w:tc>
              <w:tc>
                <w:tcPr/>
                <w:p>
                  <w:pPr>
                    <w:pStyle w:val="Compact"/>
                    <w:jc w:val="center"/>
                  </w:pPr>
                  <w:r>
                    <w:t xml:space="preserve">30</w:t>
                  </w:r>
                </w:p>
              </w:tc>
              <w:tc>
                <w:tcPr/>
                <w:p>
                  <w:pPr>
                    <w:pStyle w:val="Compact"/>
                    <w:jc w:val="center"/>
                  </w:pPr>
                  <w:r>
                    <w:t xml:space="preserve">13.7</w:t>
                  </w:r>
                </w:p>
              </w:tc>
              <w:tc>
                <w:tcPr/>
                <w:p>
                  <w:pPr>
                    <w:pStyle w:val="Compact"/>
                    <w:jc w:val="center"/>
                  </w:pPr>
                  <w:r>
                    <w:t xml:space="preserve">moderate</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3.83</w:t>
                  </w:r>
                </w:p>
              </w:tc>
              <w:tc>
                <w:tcPr/>
                <w:p>
                  <w:pPr>
                    <w:pStyle w:val="Compact"/>
                    <w:jc w:val="center"/>
                  </w:pPr>
                  <w:r>
                    <w:t xml:space="preserve">1.91</w:t>
                  </w:r>
                </w:p>
              </w:tc>
              <w:tc>
                <w:tcPr/>
                <w:p>
                  <w:pPr>
                    <w:pStyle w:val="Compact"/>
                    <w:jc w:val="center"/>
                  </w:pPr>
                  <w:r>
                    <w:t xml:space="preserve">30</w:t>
                  </w:r>
                </w:p>
              </w:tc>
              <w:tc>
                <w:tcPr/>
                <w:p>
                  <w:pPr>
                    <w:pStyle w:val="Compact"/>
                    <w:jc w:val="center"/>
                  </w:pPr>
                  <w:r>
                    <w:t xml:space="preserve">12.8</w:t>
                  </w:r>
                </w:p>
              </w:tc>
              <w:tc>
                <w:tcPr/>
                <w:p>
                  <w:pPr>
                    <w:pStyle w:val="Compact"/>
                    <w:jc w:val="center"/>
                  </w:pPr>
                  <w:r>
                    <w:t xml:space="preserve">moderate</w:t>
                  </w:r>
                </w:p>
              </w:tc>
            </w:tr>
            <w:tr>
              <w:tc>
                <w:tcPr>
                  <w:gridSpan w:val="1"/>
                  <w:vMerge w:val="continue"/>
                </w:tcPr>
                <w:p>
                  <w:pPr/>
                </w:p>
              </w:tc>
              <w:tc>
                <w:tcPr/>
                <w:p>
                  <w:pPr>
                    <w:pStyle w:val="Compact"/>
                    <w:jc w:val="center"/>
                  </w:pPr>
                  <w:r>
                    <w:t xml:space="preserve">Culture duration</w:t>
                  </w:r>
                </w:p>
              </w:tc>
              <w:tc>
                <w:tcPr/>
                <w:p>
                  <w:pPr>
                    <w:pStyle w:val="Compact"/>
                    <w:jc w:val="center"/>
                  </w:pPr>
                  <w:r>
                    <w:t xml:space="preserve">−7.48</w:t>
                  </w:r>
                </w:p>
              </w:tc>
              <w:tc>
                <w:tcPr/>
                <w:p>
                  <w:pPr>
                    <w:pStyle w:val="Compact"/>
                    <w:jc w:val="center"/>
                  </w:pPr>
                  <w:r>
                    <w:t xml:space="preserve">−3.74</w:t>
                  </w:r>
                </w:p>
              </w:tc>
              <w:tc>
                <w:tcPr/>
                <w:p>
                  <w:pPr>
                    <w:pStyle w:val="Compact"/>
                    <w:jc w:val="center"/>
                  </w:pPr>
                  <w:r>
                    <w:t xml:space="preserve">30</w:t>
                  </w:r>
                </w:p>
              </w:tc>
              <w:tc>
                <w:tcPr/>
                <w:p>
                  <w:pPr>
                    <w:pStyle w:val="Compact"/>
                    <w:jc w:val="center"/>
                  </w:pPr>
                  <w:r>
                    <w:t xml:space="preserve">24.9</w:t>
                  </w:r>
                </w:p>
              </w:tc>
              <w:tc>
                <w:tcPr/>
                <w:p>
                  <w:pPr>
                    <w:pStyle w:val="Compact"/>
                    <w:jc w:val="center"/>
                  </w:pPr>
                  <w:r>
                    <w:t xml:space="preserve">large</w:t>
                  </w:r>
                </w:p>
              </w:tc>
            </w:tr>
            <w:tr>
              <w:tc>
                <w:tcPr>
                  <w:gridSpan w:val="1"/>
                  <w:vMerge w:val="continue"/>
                </w:tcPr>
                <w:p>
                  <w:pPr/>
                </w:p>
              </w:tc>
              <w:tc>
                <w:tcPr/>
                <w:p>
                  <w:pPr>
                    <w:pStyle w:val="Compact"/>
                    <w:jc w:val="center"/>
                  </w:pPr>
                  <w:r>
                    <w:t xml:space="preserve">pCO2</w:t>
                  </w:r>
                </w:p>
              </w:tc>
              <w:tc>
                <w:tcPr/>
                <w:p>
                  <w:pPr>
                    <w:pStyle w:val="Compact"/>
                    <w:jc w:val="center"/>
                  </w:pPr>
                  <w:r>
                    <w:t xml:space="preserve">−4.63</w:t>
                  </w:r>
                </w:p>
              </w:tc>
              <w:tc>
                <w:tcPr/>
                <w:p>
                  <w:pPr>
                    <w:pStyle w:val="Compact"/>
                    <w:jc w:val="center"/>
                  </w:pPr>
                  <w:r>
                    <w:t xml:space="preserve">−2.32</w:t>
                  </w:r>
                </w:p>
              </w:tc>
              <w:tc>
                <w:tcPr/>
                <w:p>
                  <w:pPr>
                    <w:pStyle w:val="Compact"/>
                    <w:jc w:val="center"/>
                  </w:pPr>
                  <w:r>
                    <w:t xml:space="preserve">30</w:t>
                  </w:r>
                </w:p>
              </w:tc>
              <w:tc>
                <w:tcPr/>
                <w:p>
                  <w:pPr>
                    <w:pStyle w:val="Compact"/>
                    <w:jc w:val="center"/>
                  </w:pPr>
                  <w:r>
                    <w:t xml:space="preserve">15.4</w:t>
                  </w:r>
                </w:p>
              </w:tc>
              <w:tc>
                <w:tcPr/>
                <w:p>
                  <w:pPr>
                    <w:pStyle w:val="Compact"/>
                    <w:jc w:val="center"/>
                  </w:pPr>
                  <w:r>
                    <w:t xml:space="preserve">moderate</w:t>
                  </w:r>
                </w:p>
              </w:tc>
            </w:tr>
            <w:tr>
              <w:tc>
                <w:tcPr>
                  <w:vMerge w:val="restart"/>
                </w:tcPr>
                <w:p>
                  <w:pPr>
                    <w:pStyle w:val="Compact"/>
                    <w:jc w:val="center"/>
                  </w:pPr>
                  <w:r>
                    <w:t xml:space="preserve">High mannose (%)</w:t>
                  </w:r>
                </w:p>
              </w:tc>
              <w:tc>
                <w:tcPr/>
                <w:p>
                  <w:pPr>
                    <w:pStyle w:val="Compact"/>
                    <w:jc w:val="center"/>
                  </w:pPr>
                  <w:r>
                    <w:t xml:space="preserve">Culture pH</w:t>
                  </w:r>
                </w:p>
              </w:tc>
              <w:tc>
                <w:tcPr/>
                <w:p>
                  <w:pPr>
                    <w:pStyle w:val="Compact"/>
                    <w:jc w:val="center"/>
                  </w:pPr>
                  <w:r>
                    <w:t xml:space="preserve">2.25</w:t>
                  </w:r>
                </w:p>
              </w:tc>
              <w:tc>
                <w:tcPr/>
                <w:p>
                  <w:pPr>
                    <w:pStyle w:val="Compact"/>
                    <w:jc w:val="center"/>
                  </w:pPr>
                  <w:r>
                    <w:t xml:space="preserve">0.90</w:t>
                  </w:r>
                </w:p>
              </w:tc>
              <w:tc>
                <w:tcPr/>
                <w:p>
                  <w:pPr>
                    <w:pStyle w:val="Compact"/>
                    <w:jc w:val="center"/>
                  </w:pPr>
                  <w:r>
                    <w:t xml:space="preserve">7</w:t>
                  </w:r>
                </w:p>
              </w:tc>
              <w:tc>
                <w:tcPr/>
                <w:p>
                  <w:pPr>
                    <w:pStyle w:val="Compact"/>
                    <w:jc w:val="center"/>
                  </w:pPr>
                  <w:r>
                    <w:t xml:space="preserve">32.1</w:t>
                  </w:r>
                </w:p>
              </w:tc>
              <w:tc>
                <w:tcPr/>
                <w:p>
                  <w:pPr>
                    <w:pStyle w:val="Compact"/>
                    <w:jc w:val="center"/>
                  </w:pPr>
                  <w:r>
                    <w:t xml:space="preserve">large</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−0.79</w:t>
                  </w:r>
                </w:p>
              </w:tc>
              <w:tc>
                <w:tcPr/>
                <w:p>
                  <w:pPr>
                    <w:pStyle w:val="Compact"/>
                    <w:jc w:val="center"/>
                  </w:pPr>
                  <w:r>
                    <w:t xml:space="preserve">−0.40</w:t>
                  </w:r>
                </w:p>
              </w:tc>
              <w:tc>
                <w:tcPr/>
                <w:p>
                  <w:pPr>
                    <w:pStyle w:val="Compact"/>
                    <w:jc w:val="center"/>
                  </w:pPr>
                  <w:r>
                    <w:t xml:space="preserve">7</w:t>
                  </w:r>
                </w:p>
              </w:tc>
              <w:tc>
                <w:tcPr/>
                <w:p>
                  <w:pPr>
                    <w:pStyle w:val="Compact"/>
                    <w:jc w:val="center"/>
                  </w:pPr>
                  <w:r>
                    <w:t xml:space="preserve">11.3</w:t>
                  </w:r>
                </w:p>
              </w:tc>
              <w:tc>
                <w:tcPr/>
                <w:p>
                  <w:pPr>
                    <w:pStyle w:val="Compact"/>
                    <w:jc w:val="center"/>
                  </w:pPr>
                  <w:r>
                    <w:t xml:space="preserve">moderate</w:t>
                  </w:r>
                </w:p>
              </w:tc>
            </w:tr>
            <w:tr>
              <w:tc>
                <w:tcPr>
                  <w:vMerge w:val="restart"/>
                </w:tcPr>
                <w:p>
                  <w:pPr>
                    <w:pStyle w:val="Compact"/>
                    <w:jc w:val="center"/>
                  </w:pPr>
                  <w:r>
                    <w:t xml:space="preserve">Acidic variants (%)</w:t>
                  </w:r>
                </w:p>
              </w:tc>
              <w:tc>
                <w:tcPr/>
                <w:p>
                  <w:pPr>
                    <w:pStyle w:val="Compact"/>
                    <w:jc w:val="center"/>
                  </w:pPr>
                  <w:r>
                    <w:t xml:space="preserve">Culture pH</w:t>
                  </w:r>
                </w:p>
              </w:tc>
              <w:tc>
                <w:tcPr/>
                <w:p>
                  <w:pPr>
                    <w:pStyle w:val="Compact"/>
                    <w:jc w:val="center"/>
                  </w:pPr>
                  <w:r>
                    <w:t xml:space="preserve">−4.56</w:t>
                  </w:r>
                </w:p>
              </w:tc>
              <w:tc>
                <w:tcPr/>
                <w:p>
                  <w:pPr>
                    <w:pStyle w:val="Compact"/>
                    <w:jc w:val="center"/>
                  </w:pPr>
                  <w:r>
                    <w:t xml:space="preserve">−1.88</w:t>
                  </w:r>
                </w:p>
              </w:tc>
              <w:tc>
                <w:tcPr/>
                <w:p>
                  <w:pPr>
                    <w:pStyle w:val="Compact"/>
                    <w:jc w:val="center"/>
                  </w:pPr>
                  <w:r>
                    <w:t xml:space="preserve">21</w:t>
                  </w:r>
                </w:p>
              </w:tc>
              <w:tc>
                <w:tcPr/>
                <w:p>
                  <w:pPr>
                    <w:pStyle w:val="Compact"/>
                    <w:jc w:val="center"/>
                  </w:pPr>
                  <w:r>
                    <w:t xml:space="preserve">21.7</w:t>
                  </w:r>
                </w:p>
              </w:tc>
              <w:tc>
                <w:tcPr/>
                <w:p>
                  <w:pPr>
                    <w:pStyle w:val="Compact"/>
                    <w:jc w:val="center"/>
                  </w:pPr>
                  <w:r>
                    <w:t xml:space="preserve">large</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3.80</w:t>
                  </w:r>
                </w:p>
              </w:tc>
              <w:tc>
                <w:tcPr/>
                <w:p>
                  <w:pPr>
                    <w:pStyle w:val="Compact"/>
                    <w:jc w:val="center"/>
                  </w:pPr>
                  <w:r>
                    <w:t xml:space="preserve">1.90</w:t>
                  </w:r>
                </w:p>
              </w:tc>
              <w:tc>
                <w:tcPr/>
                <w:p>
                  <w:pPr>
                    <w:pStyle w:val="Compact"/>
                    <w:jc w:val="center"/>
                  </w:pPr>
                  <w:r>
                    <w:t xml:space="preserve">21</w:t>
                  </w:r>
                </w:p>
              </w:tc>
              <w:tc>
                <w:tcPr/>
                <w:p>
                  <w:pPr>
                    <w:pStyle w:val="Compact"/>
                    <w:jc w:val="center"/>
                  </w:pPr>
                  <w:r>
                    <w:t xml:space="preserve">18.1</w:t>
                  </w:r>
                </w:p>
              </w:tc>
              <w:tc>
                <w:tcPr/>
                <w:p>
                  <w:pPr>
                    <w:pStyle w:val="Compact"/>
                    <w:jc w:val="center"/>
                  </w:pPr>
                  <w:r>
                    <w:t xml:space="preserve">moderate</w:t>
                  </w:r>
                </w:p>
              </w:tc>
            </w:tr>
            <w:tr>
              <w:tc>
                <w:tcPr>
                  <w:gridSpan w:val="1"/>
                  <w:vMerge w:val="continue"/>
                </w:tcPr>
                <w:p>
                  <w:pPr/>
                </w:p>
              </w:tc>
              <w:tc>
                <w:tcPr/>
                <w:p>
                  <w:pPr>
                    <w:pStyle w:val="Compact"/>
                    <w:jc w:val="center"/>
                  </w:pPr>
                  <w:r>
                    <w:t xml:space="preserve">Culture duration</w:t>
                  </w:r>
                </w:p>
              </w:tc>
              <w:tc>
                <w:tcPr/>
                <w:p>
                  <w:pPr>
                    <w:pStyle w:val="Compact"/>
                    <w:jc w:val="center"/>
                  </w:pPr>
                  <w:r>
                    <w:t xml:space="preserve">−0.27</w:t>
                  </w:r>
                </w:p>
              </w:tc>
              <w:tc>
                <w:tcPr/>
                <w:p>
                  <w:pPr>
                    <w:pStyle w:val="Compact"/>
                    <w:jc w:val="center"/>
                  </w:pPr>
                  <w:r>
                    <w:t xml:space="preserve">−0.13</w:t>
                  </w:r>
                </w:p>
              </w:tc>
              <w:tc>
                <w:tcPr/>
                <w:p>
                  <w:pPr>
                    <w:pStyle w:val="Compact"/>
                    <w:jc w:val="center"/>
                  </w:pPr>
                  <w:r>
                    <w:t xml:space="preserve">21</w:t>
                  </w:r>
                </w:p>
              </w:tc>
              <w:tc>
                <w:tcPr/>
                <w:p>
                  <w:pPr>
                    <w:pStyle w:val="Compact"/>
                    <w:jc w:val="center"/>
                  </w:pPr>
                  <w:r>
                    <w:t xml:space="preserve">1.3</w:t>
                  </w:r>
                </w:p>
              </w:tc>
              <w:tc>
                <w:tcPr/>
                <w:p>
                  <w:pPr>
                    <w:pStyle w:val="Compact"/>
                    <w:jc w:val="center"/>
                  </w:pPr>
                  <w:r>
                    <w:t xml:space="preserve">small</w:t>
                  </w:r>
                </w:p>
              </w:tc>
            </w:tr>
            <w:tr>
              <w:tc>
                <w:tcPr>
                  <w:gridSpan w:val="1"/>
                  <w:vMerge w:val="continue"/>
                </w:tcPr>
                <w:p>
                  <w:pPr/>
                </w:p>
              </w:tc>
              <w:tc>
                <w:tcPr/>
                <w:p>
                  <w:pPr>
                    <w:pStyle w:val="Compact"/>
                    <w:jc w:val="center"/>
                  </w:pPr>
                  <w:r>
                    <w:t xml:space="preserve">pCO2</w:t>
                  </w:r>
                </w:p>
              </w:tc>
              <w:tc>
                <w:tcPr/>
                <w:p>
                  <w:pPr>
                    <w:pStyle w:val="Compact"/>
                    <w:jc w:val="center"/>
                  </w:pPr>
                  <w:r>
                    <w:t xml:space="preserve">−8.93</w:t>
                  </w:r>
                </w:p>
              </w:tc>
              <w:tc>
                <w:tcPr/>
                <w:p>
                  <w:pPr>
                    <w:pStyle w:val="Compact"/>
                    <w:jc w:val="center"/>
                  </w:pPr>
                  <w:r>
                    <w:t xml:space="preserve">−4.44</w:t>
                  </w:r>
                </w:p>
              </w:tc>
              <w:tc>
                <w:tcPr/>
                <w:p>
                  <w:pPr>
                    <w:pStyle w:val="Compact"/>
                    <w:jc w:val="center"/>
                  </w:pPr>
                  <w:r>
                    <w:t xml:space="preserve">21</w:t>
                  </w:r>
                </w:p>
              </w:tc>
              <w:tc>
                <w:tcPr/>
                <w:p>
                  <w:pPr>
                    <w:pStyle w:val="Compact"/>
                    <w:jc w:val="center"/>
                  </w:pPr>
                  <w:r>
                    <w:t xml:space="preserve">42.5</w:t>
                  </w:r>
                </w:p>
              </w:tc>
              <w:tc>
                <w:tcPr/>
                <w:p>
                  <w:pPr>
                    <w:pStyle w:val="Compact"/>
                    <w:jc w:val="center"/>
                  </w:pPr>
                  <w:r>
                    <w:t xml:space="preserve">large</w:t>
                  </w:r>
                </w:p>
              </w:tc>
            </w:tr>
            <w:tr>
              <w:tc>
                <w:tcPr>
                  <w:vMerge w:val="restart"/>
                </w:tcPr>
                <w:p>
                  <w:pPr>
                    <w:pStyle w:val="Compact"/>
                    <w:jc w:val="center"/>
                  </w:pPr>
                  <w:r>
                    <w:t xml:space="preserve">Aggregates, HMW (%)</w:t>
                  </w:r>
                </w:p>
              </w:tc>
              <w:tc>
                <w:tcPr/>
                <w:p>
                  <w:pPr>
                    <w:pStyle w:val="Compact"/>
                    <w:jc w:val="center"/>
                  </w:pPr>
                  <w:r>
                    <w:t xml:space="preserve">Culture pH</w:t>
                  </w:r>
                </w:p>
              </w:tc>
              <w:tc>
                <w:tcPr/>
                <w:p>
                  <w:pPr>
                    <w:pStyle w:val="Compact"/>
                    <w:jc w:val="center"/>
                  </w:pPr>
                  <w:r>
                    <w:t xml:space="preserve">0.89</w:t>
                  </w:r>
                </w:p>
              </w:tc>
              <w:tc>
                <w:tcPr/>
                <w:p>
                  <w:pPr>
                    <w:pStyle w:val="Compact"/>
                    <w:jc w:val="center"/>
                  </w:pPr>
                  <w:r>
                    <w:t xml:space="preserve">0.38</w:t>
                  </w:r>
                </w:p>
              </w:tc>
              <w:tc>
                <w:tcPr/>
                <w:p>
                  <w:pPr>
                    <w:pStyle w:val="Compact"/>
                    <w:jc w:val="center"/>
                  </w:pPr>
                  <w:r>
                    <w:t xml:space="preserve">6.46</w:t>
                  </w:r>
                </w:p>
              </w:tc>
              <w:tc>
                <w:tcPr/>
                <w:p>
                  <w:pPr>
                    <w:pStyle w:val="Compact"/>
                    <w:jc w:val="center"/>
                  </w:pPr>
                  <w:r>
                    <w:t xml:space="preserve">13.8</w:t>
                  </w:r>
                </w:p>
              </w:tc>
              <w:tc>
                <w:tcPr/>
                <w:p>
                  <w:pPr>
                    <w:pStyle w:val="Compact"/>
                    <w:jc w:val="center"/>
                  </w:pPr>
                  <w:r>
                    <w:t xml:space="preserve">moderate</w:t>
                  </w:r>
                </w:p>
              </w:tc>
            </w:tr>
            <w:tr>
              <w:tc>
                <w:tcPr>
                  <w:gridSpan w:val="1"/>
                  <w:vMerge w:val="continue"/>
                </w:tcPr>
                <w:p>
                  <w:pPr/>
                </w:p>
              </w:tc>
              <w:tc>
                <w:tcPr/>
                <w:p>
                  <w:pPr>
                    <w:pStyle w:val="Compact"/>
                    <w:jc w:val="center"/>
                  </w:pPr>
                  <w:r>
                    <w:t xml:space="preserve">Culture duration</w:t>
                  </w:r>
                </w:p>
              </w:tc>
              <w:tc>
                <w:tcPr/>
                <w:p>
                  <w:pPr>
                    <w:pStyle w:val="Compact"/>
                    <w:jc w:val="center"/>
                  </w:pPr>
                  <w:r>
                    <w:t xml:space="preserve">0.77</w:t>
                  </w:r>
                </w:p>
              </w:tc>
              <w:tc>
                <w:tcPr/>
                <w:p>
                  <w:pPr>
                    <w:pStyle w:val="Compact"/>
                    <w:jc w:val="center"/>
                  </w:pPr>
                  <w:r>
                    <w:t xml:space="preserve">0.38</w:t>
                  </w:r>
                </w:p>
              </w:tc>
              <w:tc>
                <w:tcPr/>
                <w:p>
                  <w:pPr>
                    <w:pStyle w:val="Compact"/>
                    <w:jc w:val="center"/>
                  </w:pPr>
                  <w:r>
                    <w:t xml:space="preserve">6.46</w:t>
                  </w:r>
                </w:p>
              </w:tc>
              <w:tc>
                <w:tcPr/>
                <w:p>
                  <w:pPr>
                    <w:pStyle w:val="Compact"/>
                    <w:jc w:val="center"/>
                  </w:pPr>
                  <w:r>
                    <w:t xml:space="preserve">11.8</w:t>
                  </w:r>
                </w:p>
              </w:tc>
              <w:tc>
                <w:tcPr/>
                <w:p>
                  <w:pPr>
                    <w:pStyle w:val="Compact"/>
                    <w:jc w:val="center"/>
                  </w:pPr>
                  <w:r>
                    <w:t xml:space="preserve">moderate</w:t>
                  </w:r>
                </w:p>
              </w:tc>
            </w:tr>
            <w:tr>
              <w:tc>
                <w:tcPr>
                  <w:gridSpan w:val="7"/>
                </w:tcPr>
                <w:p>
                  <w:pPr>
                    <w:pStyle w:val="Compact"/>
                    <w:jc w:val="center"/>
                  </w:pPr>
                  <w:r>
                    <w:t xml:space="preserve">Main effects only, for the parameters in each selected model. Changes and widths in percentage points. Size, the report's own bands: large from a fifth of the width, moderate from a tenth, small below a tenth. The aggregate criterion has an upper limit only, and its width is taken from 0.</w:t>
                  </w:r>
                </w:p>
              </w:tc>
            </w:tr>
          </w:tbl>
          <w:bookmarkEnd w:id="84"/>
          <w:p/>
        </w:tc>
      </w:tr>
    </w:tbl>
    <w:p>
      <w:pPr>
        <w:pStyle w:val="BodyText"/>
      </w:pPr>
      <w:r>
        <w:t xml:space="preserve">Afucosylation falls as culture duration, culture pH, culture temperature and pCO2 rise. The interaction of culture pH with culture duration is as large as the main effect of culture duration and of opposite sign. At the low end of the pH range a longer culture lowers afucosylation by 5.43 points across the range of culture duration, and at the high end of the pH range it changes it by 0.03 points. The squared term of culture pH is negative, so with the other factors at their set-points afucosylation is highest inside the pH range and falls toward both ends.</w:t>
      </w:r>
    </w:p>
    <w:p>
      <w:pPr>
        <w:pStyle w:val="BodyText"/>
      </w:pPr>
      <w:r>
        <w:t xml:space="preserve">Galactosylation falls with culture duration, pCO2 and culture pH, and rises with culture temperature. Culture pH changes the size of each of these effects. Across the range of culture duration galactosylation falls by 12.7 points at the low end of the pH range and by 2.3 points at the high end. Across the range of pCO2 it falls by 8.7 and 0.6 points. Across the range of culture temperature it rises by 0.1 points at the low end of the pH range and by 7.6 points at the high end.</w:t>
      </w:r>
    </w:p>
    <w:p>
      <w:pPr>
        <w:pStyle w:val="BodyText"/>
      </w:pPr>
      <w:r>
        <w:t xml:space="preserve">High mannose rises with culture pH, by a factor of 1.42 across its range, and falls with culture temperature, by a factor of 0.88. The small interaction of the two is significant. Neither culture duration nor pCO2 is in the model.</w:t>
      </w:r>
    </w:p>
    <w:p>
      <w:pPr>
        <w:pStyle w:val="BodyText"/>
      </w:pPr>
      <w:r>
        <w:t xml:space="preserve">Acidic variants fall with pCO2, by a factor of 0.68 across its range, and with culture pH, by a factor of 0.81. They rise with culture temperature, by a factor of 1.18. The main effect of culture duration is a factor of 0.99 and is not significant (p = 0.583). It stays in the model because the interaction of culture pH with culture duration does. The interaction of culture pH with culture temperature is significant. Of the terms of this model, only culture pH, culture temperature, pCO2 and culture pH × culture temperature are carried by every model whose AICc lies within 2 units of the lowest (</w:t>
      </w:r>
      <w:hyperlink w:anchor="sec-near">
        <w:r>
          <w:rPr>
            <w:rStyle w:val="Hyperlink"/>
          </w:rPr>
          <w:t xml:space="preserve">Section 5.3.5</w:t>
        </w:r>
      </w:hyperlink>
      <w:r>
        <w:t xml:space="preserve">).</w:t>
      </w:r>
    </w:p>
    <w:p>
      <w:pPr>
        <w:pStyle w:val="BodyText"/>
      </w:pPr>
      <w:r>
        <w:t xml:space="preserve">Aggregate rises with culture pH, by a factor of 1.79 across its range, and with culture duration, by a factor of 1.59. The interaction of the two is negative on the log scale, so a longer culture multiplies aggregate by less at high pH than at low pH. The squared term of culture pH is negative, so the rise with pH flattens toward the top of the range. Neither culture temperature nor pCO2 is in the model.</w:t>
      </w:r>
    </w:p>
    <w:p>
      <w:pPr>
        <w:pStyle w:val="BodyText"/>
      </w:pPr>
      <w:hyperlink w:anchor="fig-contours">
        <w:r>
          <w:rPr>
            <w:rStyle w:val="Hyperlink"/>
          </w:rPr>
          <w:t xml:space="preserve">Figure 6</w:t>
        </w:r>
      </w:hyperlink>
      <w:r>
        <w:t xml:space="preserve"> </w:t>
      </w:r>
      <w:r>
        <w:t xml:space="preserve">shows the response surfaces over culture pH and culture duration, with culture temperature and pCO2 at their set-points. The surfaces are predictions of the scale-down model before the offset, and for a log-scale attribute they show the median.</w:t>
      </w:r>
    </w:p>
    <w:tbl>
      <w:tblPr>
        <w:tblStyle w:val="Table"/>
        <w:tblW w:type="pct" w:w="5000"/>
        <w:tblLayout w:type="fixed"/>
        <w:tblLook w:firstRow="0" w:lastRow="0" w:firstColumn="0" w:lastColumn="0" w:noHBand="0" w:noVBand="0" w:val="0000"/>
      </w:tblPr>
      <w:tblGrid>
        <w:gridCol w:w="7920"/>
      </w:tblGrid>
      <w:tr>
        <w:tc>
          <w:tcPr/>
          <w:bookmarkStart w:id="88" w:name="fig-contours"/>
          <w:p>
            <w:pPr>
              <w:pStyle w:val="Compact"/>
              <w:jc w:val="center"/>
            </w:pPr>
            <w:r>
              <w:drawing>
                <wp:inline>
                  <wp:extent cx="5334000" cy="3196308"/>
                  <wp:effectExtent b="0" l="0" r="0" t="0"/>
                  <wp:docPr descr="" title="" id="86" name="Picture"/>
                  <a:graphic>
                    <a:graphicData uri="http://schemas.openxmlformats.org/drawingml/2006/picture">
                      <pic:pic>
                        <pic:nvPicPr>
                          <pic:cNvPr descr="PCR-003_bioreactor_files/figure-docx/fig-contours-output-1.png" id="87" name="Picture"/>
                          <pic:cNvPicPr>
                            <a:picLocks noChangeArrowheads="1" noChangeAspect="1"/>
                          </pic:cNvPicPr>
                        </pic:nvPicPr>
                        <pic:blipFill>
                          <a:blip r:embed="rId85"/>
                          <a:stretch>
                            <a:fillRect/>
                          </a:stretch>
                        </pic:blipFill>
                        <pic:spPr bwMode="auto">
                          <a:xfrm>
                            <a:off x="0" y="0"/>
                            <a:ext cx="5334000" cy="31963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Response-surface predictions of the modelled attributes over culture pH and culture duration, with culture temperature and pCO2 at their set-points. Values of the scale-down model before the offset, and the median for an attribute modelled on the log scale.</w:t>
            </w:r>
          </w:p>
          <w:bookmarkEnd w:id="88"/>
        </w:tc>
      </w:tr>
    </w:tbl>
    <w:tbl>
      <w:tblPr>
        <w:tblStyle w:val="Table"/>
        <w:tblW w:type="pct" w:w="5000"/>
        <w:tblLayout w:type="fixed"/>
        <w:tblLook w:firstRow="0" w:lastRow="0" w:firstColumn="0" w:lastColumn="0" w:noHBand="0" w:noVBand="0" w:val="0000"/>
      </w:tblPr>
      <w:tblGrid>
        <w:gridCol w:w="7920"/>
      </w:tblGrid>
      <w:tr>
        <w:tc>
          <w:tcPr/>
          <w:bookmarkStart w:id="89" w:name="tbl-coef-acidic"/>
          <w:p>
            <w:pPr>
              <w:jc w:val="center"/>
            </w:pPr>
            <w:pPr>
              <w:jc w:val="start"/>
              <w:spacing w:before="200"/>
              <w:pStyle w:val="ImageCaption"/>
            </w:pPr>
            <w:r>
              <w:t xml:space="preserve">Table 16: Coefficients of the selected model of acidic variants, on the log scale and in coded units. The factor codes are in</w:t>
            </w:r>
            <w:r>
              <w:t xml:space="preserve"> </w:t>
            </w:r>
            <w:hyperlink w:anchor="tbl-factors">
              <w:r>
                <w:rPr>
                  <w:rStyle w:val="Hyperlink"/>
                </w:rPr>
                <w:t xml:space="preserve">Table 8</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3.1012</w:t>
                  </w:r>
                </w:p>
              </w:tc>
              <w:tc>
                <w:tcPr/>
                <w:p>
                  <w:pPr>
                    <w:pStyle w:val="Compact"/>
                    <w:jc w:val="right"/>
                    <w:jc w:val="center"/>
                  </w:pPr>
                  <w:r>
                    <w:t xml:space="preserve">0.0170</w:t>
                  </w:r>
                </w:p>
              </w:tc>
              <w:tc>
                <w:tcPr/>
                <w:p>
                  <w:pPr>
                    <w:pStyle w:val="Compact"/>
                    <w:jc w:val="right"/>
                    <w:jc w:val="center"/>
                  </w:pPr>
                  <w:r>
                    <w:t xml:space="preserve">182.0418</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−0.1038</w:t>
                  </w:r>
                </w:p>
              </w:tc>
              <w:tc>
                <w:tcPr/>
                <w:p>
                  <w:pPr>
                    <w:pStyle w:val="Compact"/>
                    <w:jc w:val="right"/>
                    <w:jc w:val="center"/>
                  </w:pPr>
                  <w:r>
                    <w:t xml:space="preserve">0.0105</w:t>
                  </w:r>
                </w:p>
              </w:tc>
              <w:tc>
                <w:tcPr/>
                <w:p>
                  <w:pPr>
                    <w:pStyle w:val="Compact"/>
                    <w:jc w:val="right"/>
                    <w:jc w:val="center"/>
                  </w:pPr>
                  <w:r>
                    <w:t xml:space="preserve">−9.8722</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0.0831</w:t>
                  </w:r>
                </w:p>
              </w:tc>
              <w:tc>
                <w:tcPr/>
                <w:p>
                  <w:pPr>
                    <w:pStyle w:val="Compact"/>
                    <w:jc w:val="right"/>
                    <w:jc w:val="center"/>
                  </w:pPr>
                  <w:r>
                    <w:t xml:space="preserve">0.0104</w:t>
                  </w:r>
                </w:p>
              </w:tc>
              <w:tc>
                <w:tcPr/>
                <w:p>
                  <w:pPr>
                    <w:pStyle w:val="Compact"/>
                    <w:jc w:val="right"/>
                    <w:jc w:val="center"/>
                  </w:pPr>
                  <w:r>
                    <w:t xml:space="preserve">8.0137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−0.0059</w:t>
                  </w:r>
                </w:p>
              </w:tc>
              <w:tc>
                <w:tcPr/>
                <w:p>
                  <w:pPr>
                    <w:pStyle w:val="Compact"/>
                    <w:jc w:val="right"/>
                    <w:jc w:val="center"/>
                  </w:pPr>
                  <w:r>
                    <w:t xml:space="preserve">0.0107</w:t>
                  </w:r>
                </w:p>
              </w:tc>
              <w:tc>
                <w:tcPr/>
                <w:p>
                  <w:pPr>
                    <w:pStyle w:val="Compact"/>
                    <w:jc w:val="right"/>
                    <w:jc w:val="center"/>
                  </w:pPr>
                  <w:r>
                    <w:t xml:space="preserve">−0.5539</w:t>
                  </w:r>
                </w:p>
              </w:tc>
              <w:tc>
                <w:tcPr/>
                <w:p>
                  <w:pPr>
                    <w:pStyle w:val="Compact"/>
                    <w:jc w:val="right"/>
                    <w:jc w:val="center"/>
                  </w:pPr>
                  <w:r>
                    <w:t xml:space="preserve">0.583</w:t>
                  </w:r>
                </w:p>
              </w:tc>
              <w:tc>
                <w:tcPr/>
                <w:p>
                  <w:pPr>
                    <w:pStyle w:val="Compact"/>
                  </w:pPr>
                </w:p>
              </w:tc>
            </w:tr>
            <w:tr>
              <w:tc>
                <w:tcPr/>
                <w:p>
                  <w:pPr>
                    <w:pStyle w:val="Compact"/>
                    <w:jc w:val="left"/>
                    <w:jc w:val="center"/>
                  </w:pPr>
                  <w:r>
                    <w:t xml:space="preserve">C</w:t>
                  </w:r>
                </w:p>
              </w:tc>
              <w:tc>
                <w:tcPr/>
                <w:p>
                  <w:pPr>
                    <w:pStyle w:val="Compact"/>
                    <w:jc w:val="right"/>
                    <w:jc w:val="center"/>
                  </w:pPr>
                  <w:r>
                    <w:t xml:space="preserve">−0.1943</w:t>
                  </w:r>
                </w:p>
              </w:tc>
              <w:tc>
                <w:tcPr/>
                <w:p>
                  <w:pPr>
                    <w:pStyle w:val="Compact"/>
                    <w:jc w:val="right"/>
                    <w:jc w:val="center"/>
                  </w:pPr>
                  <w:r>
                    <w:t xml:space="preserve">0.0104</w:t>
                  </w:r>
                </w:p>
              </w:tc>
              <w:tc>
                <w:tcPr/>
                <w:p>
                  <w:pPr>
                    <w:pStyle w:val="Compact"/>
                    <w:jc w:val="right"/>
                    <w:jc w:val="center"/>
                  </w:pPr>
                  <w:r>
                    <w:t xml:space="preserve">−18.7457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0.0565</w:t>
                  </w:r>
                </w:p>
              </w:tc>
              <w:tc>
                <w:tcPr/>
                <w:p>
                  <w:pPr>
                    <w:pStyle w:val="Compact"/>
                    <w:jc w:val="right"/>
                    <w:jc w:val="center"/>
                  </w:pPr>
                  <w:r>
                    <w:t xml:space="preserve">0.0113</w:t>
                  </w:r>
                </w:p>
              </w:tc>
              <w:tc>
                <w:tcPr/>
                <w:p>
                  <w:pPr>
                    <w:pStyle w:val="Compact"/>
                    <w:jc w:val="right"/>
                    <w:jc w:val="center"/>
                  </w:pPr>
                  <w:r>
                    <w:t xml:space="preserve">5.0156</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AE</w:t>
                  </w:r>
                </w:p>
              </w:tc>
              <w:tc>
                <w:tcPr/>
                <w:p>
                  <w:pPr>
                    <w:pStyle w:val="Compact"/>
                    <w:jc w:val="right"/>
                    <w:jc w:val="center"/>
                  </w:pPr>
                  <w:r>
                    <w:t xml:space="preserve">−0.0319</w:t>
                  </w:r>
                </w:p>
              </w:tc>
              <w:tc>
                <w:tcPr/>
                <w:p>
                  <w:pPr>
                    <w:pStyle w:val="Compact"/>
                    <w:jc w:val="right"/>
                    <w:jc w:val="center"/>
                  </w:pPr>
                  <w:r>
                    <w:t xml:space="preserve">0.0117</w:t>
                  </w:r>
                </w:p>
              </w:tc>
              <w:tc>
                <w:tcPr/>
                <w:p>
                  <w:pPr>
                    <w:pStyle w:val="Compact"/>
                    <w:jc w:val="right"/>
                    <w:jc w:val="center"/>
                  </w:pPr>
                  <w:r>
                    <w:t xml:space="preserve">−2.7209</w:t>
                  </w:r>
                </w:p>
              </w:tc>
              <w:tc>
                <w:tcPr/>
                <w:p>
                  <w:pPr>
                    <w:pStyle w:val="Compact"/>
                    <w:jc w:val="right"/>
                    <w:jc w:val="center"/>
                  </w:pPr>
                  <w:r>
                    <w:t xml:space="preserve">0.010</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−0.0206</w:t>
                  </w:r>
                </w:p>
              </w:tc>
              <w:tc>
                <w:tcPr/>
                <w:p>
                  <w:pPr>
                    <w:pStyle w:val="Compact"/>
                    <w:jc w:val="right"/>
                    <w:jc w:val="center"/>
                  </w:pPr>
                  <w:r>
                    <w:t xml:space="preserve">0.0113</w:t>
                  </w:r>
                </w:p>
              </w:tc>
              <w:tc>
                <w:tcPr/>
                <w:p>
                  <w:pPr>
                    <w:pStyle w:val="Compact"/>
                    <w:jc w:val="right"/>
                    <w:jc w:val="center"/>
                  </w:pPr>
                  <w:r>
                    <w:t xml:space="preserve">−1.8290</w:t>
                  </w:r>
                </w:p>
              </w:tc>
              <w:tc>
                <w:tcPr/>
                <w:p>
                  <w:pPr>
                    <w:pStyle w:val="Compact"/>
                    <w:jc w:val="right"/>
                    <w:jc w:val="center"/>
                  </w:pPr>
                  <w:r>
                    <w:t xml:space="preserve">0.076</w:t>
                  </w:r>
                </w:p>
              </w:tc>
              <w:tc>
                <w:tcPr/>
                <w:p>
                  <w:pPr>
                    <w:pStyle w:val="Compact"/>
                  </w:pPr>
                </w:p>
              </w:tc>
            </w:tr>
            <w:tr>
              <w:tc>
                <w:tcPr/>
                <w:p>
                  <w:pPr>
                    <w:pStyle w:val="Compact"/>
                    <w:jc w:val="left"/>
                    <w:jc w:val="center"/>
                  </w:pPr>
                  <w:r>
                    <w:t xml:space="preserve">BC</w:t>
                  </w:r>
                </w:p>
              </w:tc>
              <w:tc>
                <w:tcPr/>
                <w:p>
                  <w:pPr>
                    <w:pStyle w:val="Compact"/>
                    <w:jc w:val="right"/>
                    <w:jc w:val="center"/>
                  </w:pPr>
                  <w:r>
                    <w:t xml:space="preserve">0.0197</w:t>
                  </w:r>
                </w:p>
              </w:tc>
              <w:tc>
                <w:tcPr/>
                <w:p>
                  <w:pPr>
                    <w:pStyle w:val="Compact"/>
                    <w:jc w:val="right"/>
                    <w:jc w:val="center"/>
                  </w:pPr>
                  <w:r>
                    <w:t xml:space="preserve">0.0110</w:t>
                  </w:r>
                </w:p>
              </w:tc>
              <w:tc>
                <w:tcPr/>
                <w:p>
                  <w:pPr>
                    <w:pStyle w:val="Compact"/>
                    <w:jc w:val="right"/>
                    <w:jc w:val="center"/>
                  </w:pPr>
                  <w:r>
                    <w:t xml:space="preserve">1.7803</w:t>
                  </w:r>
                </w:p>
              </w:tc>
              <w:tc>
                <w:tcPr/>
                <w:p>
                  <w:pPr>
                    <w:pStyle w:val="Compact"/>
                    <w:jc w:val="right"/>
                    <w:jc w:val="center"/>
                  </w:pPr>
                  <w:r>
                    <w:t xml:space="preserve">0.084</w:t>
                  </w:r>
                </w:p>
              </w:tc>
              <w:tc>
                <w:tcPr/>
                <w:p>
                  <w:pPr>
                    <w:pStyle w:val="Compact"/>
                  </w:pPr>
                </w:p>
              </w:tc>
            </w:tr>
            <w:tr>
              <w:tc>
                <w:tcPr/>
                <w:p>
                  <w:pPr>
                    <w:pStyle w:val="Compact"/>
                    <w:jc w:val="left"/>
                    <w:jc w:val="center"/>
                  </w:pPr>
                  <w:r>
                    <w:t xml:space="preserve">A²</w:t>
                  </w:r>
                </w:p>
              </w:tc>
              <w:tc>
                <w:tcPr/>
                <w:p>
                  <w:pPr>
                    <w:pStyle w:val="Compact"/>
                    <w:jc w:val="right"/>
                    <w:jc w:val="center"/>
                  </w:pPr>
                  <w:r>
                    <w:t xml:space="preserve">−0.0395</w:t>
                  </w:r>
                </w:p>
              </w:tc>
              <w:tc>
                <w:tcPr/>
                <w:p>
                  <w:pPr>
                    <w:pStyle w:val="Compact"/>
                    <w:jc w:val="right"/>
                    <w:jc w:val="center"/>
                  </w:pPr>
                  <w:r>
                    <w:t xml:space="preserve">0.0197</w:t>
                  </w:r>
                </w:p>
              </w:tc>
              <w:tc>
                <w:tcPr/>
                <w:p>
                  <w:pPr>
                    <w:pStyle w:val="Compact"/>
                    <w:jc w:val="right"/>
                    <w:jc w:val="center"/>
                  </w:pPr>
                  <w:r>
                    <w:t xml:space="preserve">−2.0090</w:t>
                  </w:r>
                </w:p>
              </w:tc>
              <w:tc>
                <w:tcPr/>
                <w:p>
                  <w:pPr>
                    <w:pStyle w:val="Compact"/>
                    <w:jc w:val="right"/>
                    <w:jc w:val="center"/>
                  </w:pPr>
                  <w:r>
                    <w:t xml:space="preserve">0.053</w:t>
                  </w:r>
                </w:p>
              </w:tc>
              <w:tc>
                <w:tcPr/>
                <w:p>
                  <w:pPr>
                    <w:pStyle w:val="Compact"/>
                  </w:pPr>
                </w:p>
              </w:tc>
            </w:tr>
            <w:tr>
              <w:tc>
                <w:tcPr/>
                <w:p>
                  <w:pPr>
                    <w:pStyle w:val="Compact"/>
                    <w:jc w:val="left"/>
                    <w:jc w:val="center"/>
                  </w:pPr>
                  <w:r>
                    <w:t xml:space="preserve">Block</w:t>
                  </w:r>
                </w:p>
              </w:tc>
              <w:tc>
                <w:tcPr/>
                <w:p>
                  <w:pPr>
                    <w:pStyle w:val="Compact"/>
                    <w:jc w:val="right"/>
                    <w:jc w:val="center"/>
                  </w:pPr>
                  <w:r>
                    <w:t xml:space="preserve">0.0100</w:t>
                  </w:r>
                </w:p>
              </w:tc>
              <w:tc>
                <w:tcPr/>
                <w:p>
                  <w:pPr>
                    <w:pStyle w:val="Compact"/>
                    <w:jc w:val="right"/>
                    <w:jc w:val="center"/>
                  </w:pPr>
                  <w:r>
                    <w:t xml:space="preserve">0.0094</w:t>
                  </w:r>
                </w:p>
              </w:tc>
              <w:tc>
                <w:tcPr/>
                <w:p>
                  <w:pPr>
                    <w:pStyle w:val="Compact"/>
                    <w:jc w:val="right"/>
                    <w:jc w:val="center"/>
                  </w:pPr>
                  <w:r>
                    <w:t xml:space="preserve">1.0664</w:t>
                  </w:r>
                </w:p>
              </w:tc>
              <w:tc>
                <w:tcPr/>
                <w:p>
                  <w:pPr>
                    <w:pStyle w:val="Compact"/>
                    <w:jc w:val="right"/>
                    <w:jc w:val="center"/>
                  </w:pPr>
                  <w:r>
                    <w:t xml:space="preserve">0.294</w:t>
                  </w:r>
                </w:p>
              </w:tc>
              <w:tc>
                <w:tcPr/>
                <w:p>
                  <w:pPr>
                    <w:pStyle w:val="Compact"/>
                  </w:pPr>
                </w:p>
              </w:tc>
            </w:tr>
          </w:tbl>
          <w:bookmarkEnd w:id="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0" w:name="tbl-anova-acidic"/>
          <w:p>
            <w:pPr>
              <w:jc w:val="center"/>
            </w:pPr>
            <w:pPr>
              <w:jc w:val="start"/>
              <w:spacing w:before="200"/>
              <w:pStyle w:val="ImageCaption"/>
            </w:pPr>
            <w:r>
              <w:t xml:space="preserve">Table 17: Analysis of variance of the selected model of acidic variants, on the log scale, with the residual split into lack of fit and pure error.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1.8999</w:t>
                  </w:r>
                </w:p>
              </w:tc>
              <w:tc>
                <w:tcPr/>
                <w:p>
                  <w:pPr>
                    <w:pStyle w:val="Compact"/>
                    <w:jc w:val="right"/>
                    <w:jc w:val="center"/>
                  </w:pPr>
                  <w:r>
                    <w:t xml:space="preserve">10</w:t>
                  </w:r>
                </w:p>
              </w:tc>
              <w:tc>
                <w:tcPr/>
                <w:p>
                  <w:pPr>
                    <w:pStyle w:val="Compact"/>
                    <w:jc w:val="right"/>
                    <w:jc w:val="center"/>
                  </w:pPr>
                  <w:r>
                    <w:t xml:space="preserve">0.1900</w:t>
                  </w:r>
                </w:p>
              </w:tc>
              <w:tc>
                <w:tcPr/>
                <w:p>
                  <w:pPr>
                    <w:pStyle w:val="Compact"/>
                    <w:jc w:val="right"/>
                    <w:jc w:val="center"/>
                  </w:pPr>
                  <w:r>
                    <w:t xml:space="preserve">56.0751</w:t>
                  </w:r>
                </w:p>
              </w:tc>
              <w:tc>
                <w:tcPr/>
                <w:p>
                  <w:pPr>
                    <w:pStyle w:val="Compact"/>
                    <w:jc w:val="right"/>
                    <w:jc w:val="center"/>
                  </w:pPr>
                  <w:r>
                    <w:t xml:space="preserve">&lt; 0.001</w:t>
                  </w:r>
                </w:p>
              </w:tc>
            </w:tr>
            <w:tr>
              <w:tc>
                <w:tcPr/>
                <w:p>
                  <w:pPr>
                    <w:pStyle w:val="Compact"/>
                    <w:jc w:val="left"/>
                    <w:jc w:val="center"/>
                  </w:pPr>
                  <w:r>
                    <w:t xml:space="preserve">Residual</w:t>
                  </w:r>
                </w:p>
              </w:tc>
              <w:tc>
                <w:tcPr/>
                <w:p>
                  <w:pPr>
                    <w:pStyle w:val="Compact"/>
                    <w:jc w:val="right"/>
                    <w:jc w:val="center"/>
                  </w:pPr>
                  <w:r>
                    <w:t xml:space="preserve">0.1118</w:t>
                  </w:r>
                </w:p>
              </w:tc>
              <w:tc>
                <w:tcPr/>
                <w:p>
                  <w:pPr>
                    <w:pStyle w:val="Compact"/>
                    <w:jc w:val="right"/>
                    <w:jc w:val="center"/>
                  </w:pPr>
                  <w:r>
                    <w:t xml:space="preserve">33</w:t>
                  </w:r>
                </w:p>
              </w:tc>
              <w:tc>
                <w:tcPr/>
                <w:p>
                  <w:pPr>
                    <w:pStyle w:val="Compact"/>
                    <w:jc w:val="right"/>
                    <w:jc w:val="center"/>
                  </w:pPr>
                  <w:r>
                    <w:t xml:space="preserve">0.0034</w:t>
                  </w:r>
                </w:p>
              </w:tc>
              <w:tc>
                <w:tcPr/>
                <w:p>
                  <w:pPr>
                    <w:pStyle w:val="Compact"/>
                  </w:pPr>
                </w:p>
              </w:tc>
              <w:tc>
                <w:tcPr/>
                <w:p>
                  <w:pPr>
                    <w:pStyle w:val="Compact"/>
                  </w:pPr>
                </w:p>
              </w:tc>
            </w:tr>
            <w:tr>
              <w:tc>
                <w:tcPr/>
                <w:p>
                  <w:pPr>
                    <w:pStyle w:val="Compact"/>
                    <w:jc w:val="left"/>
                    <w:jc w:val="center"/>
                  </w:pPr>
                  <w:r>
                    <w:t xml:space="preserve">Lack of fit</w:t>
                  </w:r>
                </w:p>
              </w:tc>
              <w:tc>
                <w:tcPr/>
                <w:p>
                  <w:pPr>
                    <w:pStyle w:val="Compact"/>
                    <w:jc w:val="right"/>
                    <w:jc w:val="center"/>
                  </w:pPr>
                  <w:r>
                    <w:t xml:space="preserve">0.1068</w:t>
                  </w:r>
                </w:p>
              </w:tc>
              <w:tc>
                <w:tcPr/>
                <w:p>
                  <w:pPr>
                    <w:pStyle w:val="Compact"/>
                    <w:jc w:val="right"/>
                    <w:jc w:val="center"/>
                  </w:pPr>
                  <w:r>
                    <w:t xml:space="preserve">30</w:t>
                  </w:r>
                </w:p>
              </w:tc>
              <w:tc>
                <w:tcPr/>
                <w:p>
                  <w:pPr>
                    <w:pStyle w:val="Compact"/>
                    <w:jc w:val="right"/>
                    <w:jc w:val="center"/>
                  </w:pPr>
                  <w:r>
                    <w:t xml:space="preserve">0.0036</w:t>
                  </w:r>
                </w:p>
              </w:tc>
              <w:tc>
                <w:tcPr/>
                <w:p>
                  <w:pPr>
                    <w:pStyle w:val="Compact"/>
                    <w:jc w:val="right"/>
                    <w:jc w:val="center"/>
                  </w:pPr>
                  <w:r>
                    <w:t xml:space="preserve">2.1271</w:t>
                  </w:r>
                </w:p>
              </w:tc>
              <w:tc>
                <w:tcPr/>
                <w:p>
                  <w:pPr>
                    <w:pStyle w:val="Compact"/>
                    <w:jc w:val="right"/>
                    <w:jc w:val="center"/>
                  </w:pPr>
                  <w:r>
                    <w:t xml:space="preserve">0.295</w:t>
                  </w:r>
                </w:p>
              </w:tc>
            </w:tr>
            <w:tr>
              <w:tc>
                <w:tcPr/>
                <w:p>
                  <w:pPr>
                    <w:pStyle w:val="Compact"/>
                    <w:jc w:val="left"/>
                    <w:jc w:val="center"/>
                  </w:pPr>
                  <w:r>
                    <w:t xml:space="preserve">Pure error</w:t>
                  </w:r>
                </w:p>
              </w:tc>
              <w:tc>
                <w:tcPr/>
                <w:p>
                  <w:pPr>
                    <w:pStyle w:val="Compact"/>
                    <w:jc w:val="right"/>
                    <w:jc w:val="center"/>
                  </w:pPr>
                  <w:r>
                    <w:t xml:space="preserve">0.0050</w:t>
                  </w:r>
                </w:p>
              </w:tc>
              <w:tc>
                <w:tcPr/>
                <w:p>
                  <w:pPr>
                    <w:pStyle w:val="Compact"/>
                    <w:jc w:val="right"/>
                    <w:jc w:val="center"/>
                  </w:pPr>
                  <w:r>
                    <w:t xml:space="preserve">3</w:t>
                  </w:r>
                </w:p>
              </w:tc>
              <w:tc>
                <w:tcPr/>
                <w:p>
                  <w:pPr>
                    <w:pStyle w:val="Compact"/>
                    <w:jc w:val="right"/>
                    <w:jc w:val="center"/>
                  </w:pPr>
                  <w:r>
                    <w:t xml:space="preserve">0.0017</w:t>
                  </w:r>
                </w:p>
              </w:tc>
              <w:tc>
                <w:tcPr/>
                <w:p>
                  <w:pPr>
                    <w:pStyle w:val="Compact"/>
                  </w:pPr>
                </w:p>
              </w:tc>
              <w:tc>
                <w:tcPr/>
                <w:p>
                  <w:pPr>
                    <w:pStyle w:val="Compact"/>
                  </w:pPr>
                </w:p>
              </w:tc>
            </w:tr>
          </w:tbl>
          <w:bookmarkEnd w:id="90"/>
          <w:p/>
        </w:tc>
      </w:tr>
    </w:tbl>
    <w:bookmarkEnd w:id="91"/>
    <w:bookmarkStart w:id="93" w:name="sec-augmentation"/>
    <w:p>
      <w:pPr>
        <w:pStyle w:val="Heading3"/>
      </w:pPr>
      <w:r>
        <w:t xml:space="preserve">5.3.4 What the augmentation changed</w:t>
      </w:r>
    </w:p>
    <w:p>
      <w:pPr>
        <w:pStyle w:val="FirstParagraph"/>
      </w:pPr>
      <w:r>
        <w:t xml:space="preserve">The 16 augmentation runs were added after the results of the planned runs were known, and every selected model is fitted to them. Their pCO2 settings rest on a probe whose calibration status the record does not give (PD-003-12).</w:t>
      </w:r>
    </w:p>
    <w:p>
      <w:pPr>
        <w:pStyle w:val="BodyText"/>
      </w:pPr>
      <w:r>
        <w:t xml:space="preserve">On the 28 planned runs alone, the selected models meet the model F-test, the lack-of-fit test and the limit on overfitting for every attribute. Their NOR-propagated PARs for acidic variants end at pH 6.93 for culture pH, start at 34.6 °C for culture temperature and end at 116 mmHg for pCO2, so none of the three contains the NOR. At the least favourable NOR combination the predicted median is 18.01 % and the lower prediction limit 15.48 %, and the design space covers 59.6 % of the region studied. With the plan’s full quadratic model on all 44 runs, the PAR of pCO2 ends at 122 mmHg, the design space covers 63.6 %, and high mannose exceeds the limit on overfitting. That every PAR contains the NOR, and that the design space covers 73.7 %, therefore rests on the augmentation runs and on the model selection together.</w:t>
      </w:r>
    </w:p>
    <w:p>
      <w:pPr>
        <w:pStyle w:val="BodyText"/>
      </w:pPr>
      <w:r>
        <w:t xml:space="preserve">A model selected on the same runs on which it is judged passes an optimistic check, and the augmentation runs are an independent one.</w:t>
      </w:r>
      <w:r>
        <w:t xml:space="preserve"> </w:t>
      </w:r>
      <w:hyperlink w:anchor="tbl-augcheck">
        <w:r>
          <w:rPr>
            <w:rStyle w:val="Hyperlink"/>
          </w:rPr>
          <w:t xml:space="preserve">Table 18</w:t>
        </w:r>
      </w:hyperlink>
      <w:r>
        <w:t xml:space="preserve"> </w:t>
      </w:r>
      <w:r>
        <w:t xml:space="preserve">shows how well the models selected on the planned runs predict the augmentation runs. The models of high mannose and aggregate predict them poorly, with a root mean square error of prediction 1.7 and 1.8 times their residual standard deviation. For aggregate only 11 of the 16 augmentation runs fall inside their 95 % prediction intervals, so the single-run intervals of aggregate understate the scatter between runs. That limits the verdict of aggregate over the NOR. The block term is not significant for any attribute (p ≥ 0.20), so a shift between the two blocks does not explain the misses.</w:t>
      </w:r>
    </w:p>
    <w:tbl>
      <w:tblPr>
        <w:tblStyle w:val="Table"/>
        <w:tblW w:type="pct" w:w="5000"/>
        <w:tblLayout w:type="fixed"/>
        <w:tblLook w:firstRow="0" w:lastRow="0" w:firstColumn="0" w:lastColumn="0" w:noHBand="0" w:noVBand="0" w:val="0000"/>
      </w:tblPr>
      <w:tblGrid>
        <w:gridCol w:w="7920"/>
      </w:tblGrid>
      <w:tr>
        <w:tc>
          <w:tcPr/>
          <w:bookmarkStart w:id="92" w:name="tbl-augcheck"/>
          <w:p>
            <w:pPr>
              <w:jc w:val="center"/>
            </w:pPr>
            <w:pPr>
              <w:jc w:val="start"/>
              <w:spacing w:before="200"/>
              <w:pStyle w:val="ImageCaption"/>
            </w:pPr>
            <w:r>
              <w:t xml:space="preserve">Table 18: Prediction of the augmentation runs by the models selected on the planned runs alone.</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Attribute</w:t>
                  </w:r>
                </w:p>
              </w:tc>
              <w:tc>
                <w:tcPr/>
                <w:p>
                  <w:pPr>
                    <w:pStyle w:val="Compact"/>
                    <w:jc w:val="center"/>
                  </w:pPr>
                  <w:r>
                    <w:t xml:space="preserve">Scale, planned</w:t>
                  </w:r>
                  <w:r>
                    <w:br/>
                  </w:r>
                  <w:r>
                    <w:t xml:space="preserve">runs to all runs</w:t>
                  </w:r>
                </w:p>
              </w:tc>
              <w:tc>
                <w:tcPr/>
                <w:p>
                  <w:pPr>
                    <w:pStyle w:val="Compact"/>
                    <w:jc w:val="center"/>
                  </w:pPr>
                  <w:r>
                    <w:t xml:space="preserve">Augmentation runs inside the</w:t>
                  </w:r>
                  <w:r>
                    <w:br/>
                  </w:r>
                  <w:r>
                    <w:t xml:space="preserve">95 % prediction interval</w:t>
                  </w:r>
                </w:p>
              </w:tc>
              <w:tc>
                <w:tcPr/>
                <w:p>
                  <w:pPr>
                    <w:pStyle w:val="Compact"/>
                    <w:jc w:val="center"/>
                  </w:pPr>
                  <w:r>
                    <w:t xml:space="preserve">RMSEP over</w:t>
                  </w:r>
                  <w:r>
                    <w:br/>
                  </w:r>
                  <w:r>
                    <w:t xml:space="preserve">residual SD</w:t>
                  </w:r>
                </w:p>
              </w:tc>
              <w:tc>
                <w:tcPr/>
                <w:p>
                  <w:pPr>
                    <w:pStyle w:val="Compact"/>
                    <w:jc w:val="center"/>
                  </w:pPr>
                  <w:r>
                    <w:t xml:space="preserve">Block</w:t>
                  </w:r>
                  <w:r>
                    <w:br/>
                  </w:r>
                  <w:r>
                    <w:t xml:space="preserve">p</w:t>
                  </w:r>
                </w:p>
              </w:tc>
            </w:tr>
            <w:tr>
              <w:tc>
                <w:tcPr/>
                <w:p>
                  <w:pPr>
                    <w:pStyle w:val="Compact"/>
                    <w:jc w:val="center"/>
                  </w:pPr>
                  <w:r>
                    <w:t xml:space="preserve">Afucosylation (%)</w:t>
                  </w:r>
                </w:p>
              </w:tc>
              <w:tc>
                <w:tcPr/>
                <w:p>
                  <w:pPr>
                    <w:pStyle w:val="Compact"/>
                    <w:jc w:val="center"/>
                  </w:pPr>
                  <w:r>
                    <w:t xml:space="preserve">log to raw</w:t>
                  </w:r>
                </w:p>
              </w:tc>
              <w:tc>
                <w:tcPr/>
                <w:p>
                  <w:pPr>
                    <w:pStyle w:val="Compact"/>
                    <w:jc w:val="center"/>
                  </w:pPr>
                  <w:r>
                    <w:t xml:space="preserve">14 of 16</w:t>
                  </w:r>
                </w:p>
              </w:tc>
              <w:tc>
                <w:tcPr/>
                <w:p>
                  <w:pPr>
                    <w:pStyle w:val="Compact"/>
                    <w:jc w:val="center"/>
                  </w:pPr>
                  <w:r>
                    <w:t xml:space="preserve">1.30</w:t>
                  </w:r>
                </w:p>
              </w:tc>
              <w:tc>
                <w:tcPr/>
                <w:p>
                  <w:pPr>
                    <w:pStyle w:val="Compact"/>
                    <w:jc w:val="center"/>
                  </w:pPr>
                  <w:r>
                    <w:t xml:space="preserve">0.201</w:t>
                  </w:r>
                </w:p>
              </w:tc>
            </w:tr>
            <w:tr>
              <w:tc>
                <w:tcPr/>
                <w:p>
                  <w:pPr>
                    <w:pStyle w:val="Compact"/>
                    <w:jc w:val="center"/>
                  </w:pPr>
                  <w:r>
                    <w:t xml:space="preserve">Galactosylation (%)</w:t>
                  </w:r>
                </w:p>
              </w:tc>
              <w:tc>
                <w:tcPr/>
                <w:p>
                  <w:pPr>
                    <w:pStyle w:val="Compact"/>
                    <w:jc w:val="center"/>
                  </w:pPr>
                  <w:r>
                    <w:t xml:space="preserve">raw to raw</w:t>
                  </w:r>
                </w:p>
              </w:tc>
              <w:tc>
                <w:tcPr/>
                <w:p>
                  <w:pPr>
                    <w:pStyle w:val="Compact"/>
                    <w:jc w:val="center"/>
                  </w:pPr>
                  <w:r>
                    <w:t xml:space="preserve">15 of 16</w:t>
                  </w:r>
                </w:p>
              </w:tc>
              <w:tc>
                <w:tcPr/>
                <w:p>
                  <w:pPr>
                    <w:pStyle w:val="Compact"/>
                    <w:jc w:val="center"/>
                  </w:pPr>
                  <w:r>
                    <w:t xml:space="preserve">1.11</w:t>
                  </w:r>
                </w:p>
              </w:tc>
              <w:tc>
                <w:tcPr/>
                <w:p>
                  <w:pPr>
                    <w:pStyle w:val="Compact"/>
                    <w:jc w:val="center"/>
                  </w:pPr>
                  <w:r>
                    <w:t xml:space="preserve">0.497</w:t>
                  </w:r>
                </w:p>
              </w:tc>
            </w:tr>
            <w:tr>
              <w:tc>
                <w:tcPr/>
                <w:p>
                  <w:pPr>
                    <w:pStyle w:val="Compact"/>
                    <w:jc w:val="center"/>
                  </w:pPr>
                  <w:r>
                    <w:t xml:space="preserve">High mannose (%)</w:t>
                  </w:r>
                </w:p>
              </w:tc>
              <w:tc>
                <w:tcPr/>
                <w:p>
                  <w:pPr>
                    <w:pStyle w:val="Compact"/>
                    <w:jc w:val="center"/>
                  </w:pPr>
                  <w:r>
                    <w:t xml:space="preserve">raw to log</w:t>
                  </w:r>
                </w:p>
              </w:tc>
              <w:tc>
                <w:tcPr/>
                <w:p>
                  <w:pPr>
                    <w:pStyle w:val="Compact"/>
                    <w:jc w:val="center"/>
                  </w:pPr>
                  <w:r>
                    <w:t xml:space="preserve">13 of 16</w:t>
                  </w:r>
                </w:p>
              </w:tc>
              <w:tc>
                <w:tcPr/>
                <w:p>
                  <w:pPr>
                    <w:pStyle w:val="Compact"/>
                    <w:jc w:val="center"/>
                  </w:pPr>
                  <w:r>
                    <w:t xml:space="preserve">1.70</w:t>
                  </w:r>
                </w:p>
              </w:tc>
              <w:tc>
                <w:tcPr/>
                <w:p>
                  <w:pPr>
                    <w:pStyle w:val="Compact"/>
                    <w:jc w:val="center"/>
                  </w:pPr>
                  <w:r>
                    <w:t xml:space="preserve">0.329</w:t>
                  </w:r>
                </w:p>
              </w:tc>
            </w:tr>
            <w:tr>
              <w:tc>
                <w:tcPr/>
                <w:p>
                  <w:pPr>
                    <w:pStyle w:val="Compact"/>
                    <w:jc w:val="center"/>
                  </w:pPr>
                  <w:r>
                    <w:t xml:space="preserve">Acidic variants (%)</w:t>
                  </w:r>
                </w:p>
              </w:tc>
              <w:tc>
                <w:tcPr/>
                <w:p>
                  <w:pPr>
                    <w:pStyle w:val="Compact"/>
                    <w:jc w:val="center"/>
                  </w:pPr>
                  <w:r>
                    <w:t xml:space="preserve">log to log</w:t>
                  </w:r>
                </w:p>
              </w:tc>
              <w:tc>
                <w:tcPr/>
                <w:p>
                  <w:pPr>
                    <w:pStyle w:val="Compact"/>
                    <w:jc w:val="center"/>
                  </w:pPr>
                  <w:r>
                    <w:t xml:space="preserve">16 of 16</w:t>
                  </w:r>
                </w:p>
              </w:tc>
              <w:tc>
                <w:tcPr/>
                <w:p>
                  <w:pPr>
                    <w:pStyle w:val="Compact"/>
                    <w:jc w:val="center"/>
                  </w:pPr>
                  <w:r>
                    <w:t xml:space="preserve">0.92</w:t>
                  </w:r>
                </w:p>
              </w:tc>
              <w:tc>
                <w:tcPr/>
                <w:p>
                  <w:pPr>
                    <w:pStyle w:val="Compact"/>
                    <w:jc w:val="center"/>
                  </w:pPr>
                  <w:r>
                    <w:t xml:space="preserve">0.294</w:t>
                  </w:r>
                </w:p>
              </w:tc>
            </w:tr>
            <w:tr>
              <w:tc>
                <w:tcPr/>
                <w:p>
                  <w:pPr>
                    <w:pStyle w:val="Compact"/>
                    <w:jc w:val="center"/>
                  </w:pPr>
                  <w:r>
                    <w:t xml:space="preserve">Aggregates, HMW (%)</w:t>
                  </w:r>
                </w:p>
              </w:tc>
              <w:tc>
                <w:tcPr/>
                <w:p>
                  <w:pPr>
                    <w:pStyle w:val="Compact"/>
                    <w:jc w:val="center"/>
                  </w:pPr>
                  <w:r>
                    <w:t xml:space="preserve">log to log</w:t>
                  </w:r>
                </w:p>
              </w:tc>
              <w:tc>
                <w:tcPr/>
                <w:p>
                  <w:pPr>
                    <w:pStyle w:val="Compact"/>
                    <w:jc w:val="center"/>
                  </w:pPr>
                  <w:r>
                    <w:t xml:space="preserve">11 of 16</w:t>
                  </w:r>
                </w:p>
              </w:tc>
              <w:tc>
                <w:tcPr/>
                <w:p>
                  <w:pPr>
                    <w:pStyle w:val="Compact"/>
                    <w:jc w:val="center"/>
                  </w:pPr>
                  <w:r>
                    <w:t xml:space="preserve">1.81</w:t>
                  </w:r>
                </w:p>
              </w:tc>
              <w:tc>
                <w:tcPr/>
                <w:p>
                  <w:pPr>
                    <w:pStyle w:val="Compact"/>
                    <w:jc w:val="center"/>
                  </w:pPr>
                  <w:r>
                    <w:t xml:space="preserve">0.382</w:t>
                  </w:r>
                </w:p>
              </w:tc>
            </w:tr>
            <w:tr>
              <w:tc>
                <w:tcPr>
                  <w:gridSpan w:val="5"/>
                </w:tcPr>
                <w:p>
                  <w:pPr>
                    <w:pStyle w:val="Compact"/>
                    <w:jc w:val="center"/>
                  </w:pPr>
                  <w:r>
                    <w:t xml:space="preserve">RMSEP, the root mean square error of the predictions of the augmentation runs, over the residual standard deviation of the same model on the planned runs, both on the scale of that model. Block p, the block term of the model selected on all runs.</w:t>
                  </w:r>
                </w:p>
              </w:tc>
            </w:tr>
          </w:tbl>
          <w:bookmarkEnd w:id="92"/>
          <w:p/>
        </w:tc>
      </w:tr>
    </w:tbl>
    <w:p>
      <w:pPr>
        <w:pStyle w:val="BodyText"/>
      </w:pPr>
      <w:r>
        <w:t xml:space="preserve">On all runs, the model of high mannose moves from the raw to the log scale, loses culture duration, pCO2, culture pH × culture duration and culture pH × pCO2, and gains culture pH × culture temperature. The model of aggregate loses culture temperature and culture temperature², and gains culture pH². The model of acidic variants gains culture duration, culture pH × culture duration, culture temperature × pCO2 and culture pH², and that of afucosylation moves from the log to the raw scale. Only the model of galactosylation is the same. The augmentation therefore changed what four of the five models say, and for high mannose the interactions that the planned runs suggested are not supported by all runs.</w:t>
      </w:r>
    </w:p>
    <w:bookmarkEnd w:id="93"/>
    <w:bookmarkStart w:id="94" w:name="sec-near"/>
    <w:p>
      <w:pPr>
        <w:pStyle w:val="Heading3"/>
      </w:pPr>
      <w:r>
        <w:t xml:space="preserve">5.3.5 Near-equivalent models</w:t>
      </w:r>
    </w:p>
    <w:p>
      <w:pPr>
        <w:pStyle w:val="FirstParagraph"/>
      </w:pPr>
      <w:r>
        <w:t xml:space="preserve">Besides the selected models, 15 models have an AICc within 2 units of the lowest, 2 for afucosylation, none for galactosylation, 2 for high mannose, 10 for acidic variants and 1 for aggregate. Each of them meets the model F-test, the lack-of-fit test and the limit on overfitting, gives every attribute the same verdict over the NOR as the selected model and leaves the scale-down model qualified. They differ from the selected model by one to four terms. For afucosylation some carry culture duration × pCO2 and pCO2², for high mannose pCO2 and culture pH × pCO2, and for aggregate pCO2 and pCO2². For acidic variants they share only culture pH, culture temperature, pCO2 and culture pH × culture temperature.</w:t>
      </w:r>
    </w:p>
    <w:bookmarkEnd w:id="94"/>
    <w:bookmarkEnd w:id="95"/>
    <w:bookmarkStart w:id="98" w:name="sec-univariate"/>
    <w:p>
      <w:pPr>
        <w:pStyle w:val="Heading2"/>
      </w:pPr>
      <w:r>
        <w:t xml:space="preserve">5.4 Univariate assessment</w:t>
      </w:r>
    </w:p>
    <w:p>
      <w:pPr>
        <w:pStyle w:val="FirstParagraph"/>
      </w:pPr>
      <w:hyperlink w:anchor="tbl-univariate">
        <w:r>
          <w:rPr>
            <w:rStyle w:val="Hyperlink"/>
          </w:rPr>
          <w:t xml:space="preserve">Table 19</w:t>
        </w:r>
      </w:hyperlink>
      <w:r>
        <w:t xml:space="preserve"> </w:t>
      </w:r>
      <w:r>
        <w:t xml:space="preserve">gives every result of the univariate study for the five attributes, and</w:t>
      </w:r>
      <w:r>
        <w:t xml:space="preserve"> </w:t>
      </w:r>
      <w:hyperlink w:anchor="tbl-uni-effects">
        <w:r>
          <w:rPr>
            <w:rStyle w:val="Hyperlink"/>
          </w:rPr>
          <w:t xml:space="preserve">Table 20</w:t>
        </w:r>
      </w:hyperlink>
      <w:r>
        <w:t xml:space="preserve"> </w:t>
      </w:r>
      <w:r>
        <w:t xml:space="preserve">the difference between the two ends of each range, both at manufacturing scale. Every result meets its criterion. The half-width of the 95 % confidence interval in</w:t>
      </w:r>
      <w:r>
        <w:t xml:space="preserve"> </w:t>
      </w:r>
      <w:hyperlink w:anchor="tbl-uni-effects">
        <w:r>
          <w:rPr>
            <w:rStyle w:val="Hyperlink"/>
          </w:rPr>
          <w:t xml:space="preserve">Table 20</w:t>
        </w:r>
      </w:hyperlink>
      <w:r>
        <w:t xml:space="preserve"> </w:t>
      </w:r>
      <w:r>
        <w:t xml:space="preserve">is the precision of each comparison. For galactosylation, for example, a difference of 3.1 points between the two ends of a range is detected about half the time, and a difference of 4.3 points with a probability of 80 %.</w:t>
      </w:r>
    </w:p>
    <w:p>
      <w:pPr>
        <w:pStyle w:val="BodyText"/>
      </w:pPr>
      <w:r>
        <w:t xml:space="preserve">Acidic variants are 3.51 points higher at the high end of the initial viable cell concentration than at the low end, with a 95 % confidence interval of ± 2.36 points (p = 0.009). It is the only significant result among the 28 univariate tests of</w:t>
      </w:r>
      <w:r>
        <w:t xml:space="preserve"> </w:t>
      </w:r>
      <w:hyperlink w:anchor="tbl-uni-effects">
        <w:r>
          <w:rPr>
            <w:rStyle w:val="Hyperlink"/>
          </w:rPr>
          <w:t xml:space="preserve">Table 20</w:t>
        </w:r>
      </w:hyperlink>
      <w:r>
        <w:t xml:space="preserve">. Each was made at the level that PCMP-001 §6.2 sets for a single test, at which about one test in twenty with no real effect gives a significant result, so about 1.4 such results are expected among them by chance. No correction for the number of tests is applied, because none was set before the result. No effect of dissolved oxygen, basal medium concentration or nutrient feed-1 volume was detected on any attribute, at the precision given in</w:t>
      </w:r>
      <w:r>
        <w:t xml:space="preserve"> </w:t>
      </w:r>
      <w:hyperlink w:anchor="tbl-uni-effects">
        <w:r>
          <w:rPr>
            <w:rStyle w:val="Hyperlink"/>
          </w:rPr>
          <w:t xml:space="preserve">Table 20</w:t>
        </w:r>
      </w:hyperlink>
      <w:r>
        <w:t xml:space="preserve">, and no effect of the initial viable cell concentration was detected on any other attribute.</w:t>
      </w:r>
    </w:p>
    <w:p>
      <w:pPr>
        <w:pStyle w:val="BodyText"/>
      </w:pPr>
      <w:r>
        <w:t xml:space="preserve">PCP-003 §6.4 carries a univariate parameter into a multivariate study when it shows an effect on a quality attribute that the mechanism given in PCP-003 §4.3 does not account for. That mechanism, restated in</w:t>
      </w:r>
      <w:r>
        <w:t xml:space="preserve"> </w:t>
      </w:r>
      <w:hyperlink w:anchor="sec-platform">
        <w:r>
          <w:rPr>
            <w:rStyle w:val="Hyperlink"/>
          </w:rPr>
          <w:t xml:space="preserve">Section 2.1</w:t>
        </w:r>
      </w:hyperlink>
      <w:r>
        <w:t xml:space="preserve">, expects the initial viable cell concentration to change the number of viable cells and the titre, and no quality attribute. One route to acidic variants would be the time the antibody spends in the culture fluid at culture temperature, since a culture that starts at a higher cell concentration makes its antibody earlier. That route does not account for the effect. Culture duration sets the time in the culture fluid most directly, and it has no detectable main effect on acidic variants, in the screening design (p = 0.956) or in the response-surface model (p = 0.583). The parameter should therefore have been carried into a multivariate study and the plan amended, and that was not done (PD-003-11).</w:t>
      </w:r>
    </w:p>
    <w:p>
      <w:pPr>
        <w:pStyle w:val="BodyText"/>
      </w:pPr>
      <w:r>
        <w:t xml:space="preserve">A straight line between the two ends of the range puts acidic variants 0.70 points lower at the NOR low of the initial viable cell concentration than at its set-point, with the other parameters at their set-points. The response-surface and osmolality studies ran at the set-point of this parameter, so the verdict over the NOR in</w:t>
      </w:r>
      <w:r>
        <w:t xml:space="preserve"> </w:t>
      </w:r>
      <w:hyperlink w:anchor="sec-criteria-results">
        <w:r>
          <w:rPr>
            <w:rStyle w:val="Hyperlink"/>
          </w:rPr>
          <w:t xml:space="preserve">Section 7.2</w:t>
        </w:r>
      </w:hyperlink>
      <w:r>
        <w:t xml:space="preserve"> </w:t>
      </w:r>
      <w:r>
        <w:t xml:space="preserve">does not include its effect. Added to the least favourable combination of the four response-surface parameters, on the assumption that the effect does not depend on them, it would move the predicted median from 18.39 % to 17.69 %, below the lower limit, and the lower prediction limit from 16.25 % to 15.55 %. The acceptance of the acidic-variant risk in</w:t>
      </w:r>
      <w:r>
        <w:t xml:space="preserve"> </w:t>
      </w:r>
      <w:hyperlink w:anchor="sec-criteria-results">
        <w:r>
          <w:rPr>
            <w:rStyle w:val="Hyperlink"/>
          </w:rPr>
          <w:t xml:space="preserve">Section 7.2</w:t>
        </w:r>
      </w:hyperlink>
      <w:r>
        <w:t xml:space="preserve"> </w:t>
      </w:r>
      <w:r>
        <w:t xml:space="preserve">covers this combination on the same grounds. Acidic variants at harvest are to be trended against the initial viable cell concentration of each production batch, so that a false positive is found out.</w:t>
      </w:r>
    </w:p>
    <w:tbl>
      <w:tblPr>
        <w:tblStyle w:val="Table"/>
        <w:tblW w:type="pct" w:w="5000"/>
        <w:tblLayout w:type="fixed"/>
        <w:tblLook w:firstRow="0" w:lastRow="0" w:firstColumn="0" w:lastColumn="0" w:noHBand="0" w:noVBand="0" w:val="0000"/>
      </w:tblPr>
      <w:tblGrid>
        <w:gridCol w:w="7920"/>
      </w:tblGrid>
      <w:tr>
        <w:tc>
          <w:tcPr/>
          <w:bookmarkStart w:id="96" w:name="tbl-univariate"/>
          <w:p>
            <w:pPr>
              <w:jc w:val="center"/>
            </w:pPr>
            <w:pPr>
              <w:jc w:val="start"/>
              <w:spacing w:before="200"/>
              <w:pStyle w:val="ImageCaption"/>
            </w:pPr>
            <w:r>
              <w:t xml:space="preserve">Table 19: Results of the univariate study S-BRX-UNI for the five modelled attributes, at manufacturing scale.</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Parameter</w:t>
                  </w:r>
                </w:p>
              </w:tc>
              <w:tc>
                <w:tcPr/>
                <w:p>
                  <w:pPr>
                    <w:pStyle w:val="Compact"/>
                    <w:jc w:val="center"/>
                  </w:pPr>
                  <w:r>
                    <w:t xml:space="preserve">End of range</w:t>
                  </w:r>
                </w:p>
              </w:tc>
              <w:tc>
                <w:tcPr/>
                <w:p>
                  <w:pPr>
                    <w:pStyle w:val="Compact"/>
                    <w:jc w:val="center"/>
                  </w:pPr>
                  <w:r>
                    <w:t xml:space="preserve">Run</w:t>
                  </w:r>
                </w:p>
              </w:tc>
              <w:tc>
                <w:tcPr/>
                <w:p>
                  <w:pPr>
                    <w:pStyle w:val="Compact"/>
                    <w:jc w:val="center"/>
                  </w:pPr>
                  <w:r>
                    <w:t xml:space="preserve">Afuc. (%)</w:t>
                  </w:r>
                </w:p>
              </w:tc>
              <w:tc>
                <w:tcPr/>
                <w:p>
                  <w:pPr>
                    <w:pStyle w:val="Compact"/>
                    <w:jc w:val="center"/>
                  </w:pPr>
                  <w:r>
                    <w:t xml:space="preserve">Gal. (%)</w:t>
                  </w:r>
                </w:p>
              </w:tc>
              <w:tc>
                <w:tcPr/>
                <w:p>
                  <w:pPr>
                    <w:pStyle w:val="Compact"/>
                    <w:jc w:val="center"/>
                  </w:pPr>
                  <w:r>
                    <w:t xml:space="preserve">High man. (%)</w:t>
                  </w:r>
                </w:p>
              </w:tc>
              <w:tc>
                <w:tcPr/>
                <w:p>
                  <w:pPr>
                    <w:pStyle w:val="Compact"/>
                    <w:jc w:val="center"/>
                  </w:pPr>
                  <w:r>
                    <w:t xml:space="preserve">Acidic (%)</w:t>
                  </w:r>
                </w:p>
              </w:tc>
              <w:tc>
                <w:tcPr/>
                <w:p>
                  <w:pPr>
                    <w:pStyle w:val="Compact"/>
                    <w:jc w:val="center"/>
                  </w:pPr>
                  <w:r>
                    <w:t xml:space="preserve">HMW (%)</w:t>
                  </w:r>
                </w:p>
              </w:tc>
            </w:tr>
            <w:tr>
              <w:tc>
                <w:tcPr>
                  <w:vMerge w:val="restart"/>
                </w:tcPr>
                <w:p>
                  <w:pPr>
                    <w:pStyle w:val="Compact"/>
                    <w:jc w:val="center"/>
                  </w:pPr>
                  <w:r>
                    <w:t xml:space="preserve">Dissolved oxygen (% air saturation)</w:t>
                  </w:r>
                </w:p>
              </w:tc>
              <w:tc>
                <w:tcPr>
                  <w:vMerge w:val="restart"/>
                </w:tcPr>
                <w:p>
                  <w:pPr>
                    <w:pStyle w:val="Compact"/>
                    <w:jc w:val="center"/>
                  </w:pPr>
                  <w:r>
                    <w:t xml:space="preserve">Low, 30</w:t>
                  </w:r>
                </w:p>
              </w:tc>
              <w:tc>
                <w:tcPr/>
                <w:p>
                  <w:pPr>
                    <w:pStyle w:val="Compact"/>
                    <w:jc w:val="center"/>
                  </w:pPr>
                  <w:r>
                    <w:t xml:space="preserve">1</w:t>
                  </w:r>
                </w:p>
              </w:tc>
              <w:tc>
                <w:tcPr/>
                <w:p>
                  <w:pPr>
                    <w:pStyle w:val="Compact"/>
                    <w:jc w:val="center"/>
                  </w:pPr>
                  <w:r>
                    <w:t xml:space="preserve">8.36</w:t>
                  </w:r>
                </w:p>
              </w:tc>
              <w:tc>
                <w:tcPr/>
                <w:p>
                  <w:pPr>
                    <w:pStyle w:val="Compact"/>
                    <w:jc w:val="center"/>
                  </w:pPr>
                  <w:r>
                    <w:t xml:space="preserve">26.9</w:t>
                  </w:r>
                </w:p>
              </w:tc>
              <w:tc>
                <w:tcPr/>
                <w:p>
                  <w:pPr>
                    <w:pStyle w:val="Compact"/>
                    <w:jc w:val="center"/>
                  </w:pPr>
                  <w:r>
                    <w:t xml:space="preserve">6.01</w:t>
                  </w:r>
                </w:p>
              </w:tc>
              <w:tc>
                <w:tcPr/>
                <w:p>
                  <w:pPr>
                    <w:pStyle w:val="Compact"/>
                    <w:jc w:val="center"/>
                  </w:pPr>
                  <w:r>
                    <w:t xml:space="preserve">21.3</w:t>
                  </w:r>
                </w:p>
              </w:tc>
              <w:tc>
                <w:tcPr/>
                <w:p>
                  <w:pPr>
                    <w:pStyle w:val="Compact"/>
                    <w:jc w:val="center"/>
                  </w:pPr>
                  <w:r>
                    <w:t xml:space="preserve">1.52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7.95</w:t>
                  </w:r>
                </w:p>
              </w:tc>
              <w:tc>
                <w:tcPr/>
                <w:p>
                  <w:pPr>
                    <w:pStyle w:val="Compact"/>
                    <w:jc w:val="center"/>
                  </w:pPr>
                  <w:r>
                    <w:t xml:space="preserve">28.6</w:t>
                  </w:r>
                </w:p>
              </w:tc>
              <w:tc>
                <w:tcPr/>
                <w:p>
                  <w:pPr>
                    <w:pStyle w:val="Compact"/>
                    <w:jc w:val="center"/>
                  </w:pPr>
                  <w:r>
                    <w:t xml:space="preserve">6.54</w:t>
                  </w:r>
                </w:p>
              </w:tc>
              <w:tc>
                <w:tcPr/>
                <w:p>
                  <w:pPr>
                    <w:pStyle w:val="Compact"/>
                    <w:jc w:val="center"/>
                  </w:pPr>
                  <w:r>
                    <w:t xml:space="preserve">22.9</w:t>
                  </w:r>
                </w:p>
              </w:tc>
              <w:tc>
                <w:tcPr/>
                <w:p>
                  <w:pPr>
                    <w:pStyle w:val="Compact"/>
                    <w:jc w:val="center"/>
                  </w:pPr>
                  <w:r>
                    <w:t xml:space="preserve">1.59</w:t>
                  </w:r>
                </w:p>
              </w:tc>
            </w:tr>
            <w:tr>
              <w:tc>
                <w:tcPr>
                  <w:gridSpan w:val="1"/>
                  <w:vMerge w:val="continue"/>
                </w:tcPr>
                <w:p>
                  <w:pPr/>
                </w:p>
              </w:tc>
              <w:tc>
                <w:tcPr>
                  <w:vMerge w:val="restart"/>
                </w:tcPr>
                <w:p>
                  <w:pPr>
                    <w:pStyle w:val="Compact"/>
                    <w:jc w:val="center"/>
                  </w:pPr>
                  <w:r>
                    <w:t xml:space="preserve">High, 70</w:t>
                  </w:r>
                </w:p>
              </w:tc>
              <w:tc>
                <w:tcPr/>
                <w:p>
                  <w:pPr>
                    <w:pStyle w:val="Compact"/>
                    <w:jc w:val="center"/>
                  </w:pPr>
                  <w:r>
                    <w:t xml:space="preserve">1</w:t>
                  </w:r>
                </w:p>
              </w:tc>
              <w:tc>
                <w:tcPr/>
                <w:p>
                  <w:pPr>
                    <w:pStyle w:val="Compact"/>
                    <w:jc w:val="center"/>
                  </w:pPr>
                  <w:r>
                    <w:t xml:space="preserve">8.64</w:t>
                  </w:r>
                </w:p>
              </w:tc>
              <w:tc>
                <w:tcPr/>
                <w:p>
                  <w:pPr>
                    <w:pStyle w:val="Compact"/>
                    <w:jc w:val="center"/>
                  </w:pPr>
                  <w:r>
                    <w:t xml:space="preserve">26.3</w:t>
                  </w:r>
                </w:p>
              </w:tc>
              <w:tc>
                <w:tcPr/>
                <w:p>
                  <w:pPr>
                    <w:pStyle w:val="Compact"/>
                    <w:jc w:val="center"/>
                  </w:pPr>
                  <w:r>
                    <w:t xml:space="preserve">6.62</w:t>
                  </w:r>
                </w:p>
              </w:tc>
              <w:tc>
                <w:tcPr/>
                <w:p>
                  <w:pPr>
                    <w:pStyle w:val="Compact"/>
                    <w:jc w:val="center"/>
                  </w:pPr>
                  <w:r>
                    <w:t xml:space="preserve">22.1</w:t>
                  </w:r>
                </w:p>
              </w:tc>
              <w:tc>
                <w:tcPr/>
                <w:p>
                  <w:pPr>
                    <w:pStyle w:val="Compact"/>
                    <w:jc w:val="center"/>
                  </w:pPr>
                  <w:r>
                    <w:t xml:space="preserve">1.72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8.73</w:t>
                  </w:r>
                </w:p>
              </w:tc>
              <w:tc>
                <w:tcPr/>
                <w:p>
                  <w:pPr>
                    <w:pStyle w:val="Compact"/>
                    <w:jc w:val="center"/>
                  </w:pPr>
                  <w:r>
                    <w:t xml:space="preserve">28.6</w:t>
                  </w:r>
                </w:p>
              </w:tc>
              <w:tc>
                <w:tcPr/>
                <w:p>
                  <w:pPr>
                    <w:pStyle w:val="Compact"/>
                    <w:jc w:val="center"/>
                  </w:pPr>
                  <w:r>
                    <w:t xml:space="preserve">6.95</w:t>
                  </w:r>
                </w:p>
              </w:tc>
              <w:tc>
                <w:tcPr/>
                <w:p>
                  <w:pPr>
                    <w:pStyle w:val="Compact"/>
                    <w:jc w:val="center"/>
                  </w:pPr>
                  <w:r>
                    <w:t xml:space="preserve">23.7</w:t>
                  </w:r>
                </w:p>
              </w:tc>
              <w:tc>
                <w:tcPr/>
                <w:p>
                  <w:pPr>
                    <w:pStyle w:val="Compact"/>
                    <w:jc w:val="center"/>
                  </w:pPr>
                  <w:r>
                    <w:t xml:space="preserve">1.56</w:t>
                  </w:r>
                </w:p>
              </w:tc>
            </w:tr>
            <w:tr>
              <w:tc>
                <w:tcPr>
                  <w:vMerge w:val="restart"/>
                </w:tcPr>
                <w:p>
                  <w:pPr>
                    <w:pStyle w:val="Compact"/>
                    <w:jc w:val="center"/>
                  </w:pPr>
                  <w:r>
                    <w:t xml:space="preserve">Initial viable cell conc. (10⁶ cells/mL)</w:t>
                  </w:r>
                </w:p>
              </w:tc>
              <w:tc>
                <w:tcPr>
                  <w:vMerge w:val="restart"/>
                </w:tcPr>
                <w:p>
                  <w:pPr>
                    <w:pStyle w:val="Compact"/>
                    <w:jc w:val="center"/>
                  </w:pPr>
                  <w:r>
                    <w:t xml:space="preserve">Low, 0.5</w:t>
                  </w:r>
                </w:p>
              </w:tc>
              <w:tc>
                <w:tcPr/>
                <w:p>
                  <w:pPr>
                    <w:pStyle w:val="Compact"/>
                    <w:jc w:val="center"/>
                  </w:pPr>
                  <w:r>
                    <w:t xml:space="preserve">1</w:t>
                  </w:r>
                </w:p>
              </w:tc>
              <w:tc>
                <w:tcPr/>
                <w:p>
                  <w:pPr>
                    <w:pStyle w:val="Compact"/>
                    <w:jc w:val="center"/>
                  </w:pPr>
                  <w:r>
                    <w:t xml:space="preserve">9.03</w:t>
                  </w:r>
                </w:p>
              </w:tc>
              <w:tc>
                <w:tcPr/>
                <w:p>
                  <w:pPr>
                    <w:pStyle w:val="Compact"/>
                    <w:jc w:val="center"/>
                  </w:pPr>
                  <w:r>
                    <w:t xml:space="preserve">26.8</w:t>
                  </w:r>
                </w:p>
              </w:tc>
              <w:tc>
                <w:tcPr/>
                <w:p>
                  <w:pPr>
                    <w:pStyle w:val="Compact"/>
                    <w:jc w:val="center"/>
                  </w:pPr>
                  <w:r>
                    <w:t xml:space="preserve">6.72</w:t>
                  </w:r>
                </w:p>
              </w:tc>
              <w:tc>
                <w:tcPr/>
                <w:p>
                  <w:pPr>
                    <w:pStyle w:val="Compact"/>
                    <w:jc w:val="center"/>
                  </w:pPr>
                  <w:r>
                    <w:t xml:space="preserve">20.1</w:t>
                  </w:r>
                </w:p>
              </w:tc>
              <w:tc>
                <w:tcPr/>
                <w:p>
                  <w:pPr>
                    <w:pStyle w:val="Compact"/>
                    <w:jc w:val="center"/>
                  </w:pPr>
                  <w:r>
                    <w:t xml:space="preserve">1.51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8.48</w:t>
                  </w:r>
                </w:p>
              </w:tc>
              <w:tc>
                <w:tcPr/>
                <w:p>
                  <w:pPr>
                    <w:pStyle w:val="Compact"/>
                    <w:jc w:val="center"/>
                  </w:pPr>
                  <w:r>
                    <w:t xml:space="preserve">24.7</w:t>
                  </w:r>
                </w:p>
              </w:tc>
              <w:tc>
                <w:tcPr/>
                <w:p>
                  <w:pPr>
                    <w:pStyle w:val="Compact"/>
                    <w:jc w:val="center"/>
                  </w:pPr>
                  <w:r>
                    <w:t xml:space="preserve">6.57</w:t>
                  </w:r>
                </w:p>
              </w:tc>
              <w:tc>
                <w:tcPr/>
                <w:p>
                  <w:pPr>
                    <w:pStyle w:val="Compact"/>
                    <w:jc w:val="center"/>
                  </w:pPr>
                  <w:r>
                    <w:t xml:space="preserve">21.3</w:t>
                  </w:r>
                </w:p>
              </w:tc>
              <w:tc>
                <w:tcPr/>
                <w:p>
                  <w:pPr>
                    <w:pStyle w:val="Compact"/>
                    <w:jc w:val="center"/>
                  </w:pPr>
                  <w:r>
                    <w:t xml:space="preserve">1.89</w:t>
                  </w:r>
                </w:p>
              </w:tc>
            </w:tr>
            <w:tr>
              <w:tc>
                <w:tcPr>
                  <w:gridSpan w:val="1"/>
                  <w:vMerge w:val="continue"/>
                </w:tcPr>
                <w:p>
                  <w:pPr/>
                </w:p>
              </w:tc>
              <w:tc>
                <w:tcPr>
                  <w:vMerge w:val="restart"/>
                </w:tcPr>
                <w:p>
                  <w:pPr>
                    <w:pStyle w:val="Compact"/>
                    <w:jc w:val="center"/>
                  </w:pPr>
                  <w:r>
                    <w:t xml:space="preserve">High, 1.5</w:t>
                  </w:r>
                </w:p>
              </w:tc>
              <w:tc>
                <w:tcPr/>
                <w:p>
                  <w:pPr>
                    <w:pStyle w:val="Compact"/>
                    <w:jc w:val="center"/>
                  </w:pPr>
                  <w:r>
                    <w:t xml:space="preserve">1</w:t>
                  </w:r>
                </w:p>
              </w:tc>
              <w:tc>
                <w:tcPr/>
                <w:p>
                  <w:pPr>
                    <w:pStyle w:val="Compact"/>
                    <w:jc w:val="center"/>
                  </w:pPr>
                  <w:r>
                    <w:t xml:space="preserve">8.61</w:t>
                  </w:r>
                </w:p>
              </w:tc>
              <w:tc>
                <w:tcPr/>
                <w:p>
                  <w:pPr>
                    <w:pStyle w:val="Compact"/>
                    <w:jc w:val="center"/>
                  </w:pPr>
                  <w:r>
                    <w:t xml:space="preserve">27.6</w:t>
                  </w:r>
                </w:p>
              </w:tc>
              <w:tc>
                <w:tcPr/>
                <w:p>
                  <w:pPr>
                    <w:pStyle w:val="Compact"/>
                    <w:jc w:val="center"/>
                  </w:pPr>
                  <w:r>
                    <w:t xml:space="preserve">6.99</w:t>
                  </w:r>
                </w:p>
              </w:tc>
              <w:tc>
                <w:tcPr/>
                <w:p>
                  <w:pPr>
                    <w:pStyle w:val="Compact"/>
                    <w:jc w:val="center"/>
                  </w:pPr>
                  <w:r>
                    <w:t xml:space="preserve">24.2</w:t>
                  </w:r>
                </w:p>
              </w:tc>
              <w:tc>
                <w:tcPr/>
                <w:p>
                  <w:pPr>
                    <w:pStyle w:val="Compact"/>
                    <w:jc w:val="center"/>
                  </w:pPr>
                  <w:r>
                    <w:t xml:space="preserve">1.72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8.52</w:t>
                  </w:r>
                </w:p>
              </w:tc>
              <w:tc>
                <w:tcPr/>
                <w:p>
                  <w:pPr>
                    <w:pStyle w:val="Compact"/>
                    <w:jc w:val="center"/>
                  </w:pPr>
                  <w:r>
                    <w:t xml:space="preserve">25.6</w:t>
                  </w:r>
                </w:p>
              </w:tc>
              <w:tc>
                <w:tcPr/>
                <w:p>
                  <w:pPr>
                    <w:pStyle w:val="Compact"/>
                    <w:jc w:val="center"/>
                  </w:pPr>
                  <w:r>
                    <w:t xml:space="preserve">7.44</w:t>
                  </w:r>
                </w:p>
              </w:tc>
              <w:tc>
                <w:tcPr/>
                <w:p>
                  <w:pPr>
                    <w:pStyle w:val="Compact"/>
                    <w:jc w:val="center"/>
                  </w:pPr>
                  <w:r>
                    <w:t xml:space="preserve">24.3</w:t>
                  </w:r>
                </w:p>
              </w:tc>
              <w:tc>
                <w:tcPr/>
                <w:p>
                  <w:pPr>
                    <w:pStyle w:val="Compact"/>
                    <w:jc w:val="center"/>
                  </w:pPr>
                  <w:r>
                    <w:t xml:space="preserve">1.49</w:t>
                  </w:r>
                </w:p>
              </w:tc>
            </w:tr>
            <w:tr>
              <w:tc>
                <w:tcPr>
                  <w:vMerge w:val="restart"/>
                </w:tcPr>
                <w:p>
                  <w:pPr>
                    <w:pStyle w:val="Compact"/>
                    <w:jc w:val="center"/>
                  </w:pPr>
                  <w:r>
                    <w:t xml:space="preserve">Basal medium concentration (× standard)</w:t>
                  </w:r>
                </w:p>
              </w:tc>
              <w:tc>
                <w:tcPr>
                  <w:vMerge w:val="restart"/>
                </w:tcPr>
                <w:p>
                  <w:pPr>
                    <w:pStyle w:val="Compact"/>
                    <w:jc w:val="center"/>
                  </w:pPr>
                  <w:r>
                    <w:t xml:space="preserve">Low, 0.8</w:t>
                  </w:r>
                </w:p>
              </w:tc>
              <w:tc>
                <w:tcPr/>
                <w:p>
                  <w:pPr>
                    <w:pStyle w:val="Compact"/>
                    <w:jc w:val="center"/>
                  </w:pPr>
                  <w:r>
                    <w:t xml:space="preserve">1</w:t>
                  </w:r>
                </w:p>
              </w:tc>
              <w:tc>
                <w:tcPr/>
                <w:p>
                  <w:pPr>
                    <w:pStyle w:val="Compact"/>
                    <w:jc w:val="center"/>
                  </w:pPr>
                  <w:r>
                    <w:t xml:space="preserve">8.32</w:t>
                  </w:r>
                </w:p>
              </w:tc>
              <w:tc>
                <w:tcPr/>
                <w:p>
                  <w:pPr>
                    <w:pStyle w:val="Compact"/>
                    <w:jc w:val="center"/>
                  </w:pPr>
                  <w:r>
                    <w:t xml:space="preserve">27.2</w:t>
                  </w:r>
                </w:p>
              </w:tc>
              <w:tc>
                <w:tcPr/>
                <w:p>
                  <w:pPr>
                    <w:pStyle w:val="Compact"/>
                    <w:jc w:val="center"/>
                  </w:pPr>
                  <w:r>
                    <w:t xml:space="preserve">6.56</w:t>
                  </w:r>
                </w:p>
              </w:tc>
              <w:tc>
                <w:tcPr/>
                <w:p>
                  <w:pPr>
                    <w:pStyle w:val="Compact"/>
                    <w:jc w:val="center"/>
                  </w:pPr>
                  <w:r>
                    <w:t xml:space="preserve">24.0</w:t>
                  </w:r>
                </w:p>
              </w:tc>
              <w:tc>
                <w:tcPr/>
                <w:p>
                  <w:pPr>
                    <w:pStyle w:val="Compact"/>
                    <w:jc w:val="center"/>
                  </w:pPr>
                  <w:r>
                    <w:t xml:space="preserve">1.83</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7.54</w:t>
                  </w:r>
                </w:p>
              </w:tc>
              <w:tc>
                <w:tcPr/>
                <w:p>
                  <w:pPr>
                    <w:pStyle w:val="Compact"/>
                    <w:jc w:val="center"/>
                  </w:pPr>
                  <w:r>
                    <w:t xml:space="preserve">27.2</w:t>
                  </w:r>
                </w:p>
              </w:tc>
              <w:tc>
                <w:tcPr/>
                <w:p>
                  <w:pPr>
                    <w:pStyle w:val="Compact"/>
                    <w:jc w:val="center"/>
                  </w:pPr>
                  <w:r>
                    <w:t xml:space="preserve">6.72</w:t>
                  </w:r>
                </w:p>
              </w:tc>
              <w:tc>
                <w:tcPr/>
                <w:p>
                  <w:pPr>
                    <w:pStyle w:val="Compact"/>
                    <w:jc w:val="center"/>
                  </w:pPr>
                  <w:r>
                    <w:t xml:space="preserve">22.4</w:t>
                  </w:r>
                </w:p>
              </w:tc>
              <w:tc>
                <w:tcPr/>
                <w:p>
                  <w:pPr>
                    <w:pStyle w:val="Compact"/>
                    <w:jc w:val="center"/>
                  </w:pPr>
                  <w:r>
                    <w:t xml:space="preserve">1.70</w:t>
                  </w:r>
                </w:p>
              </w:tc>
            </w:tr>
            <w:tr>
              <w:tc>
                <w:tcPr>
                  <w:gridSpan w:val="1"/>
                  <w:vMerge w:val="continue"/>
                </w:tcPr>
                <w:p>
                  <w:pPr/>
                </w:p>
              </w:tc>
              <w:tc>
                <w:tcPr>
                  <w:vMerge w:val="restart"/>
                </w:tcPr>
                <w:p>
                  <w:pPr>
                    <w:pStyle w:val="Compact"/>
                    <w:jc w:val="center"/>
                  </w:pPr>
                  <w:r>
                    <w:t xml:space="preserve">High, 1.6</w:t>
                  </w:r>
                </w:p>
              </w:tc>
              <w:tc>
                <w:tcPr/>
                <w:p>
                  <w:pPr>
                    <w:pStyle w:val="Compact"/>
                    <w:jc w:val="center"/>
                  </w:pPr>
                  <w:r>
                    <w:t xml:space="preserve">1</w:t>
                  </w:r>
                </w:p>
              </w:tc>
              <w:tc>
                <w:tcPr/>
                <w:p>
                  <w:pPr>
                    <w:pStyle w:val="Compact"/>
                    <w:jc w:val="center"/>
                  </w:pPr>
                  <w:r>
                    <w:t xml:space="preserve">8.92</w:t>
                  </w:r>
                </w:p>
              </w:tc>
              <w:tc>
                <w:tcPr/>
                <w:p>
                  <w:pPr>
                    <w:pStyle w:val="Compact"/>
                    <w:jc w:val="center"/>
                  </w:pPr>
                  <w:r>
                    <w:t xml:space="preserve">23.1</w:t>
                  </w:r>
                </w:p>
              </w:tc>
              <w:tc>
                <w:tcPr/>
                <w:p>
                  <w:pPr>
                    <w:pStyle w:val="Compact"/>
                    <w:jc w:val="center"/>
                  </w:pPr>
                  <w:r>
                    <w:t xml:space="preserve">6.69</w:t>
                  </w:r>
                </w:p>
              </w:tc>
              <w:tc>
                <w:tcPr/>
                <w:p>
                  <w:pPr>
                    <w:pStyle w:val="Compact"/>
                    <w:jc w:val="center"/>
                  </w:pPr>
                  <w:r>
                    <w:t xml:space="preserve">21.1</w:t>
                  </w:r>
                </w:p>
              </w:tc>
              <w:tc>
                <w:tcPr/>
                <w:p>
                  <w:pPr>
                    <w:pStyle w:val="Compact"/>
                    <w:jc w:val="center"/>
                  </w:pPr>
                  <w:r>
                    <w:t xml:space="preserve">1.51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8.34</w:t>
                  </w:r>
                </w:p>
              </w:tc>
              <w:tc>
                <w:tcPr/>
                <w:p>
                  <w:pPr>
                    <w:pStyle w:val="Compact"/>
                    <w:jc w:val="center"/>
                  </w:pPr>
                  <w:r>
                    <w:t xml:space="preserve">25.8</w:t>
                  </w:r>
                </w:p>
              </w:tc>
              <w:tc>
                <w:tcPr/>
                <w:p>
                  <w:pPr>
                    <w:pStyle w:val="Compact"/>
                    <w:jc w:val="center"/>
                  </w:pPr>
                  <w:r>
                    <w:t xml:space="preserve">6.15</w:t>
                  </w:r>
                </w:p>
              </w:tc>
              <w:tc>
                <w:tcPr/>
                <w:p>
                  <w:pPr>
                    <w:pStyle w:val="Compact"/>
                    <w:jc w:val="center"/>
                  </w:pPr>
                  <w:r>
                    <w:t xml:space="preserve">22.8</w:t>
                  </w:r>
                </w:p>
              </w:tc>
              <w:tc>
                <w:tcPr/>
                <w:p>
                  <w:pPr>
                    <w:pStyle w:val="Compact"/>
                    <w:jc w:val="center"/>
                  </w:pPr>
                  <w:r>
                    <w:t xml:space="preserve">1.70</w:t>
                  </w:r>
                </w:p>
              </w:tc>
            </w:tr>
            <w:tr>
              <w:tc>
                <w:tcPr>
                  <w:vMerge w:val="restart"/>
                </w:tcPr>
                <w:p>
                  <w:pPr>
                    <w:pStyle w:val="Compact"/>
                    <w:jc w:val="center"/>
                  </w:pPr>
                  <w:r>
                    <w:t xml:space="preserve">Nutrient feed-1 volume (% of working volume)</w:t>
                  </w:r>
                </w:p>
              </w:tc>
              <w:tc>
                <w:tcPr>
                  <w:vMerge w:val="restart"/>
                </w:tcPr>
                <w:p>
                  <w:pPr>
                    <w:pStyle w:val="Compact"/>
                    <w:jc w:val="center"/>
                  </w:pPr>
                  <w:r>
                    <w:t xml:space="preserve">Low, 9</w:t>
                  </w:r>
                </w:p>
              </w:tc>
              <w:tc>
                <w:tcPr/>
                <w:p>
                  <w:pPr>
                    <w:pStyle w:val="Compact"/>
                    <w:jc w:val="center"/>
                  </w:pPr>
                  <w:r>
                    <w:t xml:space="preserve">1</w:t>
                  </w:r>
                </w:p>
              </w:tc>
              <w:tc>
                <w:tcPr/>
                <w:p>
                  <w:pPr>
                    <w:pStyle w:val="Compact"/>
                    <w:jc w:val="center"/>
                  </w:pPr>
                  <w:r>
                    <w:t xml:space="preserve">8.40</w:t>
                  </w:r>
                </w:p>
              </w:tc>
              <w:tc>
                <w:tcPr/>
                <w:p>
                  <w:pPr>
                    <w:pStyle w:val="Compact"/>
                    <w:jc w:val="center"/>
                  </w:pPr>
                  <w:r>
                    <w:t xml:space="preserve">25.0</w:t>
                  </w:r>
                </w:p>
              </w:tc>
              <w:tc>
                <w:tcPr/>
                <w:p>
                  <w:pPr>
                    <w:pStyle w:val="Compact"/>
                    <w:jc w:val="center"/>
                  </w:pPr>
                  <w:r>
                    <w:t xml:space="preserve">6.38</w:t>
                  </w:r>
                </w:p>
              </w:tc>
              <w:tc>
                <w:tcPr/>
                <w:p>
                  <w:pPr>
                    <w:pStyle w:val="Compact"/>
                    <w:jc w:val="center"/>
                  </w:pPr>
                  <w:r>
                    <w:t xml:space="preserve">21.0</w:t>
                  </w:r>
                </w:p>
              </w:tc>
              <w:tc>
                <w:tcPr/>
                <w:p>
                  <w:pPr>
                    <w:pStyle w:val="Compact"/>
                    <w:jc w:val="center"/>
                  </w:pPr>
                  <w:r>
                    <w:t xml:space="preserve">1.61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7.56</w:t>
                  </w:r>
                </w:p>
              </w:tc>
              <w:tc>
                <w:tcPr/>
                <w:p>
                  <w:pPr>
                    <w:pStyle w:val="Compact"/>
                    <w:jc w:val="center"/>
                  </w:pPr>
                  <w:r>
                    <w:t xml:space="preserve">26.7</w:t>
                  </w:r>
                </w:p>
              </w:tc>
              <w:tc>
                <w:tcPr/>
                <w:p>
                  <w:pPr>
                    <w:pStyle w:val="Compact"/>
                    <w:jc w:val="center"/>
                  </w:pPr>
                  <w:r>
                    <w:t xml:space="preserve">6.69</w:t>
                  </w:r>
                </w:p>
              </w:tc>
              <w:tc>
                <w:tcPr/>
                <w:p>
                  <w:pPr>
                    <w:pStyle w:val="Compact"/>
                    <w:jc w:val="center"/>
                  </w:pPr>
                  <w:r>
                    <w:t xml:space="preserve">23.2</w:t>
                  </w:r>
                </w:p>
              </w:tc>
              <w:tc>
                <w:tcPr/>
                <w:p>
                  <w:pPr>
                    <w:pStyle w:val="Compact"/>
                    <w:jc w:val="center"/>
                  </w:pPr>
                  <w:r>
                    <w:t xml:space="preserve">1.59</w:t>
                  </w:r>
                </w:p>
              </w:tc>
            </w:tr>
            <w:tr>
              <w:tc>
                <w:tcPr>
                  <w:gridSpan w:val="1"/>
                  <w:vMerge w:val="continue"/>
                </w:tcPr>
                <w:p>
                  <w:pPr/>
                </w:p>
              </w:tc>
              <w:tc>
                <w:tcPr>
                  <w:vMerge w:val="restart"/>
                </w:tcPr>
                <w:p>
                  <w:pPr>
                    <w:pStyle w:val="Compact"/>
                    <w:jc w:val="center"/>
                  </w:pPr>
                  <w:r>
                    <w:t xml:space="preserve">High, 15</w:t>
                  </w:r>
                </w:p>
              </w:tc>
              <w:tc>
                <w:tcPr/>
                <w:p>
                  <w:pPr>
                    <w:pStyle w:val="Compact"/>
                    <w:jc w:val="center"/>
                  </w:pPr>
                  <w:r>
                    <w:t xml:space="preserve">1</w:t>
                  </w:r>
                </w:p>
              </w:tc>
              <w:tc>
                <w:tcPr/>
                <w:p>
                  <w:pPr>
                    <w:pStyle w:val="Compact"/>
                    <w:jc w:val="center"/>
                  </w:pPr>
                  <w:r>
                    <w:t xml:space="preserve">7.43</w:t>
                  </w:r>
                </w:p>
              </w:tc>
              <w:tc>
                <w:tcPr/>
                <w:p>
                  <w:pPr>
                    <w:pStyle w:val="Compact"/>
                    <w:jc w:val="center"/>
                  </w:pPr>
                  <w:r>
                    <w:t xml:space="preserve">27.1</w:t>
                  </w:r>
                </w:p>
              </w:tc>
              <w:tc>
                <w:tcPr/>
                <w:p>
                  <w:pPr>
                    <w:pStyle w:val="Compact"/>
                    <w:jc w:val="center"/>
                  </w:pPr>
                  <w:r>
                    <w:t xml:space="preserve">6.43</w:t>
                  </w:r>
                </w:p>
              </w:tc>
              <w:tc>
                <w:tcPr/>
                <w:p>
                  <w:pPr>
                    <w:pStyle w:val="Compact"/>
                    <w:jc w:val="center"/>
                  </w:pPr>
                  <w:r>
                    <w:t xml:space="preserve">22.9</w:t>
                  </w:r>
                </w:p>
              </w:tc>
              <w:tc>
                <w:tcPr/>
                <w:p>
                  <w:pPr>
                    <w:pStyle w:val="Compact"/>
                    <w:jc w:val="center"/>
                  </w:pPr>
                  <w:r>
                    <w:t xml:space="preserve">1.71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8.24</w:t>
                  </w:r>
                </w:p>
              </w:tc>
              <w:tc>
                <w:tcPr/>
                <w:p>
                  <w:pPr>
                    <w:pStyle w:val="Compact"/>
                    <w:jc w:val="center"/>
                  </w:pPr>
                  <w:r>
                    <w:t xml:space="preserve">25.6</w:t>
                  </w:r>
                </w:p>
              </w:tc>
              <w:tc>
                <w:tcPr/>
                <w:p>
                  <w:pPr>
                    <w:pStyle w:val="Compact"/>
                    <w:jc w:val="center"/>
                  </w:pPr>
                  <w:r>
                    <w:t xml:space="preserve">5.96</w:t>
                  </w:r>
                </w:p>
              </w:tc>
              <w:tc>
                <w:tcPr/>
                <w:p>
                  <w:pPr>
                    <w:pStyle w:val="Compact"/>
                    <w:jc w:val="center"/>
                  </w:pPr>
                  <w:r>
                    <w:t xml:space="preserve">22.9</w:t>
                  </w:r>
                </w:p>
              </w:tc>
              <w:tc>
                <w:tcPr/>
                <w:p>
                  <w:pPr>
                    <w:pStyle w:val="Compact"/>
                    <w:jc w:val="center"/>
                  </w:pPr>
                  <w:r>
                    <w:t xml:space="preserve">1.82</w:t>
                  </w:r>
                </w:p>
              </w:tc>
            </w:tr>
            <w:tr>
              <w:tc>
                <w:tcPr>
                  <w:gridSpan w:val="8"/>
                </w:tcPr>
                <w:p>
                  <w:pPr>
                    <w:pStyle w:val="Compact"/>
                    <w:jc w:val="center"/>
                  </w:pPr>
                  <w:r>
                    <w:t xml:space="preserve">Afuc., afucosylation. Gal., galactosylation. High man., high mannose. Acidic, acidic variants. HMW, aggregate. The criteria of the step are afucosylation 2–13 %, galactosylation 10–40 %, high mannose 3–10 %, acidic variants 18–39 % and aggregate ≤ 6.46 %.</w:t>
                  </w:r>
                </w:p>
              </w:tc>
            </w:tr>
          </w:tbl>
          <w:bookmarkEnd w:id="9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7" w:name="tbl-uni-effects"/>
          <w:p>
            <w:pPr>
              <w:jc w:val="center"/>
            </w:pPr>
            <w:pPr>
              <w:jc w:val="start"/>
              <w:spacing w:before="200"/>
              <w:pStyle w:val="ImageCaption"/>
            </w:pPr>
            <w:r>
              <w:t xml:space="preserve">Table 20: Difference between the high and the low end of each univariate parameter. The five modelled attributes at manufacturing scale, host cell protein and DNA in the clarified harvest as measured.</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Attribute</w:t>
                  </w:r>
                </w:p>
              </w:tc>
              <w:tc>
                <w:tcPr/>
                <w:p>
                  <w:pPr>
                    <w:pStyle w:val="Compact"/>
                    <w:jc w:val="center"/>
                  </w:pPr>
                  <w:r>
                    <w:t xml:space="preserve">Mean,</w:t>
                  </w:r>
                  <w:r>
                    <w:br/>
                  </w:r>
                  <w:r>
                    <w:t xml:space="preserve">low end</w:t>
                  </w:r>
                </w:p>
              </w:tc>
              <w:tc>
                <w:tcPr/>
                <w:p>
                  <w:pPr>
                    <w:pStyle w:val="Compact"/>
                    <w:jc w:val="center"/>
                  </w:pPr>
                  <w:r>
                    <w:t xml:space="preserve">Mean,</w:t>
                  </w:r>
                  <w:r>
                    <w:br/>
                  </w:r>
                  <w:r>
                    <w:t xml:space="preserve">high end</w:t>
                  </w:r>
                </w:p>
              </w:tc>
              <w:tc>
                <w:tcPr/>
                <w:p>
                  <w:pPr>
                    <w:pStyle w:val="Compact"/>
                    <w:jc w:val="center"/>
                  </w:pPr>
                  <w:r>
                    <w:t xml:space="preserve">High</w:t>
                  </w:r>
                  <w:r>
                    <w:br/>
                  </w:r>
                  <w:r>
                    <w:t xml:space="preserve">minus low</w:t>
                  </w:r>
                </w:p>
              </w:tc>
              <w:tc>
                <w:tcPr/>
                <w:p>
                  <w:pPr>
                    <w:pStyle w:val="Compact"/>
                    <w:jc w:val="center"/>
                  </w:pPr>
                  <w:r>
                    <w:t xml:space="preserve">95 % CI</w:t>
                  </w:r>
                  <w:r>
                    <w:br/>
                  </w:r>
                  <w:r>
                    <w:t xml:space="preserve">half-width</w:t>
                  </w:r>
                </w:p>
              </w:tc>
              <w:tc>
                <w:tcPr/>
                <w:p>
                  <w:pPr>
                    <w:pStyle w:val="Compact"/>
                    <w:jc w:val="center"/>
                  </w:pPr>
                  <w:r>
                    <w:t xml:space="preserve">p-value</w:t>
                  </w:r>
                </w:p>
              </w:tc>
            </w:tr>
            <w:tr>
              <w:tc>
                <w:tcPr>
                  <w:vMerge w:val="restart"/>
                </w:tcPr>
                <w:p>
                  <w:pPr>
                    <w:pStyle w:val="Compact"/>
                    <w:jc w:val="center"/>
                  </w:pPr>
                  <w:r>
                    <w:t xml:space="preserve">Dissolved oxygen</w:t>
                  </w:r>
                </w:p>
              </w:tc>
              <w:tc>
                <w:tcPr/>
                <w:p>
                  <w:pPr>
                    <w:pStyle w:val="Compact"/>
                    <w:jc w:val="center"/>
                  </w:pPr>
                  <w:r>
                    <w:t xml:space="preserve">Afucosylation (%)</w:t>
                  </w:r>
                </w:p>
              </w:tc>
              <w:tc>
                <w:tcPr/>
                <w:p>
                  <w:pPr>
                    <w:pStyle w:val="Compact"/>
                    <w:jc w:val="center"/>
                  </w:pPr>
                  <w:r>
                    <w:t xml:space="preserve">8.16</w:t>
                  </w:r>
                </w:p>
              </w:tc>
              <w:tc>
                <w:tcPr/>
                <w:p>
                  <w:pPr>
                    <w:pStyle w:val="Compact"/>
                    <w:jc w:val="center"/>
                  </w:pPr>
                  <w:r>
                    <w:t xml:space="preserve">8.68</w:t>
                  </w:r>
                </w:p>
              </w:tc>
              <w:tc>
                <w:tcPr/>
                <w:p>
                  <w:pPr>
                    <w:pStyle w:val="Compact"/>
                    <w:jc w:val="center"/>
                  </w:pPr>
                  <w:r>
                    <w:t xml:space="preserve">0.53</w:t>
                  </w:r>
                </w:p>
              </w:tc>
              <w:tc>
                <w:tcPr/>
                <w:p>
                  <w:pPr>
                    <w:pStyle w:val="Compact"/>
                    <w:jc w:val="center"/>
                  </w:pPr>
                  <w:r>
                    <w:t xml:space="preserve">0.97</w:t>
                  </w:r>
                </w:p>
              </w:tc>
              <w:tc>
                <w:tcPr/>
                <w:p>
                  <w:pPr>
                    <w:pStyle w:val="Compact"/>
                    <w:jc w:val="center"/>
                  </w:pPr>
                  <w:r>
                    <w:t xml:space="preserve">0.245</w:t>
                  </w:r>
                </w:p>
              </w:tc>
            </w:tr>
            <w:tr>
              <w:tc>
                <w:tcPr>
                  <w:gridSpan w:val="1"/>
                  <w:vMerge w:val="continue"/>
                </w:tcPr>
                <w:p>
                  <w:pPr/>
                </w:p>
              </w:tc>
              <w:tc>
                <w:tcPr/>
                <w:p>
                  <w:pPr>
                    <w:pStyle w:val="Compact"/>
                    <w:jc w:val="center"/>
                  </w:pPr>
                  <w:r>
                    <w:t xml:space="preserve">Galactosylation (%)</w:t>
                  </w:r>
                </w:p>
              </w:tc>
              <w:tc>
                <w:tcPr/>
                <w:p>
                  <w:pPr>
                    <w:pStyle w:val="Compact"/>
                    <w:jc w:val="center"/>
                  </w:pPr>
                  <w:r>
                    <w:t xml:space="preserve">27.8</w:t>
                  </w:r>
                </w:p>
              </w:tc>
              <w:tc>
                <w:tcPr/>
                <w:p>
                  <w:pPr>
                    <w:pStyle w:val="Compact"/>
                    <w:jc w:val="center"/>
                  </w:pPr>
                  <w:r>
                    <w:t xml:space="preserve">27.4</w:t>
                  </w:r>
                </w:p>
              </w:tc>
              <w:tc>
                <w:tcPr/>
                <w:p>
                  <w:pPr>
                    <w:pStyle w:val="Compact"/>
                    <w:jc w:val="center"/>
                  </w:pPr>
                  <w:r>
                    <w:t xml:space="preserve">−0.32</w:t>
                  </w:r>
                </w:p>
              </w:tc>
              <w:tc>
                <w:tcPr/>
                <w:p>
                  <w:pPr>
                    <w:pStyle w:val="Compact"/>
                    <w:jc w:val="center"/>
                  </w:pPr>
                  <w:r>
                    <w:t xml:space="preserve">3.10</w:t>
                  </w:r>
                </w:p>
              </w:tc>
              <w:tc>
                <w:tcPr/>
                <w:p>
                  <w:pPr>
                    <w:pStyle w:val="Compact"/>
                    <w:jc w:val="center"/>
                  </w:pPr>
                  <w:r>
                    <w:t xml:space="preserve">0.819</w:t>
                  </w:r>
                </w:p>
              </w:tc>
            </w:tr>
            <w:tr>
              <w:tc>
                <w:tcPr>
                  <w:gridSpan w:val="1"/>
                  <w:vMerge w:val="continue"/>
                </w:tcPr>
                <w:p>
                  <w:pPr/>
                </w:p>
              </w:tc>
              <w:tc>
                <w:tcPr/>
                <w:p>
                  <w:pPr>
                    <w:pStyle w:val="Compact"/>
                    <w:jc w:val="center"/>
                  </w:pPr>
                  <w:r>
                    <w:t xml:space="preserve">High mannose (%)</w:t>
                  </w:r>
                </w:p>
              </w:tc>
              <w:tc>
                <w:tcPr/>
                <w:p>
                  <w:pPr>
                    <w:pStyle w:val="Compact"/>
                    <w:jc w:val="center"/>
                  </w:pPr>
                  <w:r>
                    <w:t xml:space="preserve">6.27</w:t>
                  </w:r>
                </w:p>
              </w:tc>
              <w:tc>
                <w:tcPr/>
                <w:p>
                  <w:pPr>
                    <w:pStyle w:val="Compact"/>
                    <w:jc w:val="center"/>
                  </w:pPr>
                  <w:r>
                    <w:t xml:space="preserve">6.78</w:t>
                  </w:r>
                </w:p>
              </w:tc>
              <w:tc>
                <w:tcPr/>
                <w:p>
                  <w:pPr>
                    <w:pStyle w:val="Compact"/>
                    <w:jc w:val="center"/>
                  </w:pPr>
                  <w:r>
                    <w:t xml:space="preserve">0.51</w:t>
                  </w:r>
                </w:p>
              </w:tc>
              <w:tc>
                <w:tcPr/>
                <w:p>
                  <w:pPr>
                    <w:pStyle w:val="Compact"/>
                    <w:jc w:val="center"/>
                  </w:pPr>
                  <w:r>
                    <w:t xml:space="preserve">0.65</w:t>
                  </w:r>
                </w:p>
              </w:tc>
              <w:tc>
                <w:tcPr/>
                <w:p>
                  <w:pPr>
                    <w:pStyle w:val="Compact"/>
                    <w:jc w:val="center"/>
                  </w:pPr>
                  <w:r>
                    <w:t xml:space="preserve">0.106</w:t>
                  </w:r>
                </w:p>
              </w:tc>
            </w:tr>
            <w:tr>
              <w:tc>
                <w:tcPr>
                  <w:gridSpan w:val="1"/>
                  <w:vMerge w:val="continue"/>
                </w:tcPr>
                <w:p>
                  <w:pPr/>
                </w:p>
              </w:tc>
              <w:tc>
                <w:tcPr/>
                <w:p>
                  <w:pPr>
                    <w:pStyle w:val="Compact"/>
                    <w:jc w:val="center"/>
                  </w:pPr>
                  <w:r>
                    <w:t xml:space="preserve">Acidic variants (%)</w:t>
                  </w:r>
                </w:p>
              </w:tc>
              <w:tc>
                <w:tcPr/>
                <w:p>
                  <w:pPr>
                    <w:pStyle w:val="Compact"/>
                    <w:jc w:val="center"/>
                  </w:pPr>
                  <w:r>
                    <w:t xml:space="preserve">22.1</w:t>
                  </w:r>
                </w:p>
              </w:tc>
              <w:tc>
                <w:tcPr/>
                <w:p>
                  <w:pPr>
                    <w:pStyle w:val="Compact"/>
                    <w:jc w:val="center"/>
                  </w:pPr>
                  <w:r>
                    <w:t xml:space="preserve">22.9</w:t>
                  </w:r>
                </w:p>
              </w:tc>
              <w:tc>
                <w:tcPr/>
                <w:p>
                  <w:pPr>
                    <w:pStyle w:val="Compact"/>
                    <w:jc w:val="center"/>
                  </w:pPr>
                  <w:r>
                    <w:t xml:space="preserve">0.82</w:t>
                  </w:r>
                </w:p>
              </w:tc>
              <w:tc>
                <w:tcPr/>
                <w:p>
                  <w:pPr>
                    <w:pStyle w:val="Compact"/>
                    <w:jc w:val="center"/>
                  </w:pPr>
                  <w:r>
                    <w:t xml:space="preserve">2.36</w:t>
                  </w:r>
                </w:p>
              </w:tc>
              <w:tc>
                <w:tcPr/>
                <w:p>
                  <w:pPr>
                    <w:pStyle w:val="Compact"/>
                    <w:jc w:val="center"/>
                  </w:pPr>
                  <w:r>
                    <w:t xml:space="preserve">0.449</w:t>
                  </w:r>
                </w:p>
              </w:tc>
            </w:tr>
            <w:tr>
              <w:tc>
                <w:tcPr>
                  <w:gridSpan w:val="1"/>
                  <w:vMerge w:val="continue"/>
                </w:tcPr>
                <w:p>
                  <w:pPr/>
                </w:p>
              </w:tc>
              <w:tc>
                <w:tcPr/>
                <w:p>
                  <w:pPr>
                    <w:pStyle w:val="Compact"/>
                    <w:jc w:val="center"/>
                  </w:pPr>
                  <w:r>
                    <w:t xml:space="preserve">Aggregates, HMW (%)</w:t>
                  </w:r>
                </w:p>
              </w:tc>
              <w:tc>
                <w:tcPr/>
                <w:p>
                  <w:pPr>
                    <w:pStyle w:val="Compact"/>
                    <w:jc w:val="center"/>
                  </w:pPr>
                  <w:r>
                    <w:t xml:space="preserve">1.56</w:t>
                  </w:r>
                </w:p>
              </w:tc>
              <w:tc>
                <w:tcPr/>
                <w:p>
                  <w:pPr>
                    <w:pStyle w:val="Compact"/>
                    <w:jc w:val="center"/>
                  </w:pPr>
                  <w:r>
                    <w:t xml:space="preserve">1.64</w:t>
                  </w:r>
                </w:p>
              </w:tc>
              <w:tc>
                <w:tcPr/>
                <w:p>
                  <w:pPr>
                    <w:pStyle w:val="Compact"/>
                    <w:jc w:val="center"/>
                  </w:pPr>
                  <w:r>
                    <w:t xml:space="preserve">0.08</w:t>
                  </w:r>
                </w:p>
              </w:tc>
              <w:tc>
                <w:tcPr/>
                <w:p>
                  <w:pPr>
                    <w:pStyle w:val="Compact"/>
                    <w:jc w:val="center"/>
                  </w:pPr>
                  <w:r>
                    <w:t xml:space="preserve">0.31</w:t>
                  </w:r>
                </w:p>
              </w:tc>
              <w:tc>
                <w:tcPr/>
                <w:p>
                  <w:pPr>
                    <w:pStyle w:val="Compact"/>
                    <w:jc w:val="center"/>
                  </w:pPr>
                  <w:r>
                    <w:t xml:space="preserve">0.559</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615,000</w:t>
                  </w:r>
                </w:p>
              </w:tc>
              <w:tc>
                <w:tcPr/>
                <w:p>
                  <w:pPr>
                    <w:pStyle w:val="Compact"/>
                    <w:jc w:val="center"/>
                  </w:pPr>
                  <w:r>
                    <w:t xml:space="preserve">549,000</w:t>
                  </w:r>
                </w:p>
              </w:tc>
              <w:tc>
                <w:tcPr/>
                <w:p>
                  <w:pPr>
                    <w:pStyle w:val="Compact"/>
                    <w:jc w:val="center"/>
                  </w:pPr>
                  <w:r>
                    <w:t xml:space="preserve">−65,800</w:t>
                  </w:r>
                </w:p>
              </w:tc>
              <w:tc>
                <w:tcPr/>
                <w:p>
                  <w:pPr>
                    <w:pStyle w:val="Compact"/>
                    <w:jc w:val="center"/>
                  </w:pPr>
                  <w:r>
                    <w:t xml:space="preserve">243,000</w:t>
                  </w:r>
                </w:p>
              </w:tc>
              <w:tc>
                <w:tcPr/>
                <w:p>
                  <w:pPr>
                    <w:pStyle w:val="Compact"/>
                    <w:jc w:val="center"/>
                  </w:pPr>
                  <w:r>
                    <w:t xml:space="preserve">0.550</w:t>
                  </w:r>
                </w:p>
              </w:tc>
            </w:tr>
            <w:tr>
              <w:tc>
                <w:tcPr>
                  <w:gridSpan w:val="1"/>
                  <w:vMerge w:val="continue"/>
                </w:tcPr>
                <w:p>
                  <w:pPr/>
                </w:p>
              </w:tc>
              <w:tc>
                <w:tcPr/>
                <w:p>
                  <w:pPr>
                    <w:pStyle w:val="Compact"/>
                    <w:jc w:val="center"/>
                  </w:pPr>
                  <w:r>
                    <w:t xml:space="preserve">DNA (pg/mg)</w:t>
                  </w:r>
                </w:p>
              </w:tc>
              <w:tc>
                <w:tcPr/>
                <w:p>
                  <w:pPr>
                    <w:pStyle w:val="Compact"/>
                    <w:jc w:val="center"/>
                  </w:pPr>
                  <w:r>
                    <w:t xml:space="preserve">187,000</w:t>
                  </w:r>
                </w:p>
              </w:tc>
              <w:tc>
                <w:tcPr/>
                <w:p>
                  <w:pPr>
                    <w:pStyle w:val="Compact"/>
                    <w:jc w:val="center"/>
                  </w:pPr>
                  <w:r>
                    <w:t xml:space="preserve">223,000</w:t>
                  </w:r>
                </w:p>
              </w:tc>
              <w:tc>
                <w:tcPr/>
                <w:p>
                  <w:pPr>
                    <w:pStyle w:val="Compact"/>
                    <w:jc w:val="center"/>
                  </w:pPr>
                  <w:r>
                    <w:t xml:space="preserve">36,000</w:t>
                  </w:r>
                </w:p>
              </w:tc>
              <w:tc>
                <w:tcPr/>
                <w:p>
                  <w:pPr>
                    <w:pStyle w:val="Compact"/>
                    <w:jc w:val="center"/>
                  </w:pPr>
                  <w:r>
                    <w:t xml:space="preserve">145,000</w:t>
                  </w:r>
                </w:p>
              </w:tc>
              <w:tc>
                <w:tcPr/>
                <w:p>
                  <w:pPr>
                    <w:pStyle w:val="Compact"/>
                    <w:jc w:val="center"/>
                  </w:pPr>
                  <w:r>
                    <w:t xml:space="preserve">0.582</w:t>
                  </w:r>
                </w:p>
              </w:tc>
            </w:tr>
            <w:tr>
              <w:tc>
                <w:tcPr>
                  <w:vMerge w:val="restart"/>
                </w:tcPr>
                <w:p>
                  <w:pPr>
                    <w:pStyle w:val="Compact"/>
                    <w:jc w:val="center"/>
                  </w:pPr>
                  <w:r>
                    <w:t xml:space="preserve">Initial viable cell conc.</w:t>
                  </w:r>
                </w:p>
              </w:tc>
              <w:tc>
                <w:tcPr/>
                <w:p>
                  <w:pPr>
                    <w:pStyle w:val="Compact"/>
                    <w:jc w:val="center"/>
                  </w:pPr>
                  <w:r>
                    <w:t xml:space="preserve">Afucosylation (%)</w:t>
                  </w:r>
                </w:p>
              </w:tc>
              <w:tc>
                <w:tcPr/>
                <w:p>
                  <w:pPr>
                    <w:pStyle w:val="Compact"/>
                    <w:jc w:val="center"/>
                  </w:pPr>
                  <w:r>
                    <w:t xml:space="preserve">8.76</w:t>
                  </w:r>
                </w:p>
              </w:tc>
              <w:tc>
                <w:tcPr/>
                <w:p>
                  <w:pPr>
                    <w:pStyle w:val="Compact"/>
                    <w:jc w:val="center"/>
                  </w:pPr>
                  <w:r>
                    <w:t xml:space="preserve">8.56</w:t>
                  </w:r>
                </w:p>
              </w:tc>
              <w:tc>
                <w:tcPr/>
                <w:p>
                  <w:pPr>
                    <w:pStyle w:val="Compact"/>
                    <w:jc w:val="center"/>
                  </w:pPr>
                  <w:r>
                    <w:t xml:space="preserve">−0.19</w:t>
                  </w:r>
                </w:p>
              </w:tc>
              <w:tc>
                <w:tcPr/>
                <w:p>
                  <w:pPr>
                    <w:pStyle w:val="Compact"/>
                    <w:jc w:val="center"/>
                  </w:pPr>
                  <w:r>
                    <w:t xml:space="preserve">0.97</w:t>
                  </w:r>
                </w:p>
              </w:tc>
              <w:tc>
                <w:tcPr/>
                <w:p>
                  <w:pPr>
                    <w:pStyle w:val="Compact"/>
                    <w:jc w:val="center"/>
                  </w:pPr>
                  <w:r>
                    <w:t xml:space="preserve">0.657</w:t>
                  </w:r>
                </w:p>
              </w:tc>
            </w:tr>
            <w:tr>
              <w:tc>
                <w:tcPr>
                  <w:gridSpan w:val="1"/>
                  <w:vMerge w:val="continue"/>
                </w:tcPr>
                <w:p>
                  <w:pPr/>
                </w:p>
              </w:tc>
              <w:tc>
                <w:tcPr/>
                <w:p>
                  <w:pPr>
                    <w:pStyle w:val="Compact"/>
                    <w:jc w:val="center"/>
                  </w:pPr>
                  <w:r>
                    <w:t xml:space="preserve">Galactosylation (%)</w:t>
                  </w:r>
                </w:p>
              </w:tc>
              <w:tc>
                <w:tcPr/>
                <w:p>
                  <w:pPr>
                    <w:pStyle w:val="Compact"/>
                    <w:jc w:val="center"/>
                  </w:pPr>
                  <w:r>
                    <w:t xml:space="preserve">25.8</w:t>
                  </w:r>
                </w:p>
              </w:tc>
              <w:tc>
                <w:tcPr/>
                <w:p>
                  <w:pPr>
                    <w:pStyle w:val="Compact"/>
                    <w:jc w:val="center"/>
                  </w:pPr>
                  <w:r>
                    <w:t xml:space="preserve">26.6</w:t>
                  </w:r>
                </w:p>
              </w:tc>
              <w:tc>
                <w:tcPr/>
                <w:p>
                  <w:pPr>
                    <w:pStyle w:val="Compact"/>
                    <w:jc w:val="center"/>
                  </w:pPr>
                  <w:r>
                    <w:t xml:space="preserve">0.84</w:t>
                  </w:r>
                </w:p>
              </w:tc>
              <w:tc>
                <w:tcPr/>
                <w:p>
                  <w:pPr>
                    <w:pStyle w:val="Compact"/>
                    <w:jc w:val="center"/>
                  </w:pPr>
                  <w:r>
                    <w:t xml:space="preserve">3.10</w:t>
                  </w:r>
                </w:p>
              </w:tc>
              <w:tc>
                <w:tcPr/>
                <w:p>
                  <w:pPr>
                    <w:pStyle w:val="Compact"/>
                    <w:jc w:val="center"/>
                  </w:pPr>
                  <w:r>
                    <w:t xml:space="preserve">0.548</w:t>
                  </w:r>
                </w:p>
              </w:tc>
            </w:tr>
            <w:tr>
              <w:tc>
                <w:tcPr>
                  <w:gridSpan w:val="1"/>
                  <w:vMerge w:val="continue"/>
                </w:tcPr>
                <w:p>
                  <w:pPr/>
                </w:p>
              </w:tc>
              <w:tc>
                <w:tcPr/>
                <w:p>
                  <w:pPr>
                    <w:pStyle w:val="Compact"/>
                    <w:jc w:val="center"/>
                  </w:pPr>
                  <w:r>
                    <w:t xml:space="preserve">High mannose (%)</w:t>
                  </w:r>
                </w:p>
              </w:tc>
              <w:tc>
                <w:tcPr/>
                <w:p>
                  <w:pPr>
                    <w:pStyle w:val="Compact"/>
                    <w:jc w:val="center"/>
                  </w:pPr>
                  <w:r>
                    <w:t xml:space="preserve">6.64</w:t>
                  </w:r>
                </w:p>
              </w:tc>
              <w:tc>
                <w:tcPr/>
                <w:p>
                  <w:pPr>
                    <w:pStyle w:val="Compact"/>
                    <w:jc w:val="center"/>
                  </w:pPr>
                  <w:r>
                    <w:t xml:space="preserve">7.22</w:t>
                  </w:r>
                </w:p>
              </w:tc>
              <w:tc>
                <w:tcPr/>
                <w:p>
                  <w:pPr>
                    <w:pStyle w:val="Compact"/>
                    <w:jc w:val="center"/>
                  </w:pPr>
                  <w:r>
                    <w:t xml:space="preserve">0.57</w:t>
                  </w:r>
                </w:p>
              </w:tc>
              <w:tc>
                <w:tcPr/>
                <w:p>
                  <w:pPr>
                    <w:pStyle w:val="Compact"/>
                    <w:jc w:val="center"/>
                  </w:pPr>
                  <w:r>
                    <w:t xml:space="preserve">0.65</w:t>
                  </w:r>
                </w:p>
              </w:tc>
              <w:tc>
                <w:tcPr/>
                <w:p>
                  <w:pPr>
                    <w:pStyle w:val="Compact"/>
                    <w:jc w:val="center"/>
                  </w:pPr>
                  <w:r>
                    <w:t xml:space="preserve">0.075</w:t>
                  </w:r>
                </w:p>
              </w:tc>
            </w:tr>
            <w:tr>
              <w:tc>
                <w:tcPr>
                  <w:gridSpan w:val="1"/>
                  <w:vMerge w:val="continue"/>
                </w:tcPr>
                <w:p>
                  <w:pPr/>
                </w:p>
              </w:tc>
              <w:tc>
                <w:tcPr/>
                <w:p>
                  <w:pPr>
                    <w:pStyle w:val="Compact"/>
                    <w:jc w:val="center"/>
                  </w:pPr>
                  <w:r>
                    <w:t xml:space="preserve">Acidic variants (%)</w:t>
                  </w:r>
                </w:p>
              </w:tc>
              <w:tc>
                <w:tcPr/>
                <w:p>
                  <w:pPr>
                    <w:pStyle w:val="Compact"/>
                    <w:jc w:val="center"/>
                  </w:pPr>
                  <w:r>
                    <w:t xml:space="preserve">20.7</w:t>
                  </w:r>
                </w:p>
              </w:tc>
              <w:tc>
                <w:tcPr/>
                <w:p>
                  <w:pPr>
                    <w:pStyle w:val="Compact"/>
                    <w:jc w:val="center"/>
                  </w:pPr>
                  <w:r>
                    <w:t xml:space="preserve">24.2</w:t>
                  </w:r>
                </w:p>
              </w:tc>
              <w:tc>
                <w:tcPr/>
                <w:p>
                  <w:pPr>
                    <w:pStyle w:val="Compact"/>
                    <w:jc w:val="center"/>
                  </w:pPr>
                  <w:r>
                    <w:t xml:space="preserve">3.51</w:t>
                  </w:r>
                </w:p>
              </w:tc>
              <w:tc>
                <w:tcPr/>
                <w:p>
                  <w:pPr>
                    <w:pStyle w:val="Compact"/>
                    <w:jc w:val="center"/>
                  </w:pPr>
                  <w:r>
                    <w:t xml:space="preserve">2.36</w:t>
                  </w:r>
                </w:p>
              </w:tc>
              <w:tc>
                <w:tcPr/>
                <w:p>
                  <w:pPr>
                    <w:pStyle w:val="Compact"/>
                    <w:jc w:val="center"/>
                  </w:pPr>
                  <w:r>
                    <w:t xml:space="preserve">0.009</w:t>
                  </w:r>
                </w:p>
              </w:tc>
            </w:tr>
            <w:tr>
              <w:tc>
                <w:tcPr>
                  <w:gridSpan w:val="1"/>
                  <w:vMerge w:val="continue"/>
                </w:tcPr>
                <w:p>
                  <w:pPr/>
                </w:p>
              </w:tc>
              <w:tc>
                <w:tcPr/>
                <w:p>
                  <w:pPr>
                    <w:pStyle w:val="Compact"/>
                    <w:jc w:val="center"/>
                  </w:pPr>
                  <w:r>
                    <w:t xml:space="preserve">Aggregates, HMW (%)</w:t>
                  </w:r>
                </w:p>
              </w:tc>
              <w:tc>
                <w:tcPr/>
                <w:p>
                  <w:pPr>
                    <w:pStyle w:val="Compact"/>
                    <w:jc w:val="center"/>
                  </w:pPr>
                  <w:r>
                    <w:t xml:space="preserve">1.70</w:t>
                  </w:r>
                </w:p>
              </w:tc>
              <w:tc>
                <w:tcPr/>
                <w:p>
                  <w:pPr>
                    <w:pStyle w:val="Compact"/>
                    <w:jc w:val="center"/>
                  </w:pPr>
                  <w:r>
                    <w:t xml:space="preserve">1.61</w:t>
                  </w:r>
                </w:p>
              </w:tc>
              <w:tc>
                <w:tcPr/>
                <w:p>
                  <w:pPr>
                    <w:pStyle w:val="Compact"/>
                    <w:jc w:val="center"/>
                  </w:pPr>
                  <w:r>
                    <w:t xml:space="preserve">−0.09</w:t>
                  </w:r>
                </w:p>
              </w:tc>
              <w:tc>
                <w:tcPr/>
                <w:p>
                  <w:pPr>
                    <w:pStyle w:val="Compact"/>
                    <w:jc w:val="center"/>
                  </w:pPr>
                  <w:r>
                    <w:t xml:space="preserve">0.31</w:t>
                  </w:r>
                </w:p>
              </w:tc>
              <w:tc>
                <w:tcPr/>
                <w:p>
                  <w:pPr>
                    <w:pStyle w:val="Compact"/>
                    <w:jc w:val="center"/>
                  </w:pPr>
                  <w:r>
                    <w:t xml:space="preserve">0.518</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446,000</w:t>
                  </w:r>
                </w:p>
              </w:tc>
              <w:tc>
                <w:tcPr/>
                <w:p>
                  <w:pPr>
                    <w:pStyle w:val="Compact"/>
                    <w:jc w:val="center"/>
                  </w:pPr>
                  <w:r>
                    <w:t xml:space="preserve">621,000</w:t>
                  </w:r>
                </w:p>
              </w:tc>
              <w:tc>
                <w:tcPr/>
                <w:p>
                  <w:pPr>
                    <w:pStyle w:val="Compact"/>
                    <w:jc w:val="center"/>
                  </w:pPr>
                  <w:r>
                    <w:t xml:space="preserve">175,000</w:t>
                  </w:r>
                </w:p>
              </w:tc>
              <w:tc>
                <w:tcPr/>
                <w:p>
                  <w:pPr>
                    <w:pStyle w:val="Compact"/>
                    <w:jc w:val="center"/>
                  </w:pPr>
                  <w:r>
                    <w:t xml:space="preserve">243,000</w:t>
                  </w:r>
                </w:p>
              </w:tc>
              <w:tc>
                <w:tcPr/>
                <w:p>
                  <w:pPr>
                    <w:pStyle w:val="Compact"/>
                    <w:jc w:val="center"/>
                  </w:pPr>
                  <w:r>
                    <w:t xml:space="preserve">0.136</w:t>
                  </w:r>
                </w:p>
              </w:tc>
            </w:tr>
            <w:tr>
              <w:tc>
                <w:tcPr>
                  <w:gridSpan w:val="1"/>
                  <w:vMerge w:val="continue"/>
                </w:tcPr>
                <w:p>
                  <w:pPr/>
                </w:p>
              </w:tc>
              <w:tc>
                <w:tcPr/>
                <w:p>
                  <w:pPr>
                    <w:pStyle w:val="Compact"/>
                    <w:jc w:val="center"/>
                  </w:pPr>
                  <w:r>
                    <w:t xml:space="preserve">DNA (pg/mg)</w:t>
                  </w:r>
                </w:p>
              </w:tc>
              <w:tc>
                <w:tcPr/>
                <w:p>
                  <w:pPr>
                    <w:pStyle w:val="Compact"/>
                    <w:jc w:val="center"/>
                  </w:pPr>
                  <w:r>
                    <w:t xml:space="preserve">273,000</w:t>
                  </w:r>
                </w:p>
              </w:tc>
              <w:tc>
                <w:tcPr/>
                <w:p>
                  <w:pPr>
                    <w:pStyle w:val="Compact"/>
                    <w:jc w:val="center"/>
                  </w:pPr>
                  <w:r>
                    <w:t xml:space="preserve">239,000</w:t>
                  </w:r>
                </w:p>
              </w:tc>
              <w:tc>
                <w:tcPr/>
                <w:p>
                  <w:pPr>
                    <w:pStyle w:val="Compact"/>
                    <w:jc w:val="center"/>
                  </w:pPr>
                  <w:r>
                    <w:t xml:space="preserve">−34,500</w:t>
                  </w:r>
                </w:p>
              </w:tc>
              <w:tc>
                <w:tcPr/>
                <w:p>
                  <w:pPr>
                    <w:pStyle w:val="Compact"/>
                    <w:jc w:val="center"/>
                  </w:pPr>
                  <w:r>
                    <w:t xml:space="preserve">145,000</w:t>
                  </w:r>
                </w:p>
              </w:tc>
              <w:tc>
                <w:tcPr/>
                <w:p>
                  <w:pPr>
                    <w:pStyle w:val="Compact"/>
                    <w:jc w:val="center"/>
                  </w:pPr>
                  <w:r>
                    <w:t xml:space="preserve">0.598</w:t>
                  </w:r>
                </w:p>
              </w:tc>
            </w:tr>
            <w:tr>
              <w:tc>
                <w:tcPr>
                  <w:vMerge w:val="restart"/>
                </w:tcPr>
                <w:p>
                  <w:pPr>
                    <w:pStyle w:val="Compact"/>
                    <w:jc w:val="center"/>
                  </w:pPr>
                  <w:r>
                    <w:t xml:space="preserve">Basal medium concentration</w:t>
                  </w:r>
                </w:p>
              </w:tc>
              <w:tc>
                <w:tcPr/>
                <w:p>
                  <w:pPr>
                    <w:pStyle w:val="Compact"/>
                    <w:jc w:val="center"/>
                  </w:pPr>
                  <w:r>
                    <w:t xml:space="preserve">Afucosylation (%)</w:t>
                  </w:r>
                </w:p>
              </w:tc>
              <w:tc>
                <w:tcPr/>
                <w:p>
                  <w:pPr>
                    <w:pStyle w:val="Compact"/>
                    <w:jc w:val="center"/>
                  </w:pPr>
                  <w:r>
                    <w:t xml:space="preserve">7.93</w:t>
                  </w:r>
                </w:p>
              </w:tc>
              <w:tc>
                <w:tcPr/>
                <w:p>
                  <w:pPr>
                    <w:pStyle w:val="Compact"/>
                    <w:jc w:val="center"/>
                  </w:pPr>
                  <w:r>
                    <w:t xml:space="preserve">8.63</w:t>
                  </w:r>
                </w:p>
              </w:tc>
              <w:tc>
                <w:tcPr/>
                <w:p>
                  <w:pPr>
                    <w:pStyle w:val="Compact"/>
                    <w:jc w:val="center"/>
                  </w:pPr>
                  <w:r>
                    <w:t xml:space="preserve">0.70</w:t>
                  </w:r>
                </w:p>
              </w:tc>
              <w:tc>
                <w:tcPr/>
                <w:p>
                  <w:pPr>
                    <w:pStyle w:val="Compact"/>
                    <w:jc w:val="center"/>
                  </w:pPr>
                  <w:r>
                    <w:t xml:space="preserve">0.97</w:t>
                  </w:r>
                </w:p>
              </w:tc>
              <w:tc>
                <w:tcPr/>
                <w:p>
                  <w:pPr>
                    <w:pStyle w:val="Compact"/>
                    <w:jc w:val="center"/>
                  </w:pPr>
                  <w:r>
                    <w:t xml:space="preserve">0.135</w:t>
                  </w:r>
                </w:p>
              </w:tc>
            </w:tr>
            <w:tr>
              <w:tc>
                <w:tcPr>
                  <w:gridSpan w:val="1"/>
                  <w:vMerge w:val="continue"/>
                </w:tcPr>
                <w:p>
                  <w:pPr/>
                </w:p>
              </w:tc>
              <w:tc>
                <w:tcPr/>
                <w:p>
                  <w:pPr>
                    <w:pStyle w:val="Compact"/>
                    <w:jc w:val="center"/>
                  </w:pPr>
                  <w:r>
                    <w:t xml:space="preserve">Galactosylation (%)</w:t>
                  </w:r>
                </w:p>
              </w:tc>
              <w:tc>
                <w:tcPr/>
                <w:p>
                  <w:pPr>
                    <w:pStyle w:val="Compact"/>
                    <w:jc w:val="center"/>
                  </w:pPr>
                  <w:r>
                    <w:t xml:space="preserve">27.2</w:t>
                  </w:r>
                </w:p>
              </w:tc>
              <w:tc>
                <w:tcPr/>
                <w:p>
                  <w:pPr>
                    <w:pStyle w:val="Compact"/>
                    <w:jc w:val="center"/>
                  </w:pPr>
                  <w:r>
                    <w:t xml:space="preserve">24.4</w:t>
                  </w:r>
                </w:p>
              </w:tc>
              <w:tc>
                <w:tcPr/>
                <w:p>
                  <w:pPr>
                    <w:pStyle w:val="Compact"/>
                    <w:jc w:val="center"/>
                  </w:pPr>
                  <w:r>
                    <w:t xml:space="preserve">−2.75</w:t>
                  </w:r>
                </w:p>
              </w:tc>
              <w:tc>
                <w:tcPr/>
                <w:p>
                  <w:pPr>
                    <w:pStyle w:val="Compact"/>
                    <w:jc w:val="center"/>
                  </w:pPr>
                  <w:r>
                    <w:t xml:space="preserve">3.10</w:t>
                  </w:r>
                </w:p>
              </w:tc>
              <w:tc>
                <w:tcPr/>
                <w:p>
                  <w:pPr>
                    <w:pStyle w:val="Compact"/>
                    <w:jc w:val="center"/>
                  </w:pPr>
                  <w:r>
                    <w:t xml:space="preserve">0.075</w:t>
                  </w:r>
                </w:p>
              </w:tc>
            </w:tr>
            <w:tr>
              <w:tc>
                <w:tcPr>
                  <w:gridSpan w:val="1"/>
                  <w:vMerge w:val="continue"/>
                </w:tcPr>
                <w:p>
                  <w:pPr/>
                </w:p>
              </w:tc>
              <w:tc>
                <w:tcPr/>
                <w:p>
                  <w:pPr>
                    <w:pStyle w:val="Compact"/>
                    <w:jc w:val="center"/>
                  </w:pPr>
                  <w:r>
                    <w:t xml:space="preserve">High mannose (%)</w:t>
                  </w:r>
                </w:p>
              </w:tc>
              <w:tc>
                <w:tcPr/>
                <w:p>
                  <w:pPr>
                    <w:pStyle w:val="Compact"/>
                    <w:jc w:val="center"/>
                  </w:pPr>
                  <w:r>
                    <w:t xml:space="preserve">6.64</w:t>
                  </w:r>
                </w:p>
              </w:tc>
              <w:tc>
                <w:tcPr/>
                <w:p>
                  <w:pPr>
                    <w:pStyle w:val="Compact"/>
                    <w:jc w:val="center"/>
                  </w:pPr>
                  <w:r>
                    <w:t xml:space="preserve">6.42</w:t>
                  </w:r>
                </w:p>
              </w:tc>
              <w:tc>
                <w:tcPr/>
                <w:p>
                  <w:pPr>
                    <w:pStyle w:val="Compact"/>
                    <w:jc w:val="center"/>
                  </w:pPr>
                  <w:r>
                    <w:t xml:space="preserve">−0.22</w:t>
                  </w:r>
                </w:p>
              </w:tc>
              <w:tc>
                <w:tcPr/>
                <w:p>
                  <w:pPr>
                    <w:pStyle w:val="Compact"/>
                    <w:jc w:val="center"/>
                  </w:pPr>
                  <w:r>
                    <w:t xml:space="preserve">0.65</w:t>
                  </w:r>
                </w:p>
              </w:tc>
              <w:tc>
                <w:tcPr/>
                <w:p>
                  <w:pPr>
                    <w:pStyle w:val="Compact"/>
                    <w:jc w:val="center"/>
                  </w:pPr>
                  <w:r>
                    <w:t xml:space="preserve">0.454</w:t>
                  </w:r>
                </w:p>
              </w:tc>
            </w:tr>
            <w:tr>
              <w:tc>
                <w:tcPr>
                  <w:gridSpan w:val="1"/>
                  <w:vMerge w:val="continue"/>
                </w:tcPr>
                <w:p>
                  <w:pPr/>
                </w:p>
              </w:tc>
              <w:tc>
                <w:tcPr/>
                <w:p>
                  <w:pPr>
                    <w:pStyle w:val="Compact"/>
                    <w:jc w:val="center"/>
                  </w:pPr>
                  <w:r>
                    <w:t xml:space="preserve">Acidic variants (%)</w:t>
                  </w:r>
                </w:p>
              </w:tc>
              <w:tc>
                <w:tcPr/>
                <w:p>
                  <w:pPr>
                    <w:pStyle w:val="Compact"/>
                    <w:jc w:val="center"/>
                  </w:pPr>
                  <w:r>
                    <w:t xml:space="preserve">23.2</w:t>
                  </w:r>
                </w:p>
              </w:tc>
              <w:tc>
                <w:tcPr/>
                <w:p>
                  <w:pPr>
                    <w:pStyle w:val="Compact"/>
                    <w:jc w:val="center"/>
                  </w:pPr>
                  <w:r>
                    <w:t xml:space="preserve">21.9</w:t>
                  </w:r>
                </w:p>
              </w:tc>
              <w:tc>
                <w:tcPr/>
                <w:p>
                  <w:pPr>
                    <w:pStyle w:val="Compact"/>
                    <w:jc w:val="center"/>
                  </w:pPr>
                  <w:r>
                    <w:t xml:space="preserve">−1.30</w:t>
                  </w:r>
                </w:p>
              </w:tc>
              <w:tc>
                <w:tcPr/>
                <w:p>
                  <w:pPr>
                    <w:pStyle w:val="Compact"/>
                    <w:jc w:val="center"/>
                  </w:pPr>
                  <w:r>
                    <w:t xml:space="preserve">2.36</w:t>
                  </w:r>
                </w:p>
              </w:tc>
              <w:tc>
                <w:tcPr/>
                <w:p>
                  <w:pPr>
                    <w:pStyle w:val="Compact"/>
                    <w:jc w:val="center"/>
                  </w:pPr>
                  <w:r>
                    <w:t xml:space="preserve">0.240</w:t>
                  </w:r>
                </w:p>
              </w:tc>
            </w:tr>
            <w:tr>
              <w:tc>
                <w:tcPr>
                  <w:gridSpan w:val="1"/>
                  <w:vMerge w:val="continue"/>
                </w:tcPr>
                <w:p>
                  <w:pPr/>
                </w:p>
              </w:tc>
              <w:tc>
                <w:tcPr/>
                <w:p>
                  <w:pPr>
                    <w:pStyle w:val="Compact"/>
                    <w:jc w:val="center"/>
                  </w:pPr>
                  <w:r>
                    <w:t xml:space="preserve">Aggregates, HMW (%)</w:t>
                  </w:r>
                </w:p>
              </w:tc>
              <w:tc>
                <w:tcPr/>
                <w:p>
                  <w:pPr>
                    <w:pStyle w:val="Compact"/>
                    <w:jc w:val="center"/>
                  </w:pPr>
                  <w:r>
                    <w:t xml:space="preserve">1.77</w:t>
                  </w:r>
                </w:p>
              </w:tc>
              <w:tc>
                <w:tcPr/>
                <w:p>
                  <w:pPr>
                    <w:pStyle w:val="Compact"/>
                    <w:jc w:val="center"/>
                  </w:pPr>
                  <w:r>
                    <w:t xml:space="preserve">1.61</w:t>
                  </w:r>
                </w:p>
              </w:tc>
              <w:tc>
                <w:tcPr/>
                <w:p>
                  <w:pPr>
                    <w:pStyle w:val="Compact"/>
                    <w:jc w:val="center"/>
                  </w:pPr>
                  <w:r>
                    <w:t xml:space="preserve">−0.16</w:t>
                  </w:r>
                </w:p>
              </w:tc>
              <w:tc>
                <w:tcPr/>
                <w:p>
                  <w:pPr>
                    <w:pStyle w:val="Compact"/>
                    <w:jc w:val="center"/>
                  </w:pPr>
                  <w:r>
                    <w:t xml:space="preserve">0.31</w:t>
                  </w:r>
                </w:p>
              </w:tc>
              <w:tc>
                <w:tcPr/>
                <w:p>
                  <w:pPr>
                    <w:pStyle w:val="Compact"/>
                    <w:jc w:val="center"/>
                  </w:pPr>
                  <w:r>
                    <w:t xml:space="preserve">0.266</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602,000</w:t>
                  </w:r>
                </w:p>
              </w:tc>
              <w:tc>
                <w:tcPr/>
                <w:p>
                  <w:pPr>
                    <w:pStyle w:val="Compact"/>
                    <w:jc w:val="center"/>
                  </w:pPr>
                  <w:r>
                    <w:t xml:space="preserve">584,000</w:t>
                  </w:r>
                </w:p>
              </w:tc>
              <w:tc>
                <w:tcPr/>
                <w:p>
                  <w:pPr>
                    <w:pStyle w:val="Compact"/>
                    <w:jc w:val="center"/>
                  </w:pPr>
                  <w:r>
                    <w:t xml:space="preserve">−18,500</w:t>
                  </w:r>
                </w:p>
              </w:tc>
              <w:tc>
                <w:tcPr/>
                <w:p>
                  <w:pPr>
                    <w:pStyle w:val="Compact"/>
                    <w:jc w:val="center"/>
                  </w:pPr>
                  <w:r>
                    <w:t xml:space="preserve">243,000</w:t>
                  </w:r>
                </w:p>
              </w:tc>
              <w:tc>
                <w:tcPr/>
                <w:p>
                  <w:pPr>
                    <w:pStyle w:val="Compact"/>
                    <w:jc w:val="center"/>
                  </w:pPr>
                  <w:r>
                    <w:t xml:space="preserve">0.865</w:t>
                  </w:r>
                </w:p>
              </w:tc>
            </w:tr>
            <w:tr>
              <w:tc>
                <w:tcPr>
                  <w:gridSpan w:val="1"/>
                  <w:vMerge w:val="continue"/>
                </w:tcPr>
                <w:p>
                  <w:pPr/>
                </w:p>
              </w:tc>
              <w:tc>
                <w:tcPr/>
                <w:p>
                  <w:pPr>
                    <w:pStyle w:val="Compact"/>
                    <w:jc w:val="center"/>
                  </w:pPr>
                  <w:r>
                    <w:t xml:space="preserve">DNA (pg/mg)</w:t>
                  </w:r>
                </w:p>
              </w:tc>
              <w:tc>
                <w:tcPr/>
                <w:p>
                  <w:pPr>
                    <w:pStyle w:val="Compact"/>
                    <w:jc w:val="center"/>
                  </w:pPr>
                  <w:r>
                    <w:t xml:space="preserve">251,000</w:t>
                  </w:r>
                </w:p>
              </w:tc>
              <w:tc>
                <w:tcPr/>
                <w:p>
                  <w:pPr>
                    <w:pStyle w:val="Compact"/>
                    <w:jc w:val="center"/>
                  </w:pPr>
                  <w:r>
                    <w:t xml:space="preserve">240,000</w:t>
                  </w:r>
                </w:p>
              </w:tc>
              <w:tc>
                <w:tcPr/>
                <w:p>
                  <w:pPr>
                    <w:pStyle w:val="Compact"/>
                    <w:jc w:val="center"/>
                  </w:pPr>
                  <w:r>
                    <w:t xml:space="preserve">−11,600</w:t>
                  </w:r>
                </w:p>
              </w:tc>
              <w:tc>
                <w:tcPr/>
                <w:p>
                  <w:pPr>
                    <w:pStyle w:val="Compact"/>
                    <w:jc w:val="center"/>
                  </w:pPr>
                  <w:r>
                    <w:t xml:space="preserve">145,000</w:t>
                  </w:r>
                </w:p>
              </w:tc>
              <w:tc>
                <w:tcPr/>
                <w:p>
                  <w:pPr>
                    <w:pStyle w:val="Compact"/>
                    <w:jc w:val="center"/>
                  </w:pPr>
                  <w:r>
                    <w:t xml:space="preserve">0.858</w:t>
                  </w:r>
                </w:p>
              </w:tc>
            </w:tr>
            <w:tr>
              <w:tc>
                <w:tcPr>
                  <w:vMerge w:val="restart"/>
                </w:tcPr>
                <w:p>
                  <w:pPr>
                    <w:pStyle w:val="Compact"/>
                    <w:jc w:val="center"/>
                  </w:pPr>
                  <w:r>
                    <w:t xml:space="preserve">Nutrient feed-1 volume</w:t>
                  </w:r>
                </w:p>
              </w:tc>
              <w:tc>
                <w:tcPr/>
                <w:p>
                  <w:pPr>
                    <w:pStyle w:val="Compact"/>
                    <w:jc w:val="center"/>
                  </w:pPr>
                  <w:r>
                    <w:t xml:space="preserve">Afucosylation (%)</w:t>
                  </w:r>
                </w:p>
              </w:tc>
              <w:tc>
                <w:tcPr/>
                <w:p>
                  <w:pPr>
                    <w:pStyle w:val="Compact"/>
                    <w:jc w:val="center"/>
                  </w:pPr>
                  <w:r>
                    <w:t xml:space="preserve">7.98</w:t>
                  </w:r>
                </w:p>
              </w:tc>
              <w:tc>
                <w:tcPr/>
                <w:p>
                  <w:pPr>
                    <w:pStyle w:val="Compact"/>
                    <w:jc w:val="center"/>
                  </w:pPr>
                  <w:r>
                    <w:t xml:space="preserve">7.83</w:t>
                  </w:r>
                </w:p>
              </w:tc>
              <w:tc>
                <w:tcPr/>
                <w:p>
                  <w:pPr>
                    <w:pStyle w:val="Compact"/>
                    <w:jc w:val="center"/>
                  </w:pPr>
                  <w:r>
                    <w:t xml:space="preserve">−0.14</w:t>
                  </w:r>
                </w:p>
              </w:tc>
              <w:tc>
                <w:tcPr/>
                <w:p>
                  <w:pPr>
                    <w:pStyle w:val="Compact"/>
                    <w:jc w:val="center"/>
                  </w:pPr>
                  <w:r>
                    <w:t xml:space="preserve">0.97</w:t>
                  </w:r>
                </w:p>
              </w:tc>
              <w:tc>
                <w:tcPr/>
                <w:p>
                  <w:pPr>
                    <w:pStyle w:val="Compact"/>
                    <w:jc w:val="center"/>
                  </w:pPr>
                  <w:r>
                    <w:t xml:space="preserve">0.740</w:t>
                  </w:r>
                </w:p>
              </w:tc>
            </w:tr>
            <w:tr>
              <w:tc>
                <w:tcPr>
                  <w:gridSpan w:val="1"/>
                  <w:vMerge w:val="continue"/>
                </w:tcPr>
                <w:p>
                  <w:pPr/>
                </w:p>
              </w:tc>
              <w:tc>
                <w:tcPr/>
                <w:p>
                  <w:pPr>
                    <w:pStyle w:val="Compact"/>
                    <w:jc w:val="center"/>
                  </w:pPr>
                  <w:r>
                    <w:t xml:space="preserve">Galactosylation (%)</w:t>
                  </w:r>
                </w:p>
              </w:tc>
              <w:tc>
                <w:tcPr/>
                <w:p>
                  <w:pPr>
                    <w:pStyle w:val="Compact"/>
                    <w:jc w:val="center"/>
                  </w:pPr>
                  <w:r>
                    <w:t xml:space="preserve">25.9</w:t>
                  </w:r>
                </w:p>
              </w:tc>
              <w:tc>
                <w:tcPr/>
                <w:p>
                  <w:pPr>
                    <w:pStyle w:val="Compact"/>
                    <w:jc w:val="center"/>
                  </w:pPr>
                  <w:r>
                    <w:t xml:space="preserve">26.4</w:t>
                  </w:r>
                </w:p>
              </w:tc>
              <w:tc>
                <w:tcPr/>
                <w:p>
                  <w:pPr>
                    <w:pStyle w:val="Compact"/>
                    <w:jc w:val="center"/>
                  </w:pPr>
                  <w:r>
                    <w:t xml:space="preserve">0.50</w:t>
                  </w:r>
                </w:p>
              </w:tc>
              <w:tc>
                <w:tcPr/>
                <w:p>
                  <w:pPr>
                    <w:pStyle w:val="Compact"/>
                    <w:jc w:val="center"/>
                  </w:pPr>
                  <w:r>
                    <w:t xml:space="preserve">3.10</w:t>
                  </w:r>
                </w:p>
              </w:tc>
              <w:tc>
                <w:tcPr/>
                <w:p>
                  <w:pPr>
                    <w:pStyle w:val="Compact"/>
                    <w:jc w:val="center"/>
                  </w:pPr>
                  <w:r>
                    <w:t xml:space="preserve">0.718</w:t>
                  </w:r>
                </w:p>
              </w:tc>
            </w:tr>
            <w:tr>
              <w:tc>
                <w:tcPr>
                  <w:gridSpan w:val="1"/>
                  <w:vMerge w:val="continue"/>
                </w:tcPr>
                <w:p>
                  <w:pPr/>
                </w:p>
              </w:tc>
              <w:tc>
                <w:tcPr/>
                <w:p>
                  <w:pPr>
                    <w:pStyle w:val="Compact"/>
                    <w:jc w:val="center"/>
                  </w:pPr>
                  <w:r>
                    <w:t xml:space="preserve">High mannose (%)</w:t>
                  </w:r>
                </w:p>
              </w:tc>
              <w:tc>
                <w:tcPr/>
                <w:p>
                  <w:pPr>
                    <w:pStyle w:val="Compact"/>
                    <w:jc w:val="center"/>
                  </w:pPr>
                  <w:r>
                    <w:t xml:space="preserve">6.54</w:t>
                  </w:r>
                </w:p>
              </w:tc>
              <w:tc>
                <w:tcPr/>
                <w:p>
                  <w:pPr>
                    <w:pStyle w:val="Compact"/>
                    <w:jc w:val="center"/>
                  </w:pPr>
                  <w:r>
                    <w:t xml:space="preserve">6.19</w:t>
                  </w:r>
                </w:p>
              </w:tc>
              <w:tc>
                <w:tcPr/>
                <w:p>
                  <w:pPr>
                    <w:pStyle w:val="Compact"/>
                    <w:jc w:val="center"/>
                  </w:pPr>
                  <w:r>
                    <w:t xml:space="preserve">−0.35</w:t>
                  </w:r>
                </w:p>
              </w:tc>
              <w:tc>
                <w:tcPr/>
                <w:p>
                  <w:pPr>
                    <w:pStyle w:val="Compact"/>
                    <w:jc w:val="center"/>
                  </w:pPr>
                  <w:r>
                    <w:t xml:space="preserve">0.65</w:t>
                  </w:r>
                </w:p>
              </w:tc>
              <w:tc>
                <w:tcPr/>
                <w:p>
                  <w:pPr>
                    <w:pStyle w:val="Compact"/>
                    <w:jc w:val="center"/>
                  </w:pPr>
                  <w:r>
                    <w:t xml:space="preserve">0.252</w:t>
                  </w:r>
                </w:p>
              </w:tc>
            </w:tr>
            <w:tr>
              <w:tc>
                <w:tcPr>
                  <w:gridSpan w:val="1"/>
                  <w:vMerge w:val="continue"/>
                </w:tcPr>
                <w:p>
                  <w:pPr/>
                </w:p>
              </w:tc>
              <w:tc>
                <w:tcPr/>
                <w:p>
                  <w:pPr>
                    <w:pStyle w:val="Compact"/>
                    <w:jc w:val="center"/>
                  </w:pPr>
                  <w:r>
                    <w:t xml:space="preserve">Acidic variants (%)</w:t>
                  </w:r>
                </w:p>
              </w:tc>
              <w:tc>
                <w:tcPr/>
                <w:p>
                  <w:pPr>
                    <w:pStyle w:val="Compact"/>
                    <w:jc w:val="center"/>
                  </w:pPr>
                  <w:r>
                    <w:t xml:space="preserve">22.1</w:t>
                  </w:r>
                </w:p>
              </w:tc>
              <w:tc>
                <w:tcPr/>
                <w:p>
                  <w:pPr>
                    <w:pStyle w:val="Compact"/>
                    <w:jc w:val="center"/>
                  </w:pPr>
                  <w:r>
                    <w:t xml:space="preserve">22.9</w:t>
                  </w:r>
                </w:p>
              </w:tc>
              <w:tc>
                <w:tcPr/>
                <w:p>
                  <w:pPr>
                    <w:pStyle w:val="Compact"/>
                    <w:jc w:val="center"/>
                  </w:pPr>
                  <w:r>
                    <w:t xml:space="preserve">0.75</w:t>
                  </w:r>
                </w:p>
              </w:tc>
              <w:tc>
                <w:tcPr/>
                <w:p>
                  <w:pPr>
                    <w:pStyle w:val="Compact"/>
                    <w:jc w:val="center"/>
                  </w:pPr>
                  <w:r>
                    <w:t xml:space="preserve">2.36</w:t>
                  </w:r>
                </w:p>
              </w:tc>
              <w:tc>
                <w:tcPr/>
                <w:p>
                  <w:pPr>
                    <w:pStyle w:val="Compact"/>
                    <w:jc w:val="center"/>
                  </w:pPr>
                  <w:r>
                    <w:t xml:space="preserve">0.482</w:t>
                  </w:r>
                </w:p>
              </w:tc>
            </w:tr>
            <w:tr>
              <w:tc>
                <w:tcPr>
                  <w:gridSpan w:val="1"/>
                  <w:vMerge w:val="continue"/>
                </w:tcPr>
                <w:p>
                  <w:pPr/>
                </w:p>
              </w:tc>
              <w:tc>
                <w:tcPr/>
                <w:p>
                  <w:pPr>
                    <w:pStyle w:val="Compact"/>
                    <w:jc w:val="center"/>
                  </w:pPr>
                  <w:r>
                    <w:t xml:space="preserve">Aggregates, HMW (%)</w:t>
                  </w:r>
                </w:p>
              </w:tc>
              <w:tc>
                <w:tcPr/>
                <w:p>
                  <w:pPr>
                    <w:pStyle w:val="Compact"/>
                    <w:jc w:val="center"/>
                  </w:pPr>
                  <w:r>
                    <w:t xml:space="preserve">1.60</w:t>
                  </w:r>
                </w:p>
              </w:tc>
              <w:tc>
                <w:tcPr/>
                <w:p>
                  <w:pPr>
                    <w:pStyle w:val="Compact"/>
                    <w:jc w:val="center"/>
                  </w:pPr>
                  <w:r>
                    <w:t xml:space="preserve">1.76</w:t>
                  </w:r>
                </w:p>
              </w:tc>
              <w:tc>
                <w:tcPr/>
                <w:p>
                  <w:pPr>
                    <w:pStyle w:val="Compact"/>
                    <w:jc w:val="center"/>
                  </w:pPr>
                  <w:r>
                    <w:t xml:space="preserve">0.16</w:t>
                  </w:r>
                </w:p>
              </w:tc>
              <w:tc>
                <w:tcPr/>
                <w:p>
                  <w:pPr>
                    <w:pStyle w:val="Compact"/>
                    <w:jc w:val="center"/>
                  </w:pPr>
                  <w:r>
                    <w:t xml:space="preserve">0.31</w:t>
                  </w:r>
                </w:p>
              </w:tc>
              <w:tc>
                <w:tcPr/>
                <w:p>
                  <w:pPr>
                    <w:pStyle w:val="Compact"/>
                    <w:jc w:val="center"/>
                  </w:pPr>
                  <w:r>
                    <w:t xml:space="preserve">0.262</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740,000</w:t>
                  </w:r>
                </w:p>
              </w:tc>
              <w:tc>
                <w:tcPr/>
                <w:p>
                  <w:pPr>
                    <w:pStyle w:val="Compact"/>
                    <w:jc w:val="center"/>
                  </w:pPr>
                  <w:r>
                    <w:t xml:space="preserve">534,000</w:t>
                  </w:r>
                </w:p>
              </w:tc>
              <w:tc>
                <w:tcPr/>
                <w:p>
                  <w:pPr>
                    <w:pStyle w:val="Compact"/>
                    <w:jc w:val="center"/>
                  </w:pPr>
                  <w:r>
                    <w:t xml:space="preserve">−206,000</w:t>
                  </w:r>
                </w:p>
              </w:tc>
              <w:tc>
                <w:tcPr/>
                <w:p>
                  <w:pPr>
                    <w:pStyle w:val="Compact"/>
                    <w:jc w:val="center"/>
                  </w:pPr>
                  <w:r>
                    <w:t xml:space="preserve">243,000</w:t>
                  </w:r>
                </w:p>
              </w:tc>
              <w:tc>
                <w:tcPr/>
                <w:p>
                  <w:pPr>
                    <w:pStyle w:val="Compact"/>
                    <w:jc w:val="center"/>
                  </w:pPr>
                  <w:r>
                    <w:t xml:space="preserve">0.087</w:t>
                  </w:r>
                </w:p>
              </w:tc>
            </w:tr>
            <w:tr>
              <w:tc>
                <w:tcPr>
                  <w:gridSpan w:val="1"/>
                  <w:vMerge w:val="continue"/>
                </w:tcPr>
                <w:p>
                  <w:pPr/>
                </w:p>
              </w:tc>
              <w:tc>
                <w:tcPr/>
                <w:p>
                  <w:pPr>
                    <w:pStyle w:val="Compact"/>
                    <w:jc w:val="center"/>
                  </w:pPr>
                  <w:r>
                    <w:t xml:space="preserve">DNA (pg/mg)</w:t>
                  </w:r>
                </w:p>
              </w:tc>
              <w:tc>
                <w:tcPr/>
                <w:p>
                  <w:pPr>
                    <w:pStyle w:val="Compact"/>
                    <w:jc w:val="center"/>
                  </w:pPr>
                  <w:r>
                    <w:t xml:space="preserve">218,000</w:t>
                  </w:r>
                </w:p>
              </w:tc>
              <w:tc>
                <w:tcPr/>
                <w:p>
                  <w:pPr>
                    <w:pStyle w:val="Compact"/>
                    <w:jc w:val="center"/>
                  </w:pPr>
                  <w:r>
                    <w:t xml:space="preserve">233,000</w:t>
                  </w:r>
                </w:p>
              </w:tc>
              <w:tc>
                <w:tcPr/>
                <w:p>
                  <w:pPr>
                    <w:pStyle w:val="Compact"/>
                    <w:jc w:val="center"/>
                  </w:pPr>
                  <w:r>
                    <w:t xml:space="preserve">15,600</w:t>
                  </w:r>
                </w:p>
              </w:tc>
              <w:tc>
                <w:tcPr/>
                <w:p>
                  <w:pPr>
                    <w:pStyle w:val="Compact"/>
                    <w:jc w:val="center"/>
                  </w:pPr>
                  <w:r>
                    <w:t xml:space="preserve">145,000</w:t>
                  </w:r>
                </w:p>
              </w:tc>
              <w:tc>
                <w:tcPr/>
                <w:p>
                  <w:pPr>
                    <w:pStyle w:val="Compact"/>
                    <w:jc w:val="center"/>
                  </w:pPr>
                  <w:r>
                    <w:t xml:space="preserve">0.810</w:t>
                  </w:r>
                </w:p>
              </w:tc>
            </w:tr>
            <w:tr>
              <w:tc>
                <w:tcPr>
                  <w:gridSpan w:val="7"/>
                </w:tcPr>
                <w:p>
                  <w:pPr>
                    <w:pStyle w:val="Compact"/>
                    <w:jc w:val="center"/>
                  </w:pPr>
                  <w:r>
                    <w:t xml:space="preserve">Each mean is of two runs. The confidence interval uses the pooled standard deviation of the duplicate runs of the study, with 8 degrees of freedom. The p-value is the same at either scale.</w:t>
                  </w:r>
                </w:p>
              </w:tc>
            </w:tr>
          </w:tbl>
          <w:bookmarkEnd w:id="97"/>
          <w:p/>
        </w:tc>
      </w:tr>
    </w:tbl>
    <w:bookmarkEnd w:id="98"/>
    <w:bookmarkStart w:id="100" w:name="sec-osmolality"/>
    <w:p>
      <w:pPr>
        <w:pStyle w:val="Heading2"/>
      </w:pPr>
      <w:r>
        <w:t xml:space="preserve">5.5 Osmolality study</w:t>
      </w:r>
    </w:p>
    <w:p>
      <w:pPr>
        <w:pStyle w:val="FirstParagraph"/>
      </w:pPr>
      <w:hyperlink w:anchor="tbl-osmolality">
        <w:r>
          <w:rPr>
            <w:rStyle w:val="Hyperlink"/>
          </w:rPr>
          <w:t xml:space="preserve">Table 21</w:t>
        </w:r>
      </w:hyperlink>
      <w:r>
        <w:t xml:space="preserve"> </w:t>
      </w:r>
      <w:r>
        <w:t xml:space="preserve">gives each attribute at the three levels of osmolality, at manufacturing scale, with the other parameters at the combination of NOR settings least favourable for acidic variants. The means in the table are values of the straight line fitted to the 12 runs. For acidic variants the line falls by 1.48 points across the NOR of osmolality, but its slope is not significant (p = 0.191). Its fitted mean lies above the lower limit at the NOR low and at the set-point, and below it at the NOR high, at 17.7 %. The prediction interval of a single run reaches below the lower limit at every level, as the response-surface model showed at the set-point of osmolality. Afucosylation falls by 0.95 points across the NOR, with a significant slope (p = 0.023), and galactosylation by 2.21 points (p = 0.051). Every attribute other than acidic variants meets its criterion at every level.</w:t>
      </w:r>
    </w:p>
    <w:p>
      <w:pPr>
        <w:pStyle w:val="BodyText"/>
      </w:pPr>
      <w:r>
        <w:t xml:space="preserve">The study therefore shows no significant effect of osmolality on acidic variants at this combination, and the fitted mean at the NOR high is not a finding. It ran at that single combination, with osmolality set by sodium chloride independently of pCO2, so it does not give the interactions of osmolality with the other parameters. Its record names no equipment, so the calibration of the probe that held pCO2 at 130 mmHg is not documented (PD-003-12). The study was decided after the screening and response-surface results were known.</w:t>
      </w:r>
    </w:p>
    <w:tbl>
      <w:tblPr>
        <w:tblStyle w:val="Table"/>
        <w:tblW w:type="pct" w:w="5000"/>
        <w:tblLayout w:type="fixed"/>
        <w:tblLook w:firstRow="0" w:lastRow="0" w:firstColumn="0" w:lastColumn="0" w:noHBand="0" w:noVBand="0" w:val="0000"/>
      </w:tblPr>
      <w:tblGrid>
        <w:gridCol w:w="7920"/>
      </w:tblGrid>
      <w:tr>
        <w:tc>
          <w:tcPr/>
          <w:bookmarkStart w:id="99" w:name="tbl-osmolality"/>
          <w:p>
            <w:pPr>
              <w:jc w:val="center"/>
            </w:pPr>
            <w:pPr>
              <w:jc w:val="start"/>
              <w:spacing w:before="200"/>
              <w:pStyle w:val="ImageCaption"/>
            </w:pPr>
            <w:r>
              <w:t xml:space="preserve">Table 21: Results of the osmolality study S-BRX-OSM at manufacturing scale, with the other parameters at the combination of NOR settings least favourable for acidic variants.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Attribute</w:t>
                  </w:r>
                </w:p>
              </w:tc>
              <w:tc>
                <w:tcPr/>
                <w:p>
                  <w:pPr>
                    <w:pStyle w:val="Compact"/>
                    <w:jc w:val="center"/>
                  </w:pPr>
                  <w:r>
                    <w:t xml:space="preserve">Criterion</w:t>
                  </w:r>
                  <w:r>
                    <w:br/>
                  </w:r>
                  <w:r>
                    <w:t xml:space="preserve">(%)</w:t>
                  </w:r>
                </w:p>
              </w:tc>
              <w:tc>
                <w:tcPr/>
                <w:p>
                  <w:pPr>
                    <w:pStyle w:val="Compact"/>
                    <w:jc w:val="center"/>
                  </w:pPr>
                  <w:r>
                    <w:t xml:space="preserve">Change across</w:t>
                  </w:r>
                  <w:r>
                    <w:br/>
                  </w:r>
                  <w:r>
                    <w:t xml:space="preserve">the NOR (p)</w:t>
                  </w:r>
                </w:p>
              </w:tc>
              <w:tc>
                <w:tcPr/>
                <w:p>
                  <w:pPr>
                    <w:pStyle w:val="Compact"/>
                    <w:jc w:val="center"/>
                  </w:pPr>
                  <w:r>
                    <w:t xml:space="preserve">Osmolality</w:t>
                  </w:r>
                  <w:r>
                    <w:br/>
                  </w:r>
                  <w:r>
                    <w:t xml:space="preserve">(mOsm/kg)</w:t>
                  </w:r>
                </w:p>
              </w:tc>
              <w:tc>
                <w:tcPr/>
                <w:p>
                  <w:pPr>
                    <w:pStyle w:val="Compact"/>
                    <w:jc w:val="center"/>
                  </w:pPr>
                  <w:r>
                    <w:t xml:space="preserve">Fitted</w:t>
                  </w:r>
                  <w:r>
                    <w:br/>
                  </w:r>
                  <w:r>
                    <w:t xml:space="preserve">mean</w:t>
                  </w:r>
                </w:p>
              </w:tc>
              <w:tc>
                <w:tcPr/>
                <w:p>
                  <w:pPr>
                    <w:pStyle w:val="Compact"/>
                    <w:jc w:val="center"/>
                  </w:pPr>
                  <w:r>
                    <w:t xml:space="preserve">95 % prediction</w:t>
                  </w:r>
                  <w:r>
                    <w:br/>
                  </w:r>
                  <w:r>
                    <w:t xml:space="preserve">interval</w:t>
                  </w:r>
                </w:p>
              </w:tc>
              <w:tc>
                <w:tcPr/>
                <w:p>
                  <w:pPr>
                    <w:pStyle w:val="Compact"/>
                    <w:jc w:val="center"/>
                  </w:pPr>
                  <w:r>
                    <w:t xml:space="preserve">Fitted</w:t>
                  </w:r>
                  <w:r>
                    <w:br/>
                  </w:r>
                  <w:r>
                    <w:t xml:space="preserve">mean meets</w:t>
                  </w:r>
                </w:p>
              </w:tc>
              <w:tc>
                <w:tcPr/>
                <w:p>
                  <w:pPr>
                    <w:pStyle w:val="Compact"/>
                    <w:jc w:val="center"/>
                  </w:pPr>
                  <w:r>
                    <w:t xml:space="preserve">Interval</w:t>
                  </w:r>
                  <w:r>
                    <w:br/>
                  </w:r>
                  <w:r>
                    <w:t xml:space="preserve">meets</w:t>
                  </w:r>
                </w:p>
              </w:tc>
            </w:tr>
            <w:tr>
              <w:tc>
                <w:tcPr>
                  <w:vMerge w:val="restart"/>
                </w:tcPr>
                <w:p>
                  <w:pPr>
                    <w:pStyle w:val="Compact"/>
                    <w:jc w:val="center"/>
                  </w:pPr>
                  <w:r>
                    <w:t xml:space="preserve">Afucosylation (%)</w:t>
                  </w:r>
                </w:p>
              </w:tc>
              <w:tc>
                <w:tcPr>
                  <w:vMerge w:val="restart"/>
                </w:tcPr>
                <w:p>
                  <w:pPr>
                    <w:pStyle w:val="Compact"/>
                    <w:jc w:val="center"/>
                  </w:pPr>
                  <w:r>
                    <w:t xml:space="preserve">2–13</w:t>
                  </w:r>
                </w:p>
              </w:tc>
              <w:tc>
                <w:tcPr>
                  <w:vMerge w:val="restart"/>
                </w:tcPr>
                <w:p>
                  <w:pPr>
                    <w:pStyle w:val="Compact"/>
                    <w:jc w:val="center"/>
                  </w:pPr>
                  <w:r>
                    <w:t xml:space="preserve">−0.95 (0.023)</w:t>
                  </w:r>
                </w:p>
              </w:tc>
              <w:tc>
                <w:tcPr/>
                <w:p>
                  <w:pPr>
                    <w:pStyle w:val="Compact"/>
                    <w:jc w:val="center"/>
                  </w:pPr>
                  <w:r>
                    <w:t xml:space="preserve">375</w:t>
                  </w:r>
                </w:p>
              </w:tc>
              <w:tc>
                <w:tcPr/>
                <w:p>
                  <w:pPr>
                    <w:pStyle w:val="Compact"/>
                    <w:jc w:val="center"/>
                  </w:pPr>
                  <w:r>
                    <w:t xml:space="preserve">7.73</w:t>
                  </w:r>
                </w:p>
              </w:tc>
              <w:tc>
                <w:tcPr/>
                <w:p>
                  <w:pPr>
                    <w:pStyle w:val="Compact"/>
                    <w:jc w:val="center"/>
                  </w:pPr>
                  <w:r>
                    <w:t xml:space="preserve">6.50 to 8.96</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400</w:t>
                  </w:r>
                </w:p>
              </w:tc>
              <w:tc>
                <w:tcPr/>
                <w:p>
                  <w:pPr>
                    <w:pStyle w:val="Compact"/>
                    <w:jc w:val="center"/>
                  </w:pPr>
                  <w:r>
                    <w:t xml:space="preserve">7.26</w:t>
                  </w:r>
                </w:p>
              </w:tc>
              <w:tc>
                <w:tcPr/>
                <w:p>
                  <w:pPr>
                    <w:pStyle w:val="Compact"/>
                    <w:jc w:val="center"/>
                  </w:pPr>
                  <w:r>
                    <w:t xml:space="preserve">6.09 to 8.42</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425</w:t>
                  </w:r>
                </w:p>
              </w:tc>
              <w:tc>
                <w:tcPr/>
                <w:p>
                  <w:pPr>
                    <w:pStyle w:val="Compact"/>
                    <w:jc w:val="center"/>
                  </w:pPr>
                  <w:r>
                    <w:t xml:space="preserve">6.78</w:t>
                  </w:r>
                </w:p>
              </w:tc>
              <w:tc>
                <w:tcPr/>
                <w:p>
                  <w:pPr>
                    <w:pStyle w:val="Compact"/>
                    <w:jc w:val="center"/>
                  </w:pPr>
                  <w:r>
                    <w:t xml:space="preserve">5.55 to 8.01</w:t>
                  </w:r>
                </w:p>
              </w:tc>
              <w:tc>
                <w:tcPr/>
                <w:p>
                  <w:pPr>
                    <w:pStyle w:val="Compact"/>
                    <w:jc w:val="center"/>
                  </w:pPr>
                  <w:r>
                    <w:t xml:space="preserve">Yes</w:t>
                  </w:r>
                </w:p>
              </w:tc>
              <w:tc>
                <w:tcPr/>
                <w:p>
                  <w:pPr>
                    <w:pStyle w:val="Compact"/>
                    <w:jc w:val="center"/>
                  </w:pPr>
                  <w:r>
                    <w:t xml:space="preserve">Yes</w:t>
                  </w:r>
                </w:p>
              </w:tc>
            </w:tr>
            <w:tr>
              <w:tc>
                <w:tcPr>
                  <w:vMerge w:val="restart"/>
                </w:tcPr>
                <w:p>
                  <w:pPr>
                    <w:pStyle w:val="Compact"/>
                    <w:jc w:val="center"/>
                  </w:pPr>
                  <w:r>
                    <w:t xml:space="preserve">Galactosylation (%)</w:t>
                  </w:r>
                </w:p>
              </w:tc>
              <w:tc>
                <w:tcPr>
                  <w:vMerge w:val="restart"/>
                </w:tcPr>
                <w:p>
                  <w:pPr>
                    <w:pStyle w:val="Compact"/>
                    <w:jc w:val="center"/>
                  </w:pPr>
                  <w:r>
                    <w:t xml:space="preserve">10–40</w:t>
                  </w:r>
                </w:p>
              </w:tc>
              <w:tc>
                <w:tcPr>
                  <w:vMerge w:val="restart"/>
                </w:tcPr>
                <w:p>
                  <w:pPr>
                    <w:pStyle w:val="Compact"/>
                    <w:jc w:val="center"/>
                  </w:pPr>
                  <w:r>
                    <w:t xml:space="preserve">−2.21 (0.051)</w:t>
                  </w:r>
                </w:p>
              </w:tc>
              <w:tc>
                <w:tcPr/>
                <w:p>
                  <w:pPr>
                    <w:pStyle w:val="Compact"/>
                    <w:jc w:val="center"/>
                  </w:pPr>
                  <w:r>
                    <w:t xml:space="preserve">375</w:t>
                  </w:r>
                </w:p>
              </w:tc>
              <w:tc>
                <w:tcPr/>
                <w:p>
                  <w:pPr>
                    <w:pStyle w:val="Compact"/>
                    <w:jc w:val="center"/>
                  </w:pPr>
                  <w:r>
                    <w:t xml:space="preserve">23.0</w:t>
                  </w:r>
                </w:p>
              </w:tc>
              <w:tc>
                <w:tcPr/>
                <w:p>
                  <w:pPr>
                    <w:pStyle w:val="Compact"/>
                    <w:jc w:val="center"/>
                  </w:pPr>
                  <w:r>
                    <w:t xml:space="preserve">19.5 to 26.4</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400</w:t>
                  </w:r>
                </w:p>
              </w:tc>
              <w:tc>
                <w:tcPr/>
                <w:p>
                  <w:pPr>
                    <w:pStyle w:val="Compact"/>
                    <w:jc w:val="center"/>
                  </w:pPr>
                  <w:r>
                    <w:t xml:space="preserve">21.9</w:t>
                  </w:r>
                </w:p>
              </w:tc>
              <w:tc>
                <w:tcPr/>
                <w:p>
                  <w:pPr>
                    <w:pStyle w:val="Compact"/>
                    <w:jc w:val="center"/>
                  </w:pPr>
                  <w:r>
                    <w:t xml:space="preserve">18.6 to 25.1</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425</w:t>
                  </w:r>
                </w:p>
              </w:tc>
              <w:tc>
                <w:tcPr/>
                <w:p>
                  <w:pPr>
                    <w:pStyle w:val="Compact"/>
                    <w:jc w:val="center"/>
                  </w:pPr>
                  <w:r>
                    <w:t xml:space="preserve">20.8</w:t>
                  </w:r>
                </w:p>
              </w:tc>
              <w:tc>
                <w:tcPr/>
                <w:p>
                  <w:pPr>
                    <w:pStyle w:val="Compact"/>
                    <w:jc w:val="center"/>
                  </w:pPr>
                  <w:r>
                    <w:t xml:space="preserve">17.3 to 24.2</w:t>
                  </w:r>
                </w:p>
              </w:tc>
              <w:tc>
                <w:tcPr/>
                <w:p>
                  <w:pPr>
                    <w:pStyle w:val="Compact"/>
                    <w:jc w:val="center"/>
                  </w:pPr>
                  <w:r>
                    <w:t xml:space="preserve">Yes</w:t>
                  </w:r>
                </w:p>
              </w:tc>
              <w:tc>
                <w:tcPr/>
                <w:p>
                  <w:pPr>
                    <w:pStyle w:val="Compact"/>
                    <w:jc w:val="center"/>
                  </w:pPr>
                  <w:r>
                    <w:t xml:space="preserve">Yes</w:t>
                  </w:r>
                </w:p>
              </w:tc>
            </w:tr>
            <w:tr>
              <w:tc>
                <w:tcPr>
                  <w:vMerge w:val="restart"/>
                </w:tcPr>
                <w:p>
                  <w:pPr>
                    <w:pStyle w:val="Compact"/>
                    <w:jc w:val="center"/>
                  </w:pPr>
                  <w:r>
                    <w:t xml:space="preserve">High mannose (%)</w:t>
                  </w:r>
                </w:p>
              </w:tc>
              <w:tc>
                <w:tcPr>
                  <w:vMerge w:val="restart"/>
                </w:tcPr>
                <w:p>
                  <w:pPr>
                    <w:pStyle w:val="Compact"/>
                    <w:jc w:val="center"/>
                  </w:pPr>
                  <w:r>
                    <w:t xml:space="preserve">3–10</w:t>
                  </w:r>
                </w:p>
              </w:tc>
              <w:tc>
                <w:tcPr>
                  <w:vMerge w:val="restart"/>
                </w:tcPr>
                <w:p>
                  <w:pPr>
                    <w:pStyle w:val="Compact"/>
                    <w:jc w:val="center"/>
                  </w:pPr>
                  <w:r>
                    <w:t xml:space="preserve">0.20 (0.710)</w:t>
                  </w:r>
                </w:p>
              </w:tc>
              <w:tc>
                <w:tcPr/>
                <w:p>
                  <w:pPr>
                    <w:pStyle w:val="Compact"/>
                    <w:jc w:val="center"/>
                  </w:pPr>
                  <w:r>
                    <w:t xml:space="preserve">375</w:t>
                  </w:r>
                </w:p>
              </w:tc>
              <w:tc>
                <w:tcPr/>
                <w:p>
                  <w:pPr>
                    <w:pStyle w:val="Compact"/>
                    <w:jc w:val="center"/>
                  </w:pPr>
                  <w:r>
                    <w:t xml:space="preserve">7.03</w:t>
                  </w:r>
                </w:p>
              </w:tc>
              <w:tc>
                <w:tcPr/>
                <w:p>
                  <w:pPr>
                    <w:pStyle w:val="Compact"/>
                    <w:jc w:val="center"/>
                  </w:pPr>
                  <w:r>
                    <w:t xml:space="preserve">5.25 to 8.80</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400</w:t>
                  </w:r>
                </w:p>
              </w:tc>
              <w:tc>
                <w:tcPr/>
                <w:p>
                  <w:pPr>
                    <w:pStyle w:val="Compact"/>
                    <w:jc w:val="center"/>
                  </w:pPr>
                  <w:r>
                    <w:t xml:space="preserve">7.12</w:t>
                  </w:r>
                </w:p>
              </w:tc>
              <w:tc>
                <w:tcPr/>
                <w:p>
                  <w:pPr>
                    <w:pStyle w:val="Compact"/>
                    <w:jc w:val="center"/>
                  </w:pPr>
                  <w:r>
                    <w:t xml:space="preserve">5.44 to 8.81</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425</w:t>
                  </w:r>
                </w:p>
              </w:tc>
              <w:tc>
                <w:tcPr/>
                <w:p>
                  <w:pPr>
                    <w:pStyle w:val="Compact"/>
                    <w:jc w:val="center"/>
                  </w:pPr>
                  <w:r>
                    <w:t xml:space="preserve">7.22</w:t>
                  </w:r>
                </w:p>
              </w:tc>
              <w:tc>
                <w:tcPr/>
                <w:p>
                  <w:pPr>
                    <w:pStyle w:val="Compact"/>
                    <w:jc w:val="center"/>
                  </w:pPr>
                  <w:r>
                    <w:t xml:space="preserve">5.44 to 9.00</w:t>
                  </w:r>
                </w:p>
              </w:tc>
              <w:tc>
                <w:tcPr/>
                <w:p>
                  <w:pPr>
                    <w:pStyle w:val="Compact"/>
                    <w:jc w:val="center"/>
                  </w:pPr>
                  <w:r>
                    <w:t xml:space="preserve">Yes</w:t>
                  </w:r>
                </w:p>
              </w:tc>
              <w:tc>
                <w:tcPr/>
                <w:p>
                  <w:pPr>
                    <w:pStyle w:val="Compact"/>
                    <w:jc w:val="center"/>
                  </w:pPr>
                  <w:r>
                    <w:t xml:space="preserve">Yes</w:t>
                  </w:r>
                </w:p>
              </w:tc>
            </w:tr>
            <w:tr>
              <w:tc>
                <w:tcPr>
                  <w:vMerge w:val="restart"/>
                </w:tcPr>
                <w:p>
                  <w:pPr>
                    <w:pStyle w:val="Compact"/>
                    <w:jc w:val="center"/>
                  </w:pPr>
                  <w:r>
                    <w:t xml:space="preserve">Acidic variants (%)</w:t>
                  </w:r>
                </w:p>
              </w:tc>
              <w:tc>
                <w:tcPr>
                  <w:vMerge w:val="restart"/>
                </w:tcPr>
                <w:p>
                  <w:pPr>
                    <w:pStyle w:val="Compact"/>
                    <w:jc w:val="center"/>
                  </w:pPr>
                  <w:r>
                    <w:t xml:space="preserve">18–39</w:t>
                  </w:r>
                </w:p>
              </w:tc>
              <w:tc>
                <w:tcPr>
                  <w:vMerge w:val="restart"/>
                </w:tcPr>
                <w:p>
                  <w:pPr>
                    <w:pStyle w:val="Compact"/>
                    <w:jc w:val="center"/>
                  </w:pPr>
                  <w:r>
                    <w:t xml:space="preserve">−1.48 (0.191)</w:t>
                  </w:r>
                </w:p>
              </w:tc>
              <w:tc>
                <w:tcPr/>
                <w:p>
                  <w:pPr>
                    <w:pStyle w:val="Compact"/>
                    <w:jc w:val="center"/>
                  </w:pPr>
                  <w:r>
                    <w:t xml:space="preserve">375</w:t>
                  </w:r>
                </w:p>
              </w:tc>
              <w:tc>
                <w:tcPr/>
                <w:p>
                  <w:pPr>
                    <w:pStyle w:val="Compact"/>
                    <w:jc w:val="center"/>
                  </w:pPr>
                  <w:r>
                    <w:t xml:space="preserve">19.1</w:t>
                  </w:r>
                </w:p>
              </w:tc>
              <w:tc>
                <w:tcPr/>
                <w:p>
                  <w:pPr>
                    <w:pStyle w:val="Compact"/>
                    <w:jc w:val="center"/>
                  </w:pPr>
                  <w:r>
                    <w:t xml:space="preserve">15.5 to 22.8</w:t>
                  </w:r>
                </w:p>
              </w:tc>
              <w:tc>
                <w:tcPr/>
                <w:p>
                  <w:pPr>
                    <w:pStyle w:val="Compact"/>
                    <w:jc w:val="center"/>
                  </w:pPr>
                  <w:r>
                    <w:t xml:space="preserve">Yes</w:t>
                  </w:r>
                </w:p>
              </w:tc>
              <w:tc>
                <w:tcPr/>
                <w:p>
                  <w:pPr>
                    <w:pStyle w:val="Compact"/>
                    <w:jc w:val="center"/>
                  </w:pPr>
                  <w:r>
                    <w:t xml:space="preserve">No</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400</w:t>
                  </w:r>
                </w:p>
              </w:tc>
              <w:tc>
                <w:tcPr/>
                <w:p>
                  <w:pPr>
                    <w:pStyle w:val="Compact"/>
                    <w:jc w:val="center"/>
                  </w:pPr>
                  <w:r>
                    <w:t xml:space="preserve">18.4</w:t>
                  </w:r>
                </w:p>
              </w:tc>
              <w:tc>
                <w:tcPr/>
                <w:p>
                  <w:pPr>
                    <w:pStyle w:val="Compact"/>
                    <w:jc w:val="center"/>
                  </w:pPr>
                  <w:r>
                    <w:t xml:space="preserve">15.0 to 21.9</w:t>
                  </w:r>
                </w:p>
              </w:tc>
              <w:tc>
                <w:tcPr/>
                <w:p>
                  <w:pPr>
                    <w:pStyle w:val="Compact"/>
                    <w:jc w:val="center"/>
                  </w:pPr>
                  <w:r>
                    <w:t xml:space="preserve">Yes</w:t>
                  </w:r>
                </w:p>
              </w:tc>
              <w:tc>
                <w:tcPr/>
                <w:p>
                  <w:pPr>
                    <w:pStyle w:val="Compact"/>
                    <w:jc w:val="center"/>
                  </w:pPr>
                  <w:r>
                    <w:t xml:space="preserve">No</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425</w:t>
                  </w:r>
                </w:p>
              </w:tc>
              <w:tc>
                <w:tcPr/>
                <w:p>
                  <w:pPr>
                    <w:pStyle w:val="Compact"/>
                    <w:jc w:val="center"/>
                  </w:pPr>
                  <w:r>
                    <w:t xml:space="preserve">17.7</w:t>
                  </w:r>
                </w:p>
              </w:tc>
              <w:tc>
                <w:tcPr/>
                <w:p>
                  <w:pPr>
                    <w:pStyle w:val="Compact"/>
                    <w:jc w:val="center"/>
                  </w:pPr>
                  <w:r>
                    <w:t xml:space="preserve">14.0 to 21.3</w:t>
                  </w:r>
                </w:p>
              </w:tc>
              <w:tc>
                <w:tcPr/>
                <w:p>
                  <w:pPr>
                    <w:pStyle w:val="Compact"/>
                    <w:jc w:val="center"/>
                  </w:pPr>
                  <w:r>
                    <w:t xml:space="preserve">No</w:t>
                  </w:r>
                </w:p>
              </w:tc>
              <w:tc>
                <w:tcPr/>
                <w:p>
                  <w:pPr>
                    <w:pStyle w:val="Compact"/>
                    <w:jc w:val="center"/>
                  </w:pPr>
                  <w:r>
                    <w:t xml:space="preserve">No</w:t>
                  </w:r>
                </w:p>
              </w:tc>
            </w:tr>
            <w:tr>
              <w:tc>
                <w:tcPr>
                  <w:vMerge w:val="restart"/>
                </w:tcPr>
                <w:p>
                  <w:pPr>
                    <w:pStyle w:val="Compact"/>
                    <w:jc w:val="center"/>
                  </w:pPr>
                  <w:r>
                    <w:t xml:space="preserve">Aggregates, HMW (%)</w:t>
                  </w:r>
                </w:p>
              </w:tc>
              <w:tc>
                <w:tcPr>
                  <w:vMerge w:val="restart"/>
                </w:tcPr>
                <w:p>
                  <w:pPr>
                    <w:pStyle w:val="Compact"/>
                    <w:jc w:val="center"/>
                  </w:pPr>
                  <w:r>
                    <w:t xml:space="preserve">≤ 6.46</w:t>
                  </w:r>
                </w:p>
              </w:tc>
              <w:tc>
                <w:tcPr>
                  <w:vMerge w:val="restart"/>
                </w:tcPr>
                <w:p>
                  <w:pPr>
                    <w:pStyle w:val="Compact"/>
                    <w:jc w:val="center"/>
                  </w:pPr>
                  <w:r>
                    <w:t xml:space="preserve">−0.02 (0.852)</w:t>
                  </w:r>
                </w:p>
              </w:tc>
              <w:tc>
                <w:tcPr/>
                <w:p>
                  <w:pPr>
                    <w:pStyle w:val="Compact"/>
                    <w:jc w:val="center"/>
                  </w:pPr>
                  <w:r>
                    <w:t xml:space="preserve">375</w:t>
                  </w:r>
                </w:p>
              </w:tc>
              <w:tc>
                <w:tcPr/>
                <w:p>
                  <w:pPr>
                    <w:pStyle w:val="Compact"/>
                    <w:jc w:val="center"/>
                  </w:pPr>
                  <w:r>
                    <w:t xml:space="preserve">1.97</w:t>
                  </w:r>
                </w:p>
              </w:tc>
              <w:tc>
                <w:tcPr/>
                <w:p>
                  <w:pPr>
                    <w:pStyle w:val="Compact"/>
                    <w:jc w:val="center"/>
                  </w:pPr>
                  <w:r>
                    <w:t xml:space="preserve">1.68 to 2.26</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400</w:t>
                  </w:r>
                </w:p>
              </w:tc>
              <w:tc>
                <w:tcPr/>
                <w:p>
                  <w:pPr>
                    <w:pStyle w:val="Compact"/>
                    <w:jc w:val="center"/>
                  </w:pPr>
                  <w:r>
                    <w:t xml:space="preserve">1.96</w:t>
                  </w:r>
                </w:p>
              </w:tc>
              <w:tc>
                <w:tcPr/>
                <w:p>
                  <w:pPr>
                    <w:pStyle w:val="Compact"/>
                    <w:jc w:val="center"/>
                  </w:pPr>
                  <w:r>
                    <w:t xml:space="preserve">1.69 to 2.23</w:t>
                  </w:r>
                </w:p>
              </w:tc>
              <w:tc>
                <w:tcPr/>
                <w:p>
                  <w:pPr>
                    <w:pStyle w:val="Compact"/>
                    <w:jc w:val="center"/>
                  </w:pPr>
                  <w:r>
                    <w:t xml:space="preserve">Yes</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425</w:t>
                  </w:r>
                </w:p>
              </w:tc>
              <w:tc>
                <w:tcPr/>
                <w:p>
                  <w:pPr>
                    <w:pStyle w:val="Compact"/>
                    <w:jc w:val="center"/>
                  </w:pPr>
                  <w:r>
                    <w:t xml:space="preserve">1.95</w:t>
                  </w:r>
                </w:p>
              </w:tc>
              <w:tc>
                <w:tcPr/>
                <w:p>
                  <w:pPr>
                    <w:pStyle w:val="Compact"/>
                    <w:jc w:val="center"/>
                  </w:pPr>
                  <w:r>
                    <w:t xml:space="preserve">1.66 to 2.24</w:t>
                  </w:r>
                </w:p>
              </w:tc>
              <w:tc>
                <w:tcPr/>
                <w:p>
                  <w:pPr>
                    <w:pStyle w:val="Compact"/>
                    <w:jc w:val="center"/>
                  </w:pPr>
                  <w:r>
                    <w:t xml:space="preserve">Yes</w:t>
                  </w:r>
                </w:p>
              </w:tc>
              <w:tc>
                <w:tcPr/>
                <w:p>
                  <w:pPr>
                    <w:pStyle w:val="Compact"/>
                    <w:jc w:val="center"/>
                  </w:pPr>
                  <w:r>
                    <w:t xml:space="preserve">Yes</w:t>
                  </w:r>
                </w:p>
              </w:tc>
            </w:tr>
            <w:tr>
              <w:tc>
                <w:tcPr>
                  <w:gridSpan w:val="8"/>
                </w:tcPr>
                <w:p>
                  <w:pPr>
                    <w:pStyle w:val="Compact"/>
                    <w:jc w:val="center"/>
                  </w:pPr>
                  <w:r>
                    <w:t xml:space="preserve">All values at manufacturing scale and in percentage points of the attribute. Change across the NOR, from the NOR low to the NOR high of osmolality, from a straight line through the 12 runs, with the p-value of its slope. Both ends of a two-sided criterion are judged.</w:t>
                  </w:r>
                </w:p>
              </w:tc>
            </w:tr>
          </w:tbl>
          <w:bookmarkEnd w:id="99"/>
          <w:p/>
        </w:tc>
      </w:tr>
    </w:tbl>
    <w:bookmarkEnd w:id="100"/>
    <w:bookmarkStart w:id="101" w:name="sec-mechanism"/>
    <w:p>
      <w:pPr>
        <w:pStyle w:val="Heading2"/>
      </w:pPr>
      <w:r>
        <w:t xml:space="preserve">5.6 Mechanistic interpretation</w:t>
      </w:r>
    </w:p>
    <w:p>
      <w:pPr>
        <w:pStyle w:val="FirstParagraph"/>
      </w:pPr>
      <w:r>
        <w:t xml:space="preserve">Galactosylation falls with culture duration, the direction that the late depletion of UDP-galactose and of the manganese cofactor of the galactosyltransferase predicts (</w:t>
      </w:r>
      <w:hyperlink w:anchor="sec-platform">
        <w:r>
          <w:rPr>
            <w:rStyle w:val="Hyperlink"/>
          </w:rPr>
          <w:t xml:space="preserve">Section 2.1</w:t>
        </w:r>
      </w:hyperlink>
      <w:r>
        <w:t xml:space="preserve">). The fall is much larger at the low end of the pH range than at the high end. A galactosyltransferase whose rate depends on the pH of the Golgi predicts an interaction of culture pH with culture duration, but not its sign. Culture temperature raises galactosylation at high pH and has no effect at low pH.</w:t>
      </w:r>
    </w:p>
    <w:p>
      <w:pPr>
        <w:pStyle w:val="BodyText"/>
      </w:pPr>
      <w:r>
        <w:t xml:space="preserve">Afucosylation also falls with culture duration at low pH, and hardly at high pH. The mechanism predicts a rise. A pool weighted toward antibody made late in the culture, when GDP-fucose and the processing capacity of the Golgi have declined, should carry more antibody without core fucose.</w:t>
      </w:r>
    </w:p>
    <w:p>
      <w:pPr>
        <w:pStyle w:val="BodyText"/>
      </w:pPr>
      <w:r>
        <w:t xml:space="preserve">A higher pCO2 lowers galactosylation, afucosylation and acidic variants, in each case the direction of a higher culture pH. The mechanism predicts the direction of a lower culture pH, because dissolved carbon dioxide lowers the pH in the cytosol. Osmolality was a factor of the screening design, at 360 and 440 mOsm/kg, set independently of pCO2, and it was held at its set-point in the response-surface design. A rise of osmolality with pCO2 therefore does not explain the direction.</w:t>
      </w:r>
    </w:p>
    <w:p>
      <w:pPr>
        <w:pStyle w:val="BodyText"/>
      </w:pPr>
      <w:r>
        <w:t xml:space="preserve">Acidic variants rise with culture temperature, the direction in which a higher temperature speeds deamidation. They fall as culture pH rises, although a higher pH speeds deamidation too. A higher pH would have to lower the sialylated or glycated forms by more than it raises the deamidated ones, and icIEF does not measure the three routes apart.</w:t>
      </w:r>
    </w:p>
    <w:p>
      <w:pPr>
        <w:pStyle w:val="BodyText"/>
      </w:pPr>
      <w:r>
        <w:t xml:space="preserve">Aggregate rises with culture pH and with culture duration, the directions that the weaker repulsion between antibody molecules near the isoelectric point and the longer time at temperature predict (</w:t>
      </w:r>
      <w:hyperlink w:anchor="sec-platform">
        <w:r>
          <w:rPr>
            <w:rStyle w:val="Hyperlink"/>
          </w:rPr>
          <w:t xml:space="preserve">Section 2.1</w:t>
        </w:r>
      </w:hyperlink>
      <w:r>
        <w:t xml:space="preserve">). On the log scale the two effects multiply, so aggregate is highest after a long culture at high pH. High mannose rises with culture pH and falls with culture temperature. A warmer culture speeds the processing enzymes of the Golgi, which predicts less high mannose, and the mechanism gives no direction for the pH effect.</w:t>
      </w:r>
    </w:p>
    <w:p>
      <w:pPr>
        <w:pStyle w:val="BodyText"/>
      </w:pPr>
      <w:r>
        <w:t xml:space="preserve">The mechanism of</w:t>
      </w:r>
      <w:r>
        <w:t xml:space="preserve"> </w:t>
      </w:r>
      <w:hyperlink w:anchor="sec-platform">
        <w:r>
          <w:rPr>
            <w:rStyle w:val="Hyperlink"/>
          </w:rPr>
          <w:t xml:space="preserve">Section 2.1</w:t>
        </w:r>
      </w:hyperlink>
      <w:r>
        <w:t xml:space="preserve"> </w:t>
      </w:r>
      <w:r>
        <w:t xml:space="preserve">therefore does not explain the direction of the effect of culture duration on afucosylation, of pCO2 on galactosylation, afucosylation and acidic variants, or of culture pH on acidic variants, and it does not account for the effect of the initial viable cell concentration on acidic variants (</w:t>
      </w:r>
      <w:hyperlink w:anchor="sec-univariate">
        <w:r>
          <w:rPr>
            <w:rStyle w:val="Hyperlink"/>
          </w:rPr>
          <w:t xml:space="preserve">Section 5.4</w:t>
        </w:r>
      </w:hyperlink>
      <w:r>
        <w:t xml:space="preserve">).</w:t>
      </w:r>
    </w:p>
    <w:p>
      <w:pPr>
        <w:pStyle w:val="BodyText"/>
      </w:pPr>
      <w:r>
        <w:t xml:space="preserve">For the operation of the step, the attribute nearest its limit is acidic variants at its lower limit. A high culture pH, a high pCO2 and a low culture temperature lower acidic variants. A high osmolality lowered them in the screening design, and a low initial viable cell concentration in the univariate study. Galactosylation approaches its upper limit at low pH, high temperature, short culture and low pCO2, but at the least favourable NOR combination its prediction interval stays 5.9 points below that limit. Routine operation is therefore limited by acidic variants, whose risk</w:t>
      </w:r>
      <w:r>
        <w:t xml:space="preserve"> </w:t>
      </w:r>
      <w:hyperlink w:anchor="sec-criteria-results">
        <w:r>
          <w:rPr>
            <w:rStyle w:val="Hyperlink"/>
          </w:rPr>
          <w:t xml:space="preserve">Section 7.2</w:t>
        </w:r>
      </w:hyperlink>
      <w:r>
        <w:t xml:space="preserve"> </w:t>
      </w:r>
      <w:r>
        <w:t xml:space="preserve">accepts and</w:t>
      </w:r>
      <w:r>
        <w:t xml:space="preserve"> </w:t>
      </w:r>
      <w:hyperlink w:anchor="sec-control">
        <w:r>
          <w:rPr>
            <w:rStyle w:val="Hyperlink"/>
          </w:rPr>
          <w:t xml:space="preserve">Section 10</w:t>
        </w:r>
      </w:hyperlink>
      <w:r>
        <w:t xml:space="preserve"> </w:t>
      </w:r>
      <w:r>
        <w:t xml:space="preserve">mitigates.</w:t>
      </w:r>
    </w:p>
    <w:bookmarkEnd w:id="101"/>
    <w:bookmarkEnd w:id="102"/>
    <w:bookmarkStart w:id="107" w:name="sec-design-space"/>
    <w:p>
      <w:pPr>
        <w:pStyle w:val="Heading1"/>
      </w:pPr>
      <w:r>
        <w:t xml:space="preserve">6. Design space</w:t>
      </w:r>
    </w:p>
    <w:p>
      <w:pPr>
        <w:pStyle w:val="FirstParagraph"/>
      </w:pPr>
      <w:r>
        <w:t xml:space="preserve">The design space of this step is the region of the four response-surface parameters over which every modelled attribute meets its intermediate acceptance criterion. It is judged on the 95 % prediction interval of a single run at manufacturing scale, as PCMP-001 §6.2 requires. A setting lies inside it when both ends of that interval lie within the criterion of every attribute. Osmolality and the four univariate parameters are held at their set-points, so the design space is conditioned on them, and it is not claimed beyond the ranges studied.</w:t>
      </w:r>
    </w:p>
    <w:p>
      <w:pPr>
        <w:pStyle w:val="BodyText"/>
      </w:pPr>
      <w:r>
        <w:t xml:space="preserve">On the grid of 14,641 points, 73.7 % of the region studied lies inside the design space. Its boundary is set by the lower limit of acidic variants, which excludes 26.0 % of the grid points. Galactosylation excludes 0.3 % and afucosylation 0.1 %, and high mannose and aggregate exclude none. On the mean prediction in place of the single-run interval, 91.7 % of the grid would lie inside. A region drawn on mean predictions gives a single batch at its edge only about an even chance of meeting the criterion (PCMP-001 §6.2).</w:t>
      </w:r>
    </w:p>
    <w:p>
      <w:pPr>
        <w:pStyle w:val="BodyText"/>
      </w:pPr>
      <w:hyperlink w:anchor="fig-design-space">
        <w:r>
          <w:rPr>
            <w:rStyle w:val="Hyperlink"/>
          </w:rPr>
          <w:t xml:space="preserve">Figure 7</w:t>
        </w:r>
      </w:hyperlink>
      <w:r>
        <w:t xml:space="preserve"> </w:t>
      </w:r>
      <w:r>
        <w:t xml:space="preserve">shows two planes of the design space in culture pH and pCO2. In the first, culture temperature and culture duration are at their set-points, and 3.1 % of the NOR of culture pH and pCO2, at its corner of high pH and high pCO2, lies outside the design space. In the second, culture temperature is at its NOR low and culture duration at its NOR high, the settings least favourable for acidic variants, and 18.8 % lies outside. The NOR therefore does not lie entirely inside the design space, and</w:t>
      </w:r>
      <w:r>
        <w:t xml:space="preserve"> </w:t>
      </w:r>
      <w:hyperlink w:anchor="sec-criteria-results">
        <w:r>
          <w:rPr>
            <w:rStyle w:val="Hyperlink"/>
          </w:rPr>
          <w:t xml:space="preserve">Section 7.2</w:t>
        </w:r>
      </w:hyperlink>
      <w:r>
        <w:t xml:space="preserve"> </w:t>
      </w:r>
      <w:r>
        <w:t xml:space="preserve">gives the decision not to narrow it (PD-003-08).</w:t>
      </w:r>
    </w:p>
    <w:tbl>
      <w:tblPr>
        <w:tblStyle w:val="Table"/>
        <w:tblW w:type="pct" w:w="5000"/>
        <w:tblLayout w:type="fixed"/>
        <w:tblLook w:firstRow="0" w:lastRow="0" w:firstColumn="0" w:lastColumn="0" w:noHBand="0" w:noVBand="0" w:val="0000"/>
      </w:tblPr>
      <w:tblGrid>
        <w:gridCol w:w="7920"/>
      </w:tblGrid>
      <w:tr>
        <w:tc>
          <w:tcPr/>
          <w:bookmarkStart w:id="106" w:name="fig-design-space"/>
          <w:p>
            <w:pPr>
              <w:pStyle w:val="Compact"/>
              <w:jc w:val="center"/>
            </w:pPr>
            <w:r>
              <w:drawing>
                <wp:inline>
                  <wp:extent cx="5334000" cy="2153909"/>
                  <wp:effectExtent b="0" l="0" r="0" t="0"/>
                  <wp:docPr descr="" title="" id="104" name="Picture"/>
                  <a:graphic>
                    <a:graphicData uri="http://schemas.openxmlformats.org/drawingml/2006/picture">
                      <pic:pic>
                        <pic:nvPicPr>
                          <pic:cNvPr descr="PCR-003_bioreactor_files/figure-docx/fig-design-space-output-1.png" id="105" name="Picture"/>
                          <pic:cNvPicPr>
                            <a:picLocks noChangeArrowheads="1" noChangeAspect="1"/>
                          </pic:cNvPicPr>
                        </pic:nvPicPr>
                        <pic:blipFill>
                          <a:blip r:embed="rId103"/>
                          <a:stretch>
                            <a:fillRect/>
                          </a:stretch>
                        </pic:blipFill>
                        <pic:spPr bwMode="auto">
                          <a:xfrm>
                            <a:off x="0" y="0"/>
                            <a:ext cx="5334000" cy="21539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Two planes of the design space in culture pH and pCO2, on the 95 % prediction interval of a single run at manufacturing scale. Left, culture temperature and culture duration at their set-points. Right, culture temperature at its NOR low and culture duration at its NOR high. Plain green, every attribute meets its criterion. Hatched red, at least one does not. The rectangle is the NOR and the cross the set-point. The shares outside the design space given in the text come from a grid of 41 by 41 settings over the NOR of culture pH and pCO2.</w:t>
            </w:r>
          </w:p>
          <w:bookmarkEnd w:id="106"/>
        </w:tc>
      </w:tr>
    </w:tbl>
    <w:p>
      <w:pPr>
        <w:pStyle w:val="BodyText"/>
      </w:pPr>
      <w:r>
        <w:t xml:space="preserve">Each PAR of</w:t>
      </w:r>
      <w:r>
        <w:t xml:space="preserve"> </w:t>
      </w:r>
      <w:hyperlink w:anchor="sec-par-table">
        <w:r>
          <w:rPr>
            <w:rStyle w:val="Hyperlink"/>
          </w:rPr>
          <w:t xml:space="preserve">Section 7.3</w:t>
        </w:r>
      </w:hyperlink>
      <w:r>
        <w:t xml:space="preserve"> </w:t>
      </w:r>
      <w:r>
        <w:t xml:space="preserve">holds while the other parameters vary about their set-points, and the design space holds at every combination of settings at once. As ICH Q8(R2) states, working within the design space is not considered a change from a regulatory filing perspective</w:t>
      </w:r>
      <w:r>
        <w:t xml:space="preserve"> </w:t>
      </w:r>
      <w:r>
        <w:t xml:space="preserve">(International Council for Harmonisation 2009)</w:t>
      </w:r>
      <w:r>
        <w:t xml:space="preserve">. Movement within it is still assessed under the change management of the quality system, and a move outside it is a change</w:t>
      </w:r>
      <w:r>
        <w:t xml:space="preserve"> </w:t>
      </w:r>
      <w:r>
        <w:t xml:space="preserve">(International Council for Harmonisation 2008)</w:t>
      </w:r>
      <w:r>
        <w:t xml:space="preserve">. The design space rests on the scale-down model and is not confirmed at commercial scale at its edges.</w:t>
      </w:r>
    </w:p>
    <w:bookmarkEnd w:id="107"/>
    <w:bookmarkStart w:id="135" w:name="sec-par"/>
    <w:p>
      <w:pPr>
        <w:pStyle w:val="Heading1"/>
      </w:pPr>
      <w:r>
        <w:t xml:space="preserve">7. Proven acceptable ranges</w:t>
      </w:r>
    </w:p>
    <w:bookmarkStart w:id="109" w:name="sec-criteria"/>
    <w:p>
      <w:pPr>
        <w:pStyle w:val="Heading2"/>
      </w:pPr>
      <w:r>
        <w:t xml:space="preserve">7.1 Acceptance criteria</w:t>
      </w:r>
    </w:p>
    <w:p>
      <w:pPr>
        <w:pStyle w:val="FirstParagraph"/>
      </w:pPr>
      <w:r>
        <w:t xml:space="preserve">Each output is judged against its intermediate acceptance criterion (</w:t>
      </w:r>
      <w:hyperlink w:anchor="tbl-iac">
        <w:r>
          <w:rPr>
            <w:rStyle w:val="Hyperlink"/>
          </w:rPr>
          <w:t xml:space="preserve">Table 22</w:t>
        </w:r>
      </w:hyperlink>
      <w:r>
        <w:t xml:space="preserve">). PCMP-001 §7.3 derives the criterion by back-calculation from the drug substance criterion, through the worst case of every downstream step on the platform, with no margin. Afucosylation, galactosylation and high mannose keep their drug substance criteria, because no downstream step changes them. The upper limit of acidic variants is the drug substance limit less the platform worst case of the increase across low-pH viral inactivation, 1.00 points, which gives 39.0 %. In the low-pH response-surface design every run at the same hold time gave the same acidic-variant result, so the full quadratic model reproduces the results exactly, cannot be judged against PCMP-001 §7.2, and the platform value stands. The increase applies to the upper limit only. The lower limit is the drug substance limit unchanged, which assumes that no downstream step lowers acidic variants (PCP-003 §12).</w:t>
      </w:r>
    </w:p>
    <w:p>
      <w:pPr>
        <w:pStyle w:val="BodyText"/>
      </w:pPr>
      <w:r>
        <w:t xml:space="preserve">The aggregate criterion is the drug substance limit multiplied by the aggregate clearance factor of cation exchange, less the aggregate increase across low-pH viral inactivation. From the platform values alone it is 9.30 %. Verification of the platform worst cases changed both terms (PCMP-001 §7.5). The cation exchange model predicted within its NOR a lowest clearance of 1.58-fold, worse than the platform worst case of 2.00-fold. The one-sided 95 % prediction bound of a single batch there, 1.40-fold, replaced the platform value (PCR-007), which alone would set the criterion at 6.32 %. The low-pH viral inactivation model gave a bound of 0.56 points for the increase, better than the platform value of 0.70 points, on a model that meets the first three adequacy criteria of PCMP-001 §7.2 (PCR-006). That bound replaced the platform value too. The criterion in force is 6.46 %, stricter than the a priori value. It is computed from the unrounded terms, so the rounded values of</w:t>
      </w:r>
      <w:r>
        <w:t xml:space="preserve"> </w:t>
      </w:r>
      <w:hyperlink w:anchor="tbl-iac">
        <w:r>
          <w:rPr>
            <w:rStyle w:val="Hyperlink"/>
          </w:rPr>
          <w:t xml:space="preserve">Table 22</w:t>
        </w:r>
      </w:hyperlink>
      <w:r>
        <w:t xml:space="preserve"> </w:t>
      </w:r>
      <w:r>
        <w:t xml:space="preserve">give 6.44 %.</w:t>
      </w:r>
    </w:p>
    <w:p>
      <w:pPr>
        <w:pStyle w:val="BodyText"/>
      </w:pPr>
      <w:r>
        <w:t xml:space="preserve">PCMP-001 §7.5 asks for the risk of the change. The net change is a tightening. No in-process test of aggregate exists at this step, so no batch fails here, and the risk of the tighter criterion falls on the producer at release, where SEC tests aggregate in the drug substance against the limit of 5.0 % and detects an excursion. The widening alone moves the criterion 0.14 points in the direction of a higher risk to the patient. To meet the drug substance limit, cation exchange must clear at least 1.40-fold and low-pH viral inactivation must add no more than 0.56 points. At the highest single-run level that the model of this step predicts within the NOR, 2.35 % at manufacturing scale, the drug substance would then carry at most 2.07 %. None of the 2,000 batches of the integrated model fell outside the aggregate criterion of the drug substance, which puts the probability below 0.15 % at one-sided 95 % confidence (</w:t>
      </w:r>
      <w:hyperlink w:anchor="sec-capability">
        <w:r>
          <w:rPr>
            <w:rStyle w:val="Hyperlink"/>
          </w:rPr>
          <w:t xml:space="preserve">Section 8</w:t>
        </w:r>
      </w:hyperlink>
      <w:r>
        <w:t xml:space="preserve">).</w:t>
      </w:r>
    </w:p>
    <w:p>
      <w:pPr>
        <w:pStyle w:val="BodyText"/>
      </w:pPr>
      <w:r>
        <w:t xml:space="preserve">The widening rests on the bound of the low-pH viral inactivation model, from the 18 runs of its response-surface design. That model has predicted R² 0.004 below R² and a lack-of-fit p-value of 0.504, and it also meets the criterion on residuals and influential runs. PCR-006 gives the bound and states whether it depends on a single run, as PCMP-001 §7.5 requires. The platform worst case is an increase over a hold of 180 min, while the NOR of the A-Mab hold as characterized ends at 120 min. At the edges of the range studied, which include the longer hold, A-Mab added up to 0.84 points, more than the platform value. The replacement therefore reflects the shorter hold of A-Mab and not a more stable product. It holds for routine manufacture, which is controlled within the hold-time NOR, and the NOR of hold time and temperature in force ends at the same longest hold and highest temperature as the NOR as characterized.</w:t>
      </w:r>
    </w:p>
    <w:p>
      <w:pPr>
        <w:pStyle w:val="BodyText"/>
      </w:pPr>
      <w:r>
        <w:t xml:space="preserve">Without the model selection of INV-002 corrective action CA3, the verification would have used the full quadratic models, and the aggregate criterion would be 6.19 %. The low-pH model of acidic variants is an exact fit, which cannot replace the platform value, so the acidic-variant criterion would not change. Judged against that aggregate criterion, aggregate keeps its verdict over the NOR, its PARs and the qualification of its scale-down model.</w:t>
      </w:r>
    </w:p>
    <w:tbl>
      <w:tblPr>
        <w:tblStyle w:val="Table"/>
        <w:tblW w:type="pct" w:w="5000"/>
        <w:tblLayout w:type="fixed"/>
        <w:tblLook w:firstRow="0" w:lastRow="0" w:firstColumn="0" w:lastColumn="0" w:noHBand="0" w:noVBand="0" w:val="0000"/>
      </w:tblPr>
      <w:tblGrid>
        <w:gridCol w:w="7920"/>
      </w:tblGrid>
      <w:tr>
        <w:tc>
          <w:tcPr/>
          <w:bookmarkStart w:id="108" w:name="tbl-iac"/>
          <w:p>
            <w:pPr>
              <w:jc w:val="center"/>
            </w:pPr>
            <w:pPr>
              <w:jc w:val="start"/>
              <w:spacing w:before="200"/>
              <w:pStyle w:val="ImageCaption"/>
            </w:pPr>
            <w:r>
              <w:t xml:space="preserve">Table 22: Intermediate acceptance criteria for the production bioreactor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1.40</w:t>
                  </w:r>
                </w:p>
              </w:tc>
              <w:tc>
                <w:tcPr/>
                <w:p>
                  <w:pPr>
                    <w:pStyle w:val="Compact"/>
                    <w:jc w:val="center"/>
                  </w:pPr>
                  <w:r>
                    <w:t xml:space="preserve">0.56</w:t>
                  </w:r>
                </w:p>
              </w:tc>
              <w:tc>
                <w:tcPr/>
                <w:p>
                  <w:pPr>
                    <w:pStyle w:val="Compact"/>
                    <w:jc w:val="center"/>
                  </w:pPr>
                  <w:r>
                    <w:t xml:space="preserve">≤ 6.46</w:t>
                  </w:r>
                </w:p>
              </w:tc>
              <w:tc>
                <w:tcPr/>
                <w:p>
                  <w:pPr>
                    <w:pStyle w:val="Compact"/>
                    <w:jc w:val="center"/>
                  </w:pPr>
                  <w:r>
                    <w:t xml:space="preserve">Carried back, tightened</w:t>
                  </w:r>
                  <w:r>
                    <w:rPr>
                      <w:vertAlign w:val="superscript"/>
                    </w:rPr>
                    <w:t xml:space="preserve">a)</w:t>
                  </w:r>
                  <w:r>
                    <w:t xml:space="preserve"> </w:t>
                  </w:r>
                  <w:r>
                    <w:t xml:space="preserve">and widened</w:t>
                  </w:r>
                  <w:r>
                    <w:rPr>
                      <w:vertAlign w:val="superscript"/>
                    </w:rPr>
                    <w:t xml:space="preserve">b)</w:t>
                  </w:r>
                </w:p>
              </w:tc>
            </w:tr>
            <w:tr>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18.0–39.0</w:t>
                  </w:r>
                </w:p>
              </w:tc>
              <w:tc>
                <w:tcPr/>
                <w:p>
                  <w:pPr>
                    <w:pStyle w:val="Compact"/>
                    <w:jc w:val="center"/>
                  </w:pPr>
                  <w:r>
                    <w:t xml:space="preserve">Carried back</w:t>
                  </w:r>
                </w:p>
              </w:tc>
            </w:tr>
            <w:tr>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2.00–13.0</w:t>
                  </w:r>
                </w:p>
              </w:tc>
              <w:tc>
                <w:tcPr/>
                <w:p>
                  <w:pPr>
                    <w:pStyle w:val="Compact"/>
                    <w:jc w:val="center"/>
                  </w:pPr>
                  <w:r>
                    <w:t xml:space="preserve">DS criterion</w:t>
                  </w:r>
                  <w:r>
                    <w:rPr>
                      <w:vertAlign w:val="superscript"/>
                    </w:rPr>
                    <w:t xml:space="preserve">c)</w:t>
                  </w:r>
                </w:p>
              </w:tc>
            </w:tr>
            <w:tr>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10.0–40.0</w:t>
                  </w:r>
                </w:p>
              </w:tc>
              <w:tc>
                <w:tcPr/>
                <w:p>
                  <w:pPr>
                    <w:pStyle w:val="Compact"/>
                    <w:jc w:val="center"/>
                  </w:pPr>
                  <w:r>
                    <w:t xml:space="preserve">DS criterion</w:t>
                  </w:r>
                  <w:r>
                    <w:rPr>
                      <w:vertAlign w:val="superscript"/>
                    </w:rPr>
                    <w:t xml:space="preserve">c)</w:t>
                  </w:r>
                </w:p>
              </w:tc>
            </w:tr>
            <w:tr>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3.00–10.0</w:t>
                  </w:r>
                </w:p>
              </w:tc>
              <w:tc>
                <w:tcPr/>
                <w:p>
                  <w:pPr>
                    <w:pStyle w:val="Compact"/>
                    <w:jc w:val="center"/>
                  </w:pPr>
                  <w:r>
                    <w:t xml:space="preserve">DS criterion</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6"/>
                </w:tcPr>
                <w:p>
                  <w:pPr>
                    <w:pStyle w:val="Compact"/>
                    <w:jc w:val="center"/>
                  </w:pPr>
                  <w:r>
                    <w:rPr>
                      <w:vertAlign w:val="superscript"/>
                    </w:rPr>
                    <w:t xml:space="preserve">b)</w:t>
                  </w:r>
                  <w:r>
                    <w:t xml:space="preserve"> </w:t>
                  </w:r>
                  <w:r>
                    <w:t xml:space="preserve">The one-sided 95 % prediction bound of a single batch at a downstream step's A-Mab worst case within its NOR was better than the platform worst case. The bound replaced it.</w:t>
                  </w:r>
                </w:p>
              </w:tc>
            </w:tr>
            <w:tr>
              <w:tc>
                <w:tcPr>
                  <w:gridSpan w:val="6"/>
                </w:tcPr>
                <w:p>
                  <w:pPr>
                    <w:pStyle w:val="Compact"/>
                    <w:jc w:val="center"/>
                  </w:pPr>
                  <w:r>
                    <w:rPr>
                      <w:vertAlign w:val="superscript"/>
                    </w:rPr>
                    <w:t xml:space="preserve">c)</w:t>
                  </w:r>
                  <w:r>
                    <w:t xml:space="preserve"> </w:t>
                  </w:r>
                  <w:r>
                    <w:t xml:space="preserve">No downstream step changes the attribute, so the drug-substance criterion applies.</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108"/>
          <w:p/>
        </w:tc>
      </w:tr>
    </w:tbl>
    <w:bookmarkEnd w:id="109"/>
    <w:bookmarkStart w:id="111" w:name="sec-criteria-results"/>
    <w:p>
      <w:pPr>
        <w:pStyle w:val="Heading2"/>
      </w:pPr>
      <w:r>
        <w:t xml:space="preserve">7.2 Outputs against their criteria over the NOR</w:t>
      </w:r>
    </w:p>
    <w:p>
      <w:pPr>
        <w:pStyle w:val="FirstParagraph"/>
      </w:pPr>
      <w:hyperlink w:anchor="tbl-criteria-bioreactor">
        <w:r>
          <w:rPr>
            <w:rStyle w:val="Hyperlink"/>
          </w:rPr>
          <w:t xml:space="preserve">Table 23</w:t>
        </w:r>
      </w:hyperlink>
      <w:r>
        <w:t xml:space="preserve"> </w:t>
      </w:r>
      <w:r>
        <w:t xml:space="preserve">gives each output against its criterion, with the mean predicted at the set-point, its range over the NOR and the limits of the 95 % prediction interval of a single run over the NOR, which decide the verdict. Afucosylation, galactosylation, high mannose and aggregate meet their criteria. Acidic variants do not. At nine of the 81 combinations, all with pCO2 at its NOR high, the lower end of the prediction interval falls below 18.0 %. The least favourable combination is culture pH at its NOR high, culture temperature at its NOR low, culture duration at its NOR high and pCO2 at its NOR high. There the predicted median at manufacturing scale is 18.39 % and the prediction interval runs from 16.25 % to 20.82 %. The median lies 0.39 points above the lower limit, less than the bias of the model at the set-point (</w:t>
      </w:r>
      <w:hyperlink w:anchor="sec-models">
        <w:r>
          <w:rPr>
            <w:rStyle w:val="Hyperlink"/>
          </w:rPr>
          <w:t xml:space="preserve">Section 5.3.1</w:t>
        </w:r>
      </w:hyperlink>
      <w:r>
        <w:t xml:space="preserve">). With the initial viable cell concentration at its NOR low the median would fall to about 17.69 % (</w:t>
      </w:r>
      <w:hyperlink w:anchor="sec-univariate">
        <w:r>
          <w:rPr>
            <w:rStyle w:val="Hyperlink"/>
          </w:rPr>
          <w:t xml:space="preserve">Section 5.4</w:t>
        </w:r>
      </w:hyperlink>
      <w:r>
        <w:t xml:space="preserve">). The upper limit is met at every combination. The verdict is the same with the offset at either end of its interval (</w:t>
      </w:r>
      <w:hyperlink w:anchor="sec-sdm">
        <w:r>
          <w:rPr>
            <w:rStyle w:val="Hyperlink"/>
          </w:rPr>
          <w:t xml:space="preserve">Section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tbl-criteria-bioreactor"/>
          <w:p>
            <w:pPr>
              <w:jc w:val="center"/>
            </w:pPr>
            <w:pPr>
              <w:jc w:val="start"/>
              <w:spacing w:before="200"/>
              <w:pStyle w:val="ImageCaption"/>
            </w:pPr>
            <w:r>
              <w:t xml:space="preserve">Table 23: Production bioreactor outputs against their intermediate acceptance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w:t>
                  </w:r>
                  <w:r>
                    <w:br/>
                  </w:r>
                  <w:r>
                    <w:t xml:space="preserve">response-surface model</w:t>
                  </w:r>
                  <w:r>
                    <w:rPr>
                      <w:vertAlign w:val="superscript"/>
                    </w:rPr>
                    <w:t xml:space="preserve">a)</w:t>
                  </w:r>
                </w:p>
              </w:tc>
              <w:tc>
                <w:tcPr>
                  <w:vMerge w:val="restart"/>
                </w:tcPr>
                <w:p>
                  <w:pPr>
                    <w:pStyle w:val="Compact"/>
                    <w:jc w:val="center"/>
                  </w:pPr>
                  <w:r>
                    <w:t xml:space="preserve">95 % limits of a</w:t>
                  </w:r>
                  <w:r>
                    <w:br/>
                  </w:r>
                  <w:r>
                    <w:t xml:space="preserve">single run over</w:t>
                  </w:r>
                  <w:r>
                    <w:br/>
                  </w:r>
                  <w:r>
                    <w:t xml:space="preserve">the NOR</w:t>
                  </w:r>
                  <w:r>
                    <w:rPr>
                      <w:vertAlign w:val="superscript"/>
                    </w:rPr>
                    <w:t xml:space="preserve">a)</w:t>
                  </w:r>
                </w:p>
              </w:tc>
              <w:tc>
                <w:tcPr>
                  <w:vMerge w:val="restart"/>
                </w:tcPr>
                <w:p>
                  <w:pPr>
                    <w:pStyle w:val="Compact"/>
                    <w:jc w:val="center"/>
                  </w:pPr>
                  <w:r>
                    <w:t xml:space="preserve">Met across</w:t>
                  </w:r>
                  <w:r>
                    <w:br/>
                  </w:r>
                  <w:r>
                    <w:t xml:space="preserve">the NOR</w:t>
                  </w:r>
                  <w:r>
                    <w:rPr>
                      <w:vertAlign w:val="superscript"/>
                    </w:rPr>
                    <w:t xml:space="preserve">b)</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c>
                <w:tcPr>
                  <w:gridSpan w:val="1"/>
                  <w:vMerge w:val="continue"/>
                </w:tcPr>
                <w:p>
                  <w:pPr/>
                </w:p>
              </w:tc>
            </w:tr>
            <w:tr>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8.67</w:t>
                  </w:r>
                </w:p>
              </w:tc>
              <w:tc>
                <w:tcPr/>
                <w:p>
                  <w:pPr>
                    <w:pStyle w:val="Compact"/>
                    <w:jc w:val="center"/>
                  </w:pPr>
                  <w:r>
                    <w:t xml:space="preserve">6.90 to 10.2</w:t>
                  </w:r>
                </w:p>
              </w:tc>
              <w:tc>
                <w:tcPr/>
                <w:p>
                  <w:pPr>
                    <w:pStyle w:val="Compact"/>
                    <w:jc w:val="center"/>
                  </w:pPr>
                  <w:r>
                    <w:t xml:space="preserve">5.73 to 11.3</w:t>
                  </w:r>
                </w:p>
              </w:tc>
              <w:tc>
                <w:tcPr/>
                <w:p>
                  <w:pPr>
                    <w:pStyle w:val="Compact"/>
                    <w:jc w:val="center"/>
                  </w:pPr>
                  <w:r>
                    <w:t xml:space="preserve">Yes</w:t>
                  </w:r>
                </w:p>
              </w:tc>
            </w:tr>
            <w:tr>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26.2</w:t>
                  </w:r>
                </w:p>
              </w:tc>
              <w:tc>
                <w:tcPr/>
                <w:p>
                  <w:pPr>
                    <w:pStyle w:val="Compact"/>
                    <w:jc w:val="center"/>
                  </w:pPr>
                  <w:r>
                    <w:t xml:space="preserve">22.0 to 31.6</w:t>
                  </w:r>
                </w:p>
              </w:tc>
              <w:tc>
                <w:tcPr/>
                <w:p>
                  <w:pPr>
                    <w:pStyle w:val="Compact"/>
                    <w:jc w:val="center"/>
                  </w:pPr>
                  <w:r>
                    <w:t xml:space="preserve">19.4 to 34.1</w:t>
                  </w:r>
                </w:p>
              </w:tc>
              <w:tc>
                <w:tcPr/>
                <w:p>
                  <w:pPr>
                    <w:pStyle w:val="Compact"/>
                    <w:jc w:val="center"/>
                  </w:pPr>
                  <w:r>
                    <w:t xml:space="preserve">Yes</w:t>
                  </w:r>
                </w:p>
              </w:tc>
            </w:tr>
            <w:tr>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6.40</w:t>
                  </w:r>
                  <w:r>
                    <w:rPr>
                      <w:vertAlign w:val="superscript"/>
                    </w:rPr>
                    <w:t xml:space="preserve">c)</w:t>
                  </w:r>
                </w:p>
              </w:tc>
              <w:tc>
                <w:tcPr/>
                <w:p>
                  <w:pPr>
                    <w:pStyle w:val="Compact"/>
                    <w:jc w:val="center"/>
                  </w:pPr>
                  <w:r>
                    <w:t xml:space="preserve">5.75 to 7.03</w:t>
                  </w:r>
                  <w:r>
                    <w:rPr>
                      <w:vertAlign w:val="superscript"/>
                    </w:rPr>
                    <w:t xml:space="preserve">c)</w:t>
                  </w:r>
                </w:p>
              </w:tc>
              <w:tc>
                <w:tcPr/>
                <w:p>
                  <w:pPr>
                    <w:pStyle w:val="Compact"/>
                    <w:jc w:val="center"/>
                  </w:pPr>
                  <w:r>
                    <w:t xml:space="preserve">4.89 to 8.26</w:t>
                  </w:r>
                  <w:r>
                    <w:rPr>
                      <w:vertAlign w:val="superscript"/>
                    </w:rPr>
                    <w:t xml:space="preserve">c)</w:t>
                  </w:r>
                </w:p>
              </w:tc>
              <w:tc>
                <w:tcPr/>
                <w:p>
                  <w:pPr>
                    <w:pStyle w:val="Compact"/>
                    <w:jc w:val="center"/>
                  </w:pPr>
                  <w:r>
                    <w:t xml:space="preserve">Yes</w:t>
                  </w:r>
                </w:p>
              </w:tc>
            </w:tr>
            <w:tr>
              <w:tc>
                <w:tcPr/>
                <w:p>
                  <w:pPr>
                    <w:pStyle w:val="Compact"/>
                    <w:jc w:val="center"/>
                  </w:pPr>
                  <w:r>
                    <w:t xml:space="preserve">Acidic variants (%)</w:t>
                  </w:r>
                </w:p>
              </w:tc>
              <w:tc>
                <w:tcPr/>
                <w:p>
                  <w:pPr>
                    <w:pStyle w:val="Compact"/>
                    <w:jc w:val="center"/>
                  </w:pPr>
                  <w:r>
                    <w:t xml:space="preserve">18.0–39.0</w:t>
                  </w:r>
                </w:p>
              </w:tc>
              <w:tc>
                <w:tcPr/>
                <w:p>
                  <w:pPr>
                    <w:pStyle w:val="Compact"/>
                    <w:jc w:val="center"/>
                  </w:pPr>
                  <w:r>
                    <w:t xml:space="preserve">22.8</w:t>
                  </w:r>
                  <w:r>
                    <w:rPr>
                      <w:vertAlign w:val="superscript"/>
                    </w:rPr>
                    <w:t xml:space="preserve">c)</w:t>
                  </w:r>
                </w:p>
              </w:tc>
              <w:tc>
                <w:tcPr/>
                <w:p>
                  <w:pPr>
                    <w:pStyle w:val="Compact"/>
                    <w:jc w:val="center"/>
                  </w:pPr>
                  <w:r>
                    <w:t xml:space="preserve">18.4 to 26.7</w:t>
                  </w:r>
                  <w:r>
                    <w:rPr>
                      <w:vertAlign w:val="superscript"/>
                    </w:rPr>
                    <w:t xml:space="preserve">c)</w:t>
                  </w:r>
                </w:p>
              </w:tc>
              <w:tc>
                <w:tcPr/>
                <w:p>
                  <w:pPr>
                    <w:pStyle w:val="Compact"/>
                    <w:jc w:val="center"/>
                  </w:pPr>
                  <w:r>
                    <w:t xml:space="preserve">16.2 to 30.3</w:t>
                  </w:r>
                  <w:r>
                    <w:rPr>
                      <w:vertAlign w:val="superscript"/>
                    </w:rPr>
                    <w:t xml:space="preserve">c)</w:t>
                  </w:r>
                </w:p>
              </w:tc>
              <w:tc>
                <w:tcPr/>
                <w:p>
                  <w:pPr>
                    <w:pStyle w:val="Compact"/>
                    <w:jc w:val="center"/>
                  </w:pPr>
                  <w:r>
                    <w:t xml:space="preserve">No</w:t>
                  </w:r>
                </w:p>
              </w:tc>
            </w:tr>
            <w:tr>
              <w:tc>
                <w:tcPr/>
                <w:p>
                  <w:pPr>
                    <w:pStyle w:val="Compact"/>
                    <w:jc w:val="center"/>
                  </w:pPr>
                  <w:r>
                    <w:t xml:space="preserve">Aggregates, HMW (%)</w:t>
                  </w:r>
                </w:p>
              </w:tc>
              <w:tc>
                <w:tcPr/>
                <w:p>
                  <w:pPr>
                    <w:pStyle w:val="Compact"/>
                    <w:jc w:val="center"/>
                  </w:pPr>
                  <w:r>
                    <w:t xml:space="preserve">≤ 6.46</w:t>
                  </w:r>
                </w:p>
              </w:tc>
              <w:tc>
                <w:tcPr/>
                <w:p>
                  <w:pPr>
                    <w:pStyle w:val="Compact"/>
                    <w:jc w:val="center"/>
                  </w:pPr>
                  <w:r>
                    <w:t xml:space="preserve">1.64</w:t>
                  </w:r>
                  <w:r>
                    <w:rPr>
                      <w:vertAlign w:val="superscript"/>
                    </w:rPr>
                    <w:t xml:space="preserve">c)</w:t>
                  </w:r>
                </w:p>
              </w:tc>
              <w:tc>
                <w:tcPr/>
                <w:p>
                  <w:pPr>
                    <w:pStyle w:val="Compact"/>
                    <w:jc w:val="center"/>
                  </w:pPr>
                  <w:r>
                    <w:t xml:space="preserve">1.26 to 2.01</w:t>
                  </w:r>
                  <w:r>
                    <w:rPr>
                      <w:vertAlign w:val="superscript"/>
                    </w:rPr>
                    <w:t xml:space="preserve">c)</w:t>
                  </w:r>
                </w:p>
              </w:tc>
              <w:tc>
                <w:tcPr/>
                <w:p>
                  <w:pPr>
                    <w:pStyle w:val="Compact"/>
                    <w:jc w:val="center"/>
                  </w:pPr>
                  <w:r>
                    <w:t xml:space="preserve">1.09 to 2.35</w:t>
                  </w:r>
                  <w:r>
                    <w:rPr>
                      <w:vertAlign w:val="superscript"/>
                    </w:rPr>
                    <w:t xml:space="preserve">c)</w:t>
                  </w:r>
                </w:p>
              </w:tc>
              <w:tc>
                <w:tcPr/>
                <w:p>
                  <w:pPr>
                    <w:pStyle w:val="Compact"/>
                    <w:jc w:val="center"/>
                  </w:pPr>
                  <w:r>
                    <w:t xml:space="preserve">Yes</w:t>
                  </w:r>
                </w:p>
              </w:tc>
            </w:tr>
            <w:tr>
              <w:tc>
                <w:tcPr>
                  <w:gridSpan w:val="6"/>
                </w:tcPr>
                <w:p>
                  <w:pPr>
                    <w:pStyle w:val="Compact"/>
                    <w:jc w:val="center"/>
                  </w:pPr>
                  <w:r>
                    <w:rPr>
                      <w:vertAlign w:val="superscript"/>
                    </w:rPr>
                    <w:t xml:space="preserve">a)</w:t>
                  </w:r>
                  <w:r>
                    <w:t xml:space="preserve"> </w:t>
                  </w:r>
                  <w:r>
                    <w:t xml:space="preserve">At manufacturing scale: the scale-down prediction minus the offset of the scale-down model for this output, or divided by it where the offset is a ratio.</w:t>
                  </w:r>
                </w:p>
              </w:tc>
            </w:tr>
            <w:tr>
              <w:tc>
                <w:tcPr>
                  <w:gridSpan w:val="6"/>
                </w:tcPr>
                <w:p>
                  <w:pPr>
                    <w:pStyle w:val="Compact"/>
                    <w:jc w:val="center"/>
                  </w:pPr>
                  <w:r>
                    <w:rPr>
                      <w:vertAlign w:val="superscript"/>
                    </w:rPr>
                    <w:t xml:space="preserve">b)</w:t>
                  </w:r>
                  <w:r>
                    <w:t xml:space="preserve"> </w:t>
                  </w:r>
                  <w:r>
                    <w:t xml:space="preserve">Judged at every combination of NOR low, set-point and NOR high. Quality attributes: the 95 % prediction interval of a single run (t quantile, coefficient and residual uncertainty).</w:t>
                  </w:r>
                </w:p>
              </w:tc>
            </w:tr>
            <w:tr>
              <w:tc>
                <w:tcPr>
                  <w:gridSpan w:val="6"/>
                </w:tcPr>
                <w:p>
                  <w:pPr>
                    <w:pStyle w:val="Compact"/>
                    <w:jc w:val="center"/>
                  </w:pPr>
                  <w:r>
                    <w:rPr>
                      <w:vertAlign w:val="superscript"/>
                    </w:rPr>
                    <w:t xml:space="preserve">c)</w:t>
                  </w:r>
                  <w:r>
                    <w:t xml:space="preserve"> </w:t>
                  </w:r>
                  <w:r>
                    <w:t xml:space="preserve">Modelled on the log scale: the median, the back-transformed mean prediction.</w:t>
                  </w:r>
                </w:p>
              </w:tc>
            </w:tr>
          </w:tbl>
          <w:bookmarkEnd w:id="110"/>
          <w:p/>
        </w:tc>
      </w:tr>
    </w:tbl>
    <w:p>
      <w:pPr>
        <w:pStyle w:val="BodyText"/>
      </w:pPr>
      <w:r>
        <w:t xml:space="preserve">PCP-003 §7 requires the NOR to lie inside the region over which every modelled attribute meets its criterion, and the NOR to be narrowed until it does. Every combination that fails has pCO2 at its NOR high, so the NOR of pCO2 is the one whose narrowing would act on all of them. Some fail with culture pH at its set-point, so narrowing the NOR of culture pH alone would not restore the criterion. The NOR was not narrowed (PD-003-08). It was kept, and the risk accepted as the producer’s, on the following grounds.</w:t>
      </w:r>
    </w:p>
    <w:p>
      <w:pPr>
        <w:pStyle w:val="Compact"/>
        <w:numPr>
          <w:ilvl w:val="0"/>
          <w:numId w:val="1005"/>
        </w:numPr>
      </w:pPr>
      <w:r>
        <w:t xml:space="preserve">Acidic variants have very low criticality, and their lower limit of 18.0 % was set from the range of results seen with the product.</w:t>
      </w:r>
    </w:p>
    <w:p>
      <w:pPr>
        <w:pStyle w:val="Compact"/>
        <w:numPr>
          <w:ilvl w:val="0"/>
          <w:numId w:val="1005"/>
        </w:numPr>
      </w:pPr>
      <w:r>
        <w:t xml:space="preserve">On all 44 runs the NOR-propagated PARs contain the NOR, with a margin of 2.25 standard deviations of the routine variation of culture pH and 0.15 of pCO2 (</w:t>
      </w:r>
      <w:hyperlink w:anchor="sec-par-table">
        <w:r>
          <w:rPr>
            <w:rStyle w:val="Hyperlink"/>
          </w:rPr>
          <w:t xml:space="preserve">Section 7.3</w:t>
        </w:r>
      </w:hyperlink>
      <w:r>
        <w:t xml:space="preserve">). On the planned runs alone they do not (</w:t>
      </w:r>
      <w:hyperlink w:anchor="sec-augmentation">
        <w:r>
          <w:rPr>
            <w:rStyle w:val="Hyperlink"/>
          </w:rPr>
          <w:t xml:space="preserve">Section 5.3.4</w:t>
        </w:r>
      </w:hyperlink>
      <w:r>
        <w:t xml:space="preserve">), so this ground holds only with the augmentation runs and the model selection.</w:t>
      </w:r>
    </w:p>
    <w:p>
      <w:pPr>
        <w:pStyle w:val="Compact"/>
        <w:numPr>
          <w:ilvl w:val="0"/>
          <w:numId w:val="1005"/>
        </w:numPr>
      </w:pPr>
      <w:r>
        <w:t xml:space="preserve">A batch below the limit is detected by the release test of the drug substance against the acidic-variant criterion and does not reach the patient, so the risk of a failure falls on the producer.</w:t>
      </w:r>
    </w:p>
    <w:p>
      <w:pPr>
        <w:pStyle w:val="Compact"/>
        <w:numPr>
          <w:ilvl w:val="0"/>
          <w:numId w:val="1005"/>
        </w:numPr>
      </w:pPr>
      <w:r>
        <w:t xml:space="preserve">In the integrated model of the train, one of the 2,000 simulated batches fell outside the acidic-variant criterion (</w:t>
      </w:r>
      <w:hyperlink w:anchor="sec-capability">
        <w:r>
          <w:rPr>
            <w:rStyle w:val="Hyperlink"/>
          </w:rPr>
          <w:t xml:space="preserve">Section 8</w:t>
        </w:r>
      </w:hyperlink>
      <w:r>
        <w:t xml:space="preserve">). That model carries no effect of the initial viable cell concentration on acidic variants.</w:t>
      </w:r>
    </w:p>
    <w:p>
      <w:pPr>
        <w:pStyle w:val="FirstParagraph"/>
      </w:pPr>
      <w:r>
        <w:t xml:space="preserve">At the least favourable combination the fitted mean of the osmolality study lies below the lower limit at the NOR high of osmolality, although its slope is not significant (</w:t>
      </w:r>
      <w:hyperlink w:anchor="sec-osmolality">
        <w:r>
          <w:rPr>
            <w:rStyle w:val="Hyperlink"/>
          </w:rPr>
          <w:t xml:space="preserve">Section 5.5</w:t>
        </w:r>
      </w:hyperlink>
      <w:r>
        <w:t xml:space="preserve">). The same acceptance covers that setting, and it covers the initial viable cell concentration at its NOR low, where the univariate effect would take the median below the lower limit (PD-003-11). For the control strategy that PCMR-001 consolidates, this report recommends a combined alert in the control system, which fires when culture pH is above 6.79, pCO2 is above 101 mmHg and culture temperature is below 35.39 °C at the same time. It also recommends an action limit for acidic variants at harvest of 18.72 %, and the trending of acidic variants against the initial viable cell concentration of each production batch (</w:t>
      </w:r>
      <w:hyperlink w:anchor="sec-control">
        <w:r>
          <w:rPr>
            <w:rStyle w:val="Hyperlink"/>
          </w:rPr>
          <w:t xml:space="preserve">Section 10</w:t>
        </w:r>
      </w:hyperlink>
      <w:r>
        <w:t xml:space="preserve">). The release test of the drug substance detects a low result (ground 3).</w:t>
      </w:r>
    </w:p>
    <w:bookmarkEnd w:id="111"/>
    <w:bookmarkStart w:id="133" w:name="sec-par-table"/>
    <w:p>
      <w:pPr>
        <w:pStyle w:val="Heading2"/>
      </w:pPr>
      <w:r>
        <w:t xml:space="preserve">7.3 PARs</w:t>
      </w:r>
    </w:p>
    <w:p>
      <w:pPr>
        <w:pStyle w:val="FirstParagraph"/>
      </w:pPr>
      <w:r>
        <w:t xml:space="preserve">A PAR is a range of a parameter within which the attribute is shown by supportive data to remain acceptable. ICH Q8(R2) defines it with the other parameters kept constant</w:t>
      </w:r>
      <w:r>
        <w:t xml:space="preserve"> </w:t>
      </w:r>
      <w:r>
        <w:t xml:space="preserve">(International Council for Harmonisation 2009)</w:t>
      </w:r>
      <w:r>
        <w:t xml:space="preserve">, which is the set-point analysis. The NOR-propagated analysis lets the other parameters vary across their NORs and judges the 95 % interval of the simulated runs, so it is stricter, and it is the PAR that supports a claim (PCMP-001 §6.4).</w:t>
      </w:r>
      <w:r>
        <w:t xml:space="preserve"> </w:t>
      </w:r>
      <w:hyperlink w:anchor="tbl-par">
        <w:r>
          <w:rPr>
            <w:rStyle w:val="Hyperlink"/>
          </w:rPr>
          <w:t xml:space="preserve">Table 24</w:t>
        </w:r>
      </w:hyperlink>
      <w:r>
        <w:t xml:space="preserve"> </w:t>
      </w:r>
      <w:r>
        <w:t xml:space="preserve">gives both for each of the four response-surface parameters and each of the five attributes, from the selected model of the attribute with the offset applied. Objective 3 requires a PAR where the selected model has a significant term in the parameter, 16 of the 20 combinations. The other four, culture duration for high mannose, pCO2 for high mannose, culture temperature for aggregate and pCO2 for aggregate, have no term in the parameter and are given for information.</w:t>
      </w:r>
    </w:p>
    <w:p>
      <w:pPr>
        <w:pStyle w:val="BodyText"/>
      </w:pPr>
      <w:r>
        <w:t xml:space="preserve">Every NOR-propagated PAR contains the NOR, and 18 span the whole range studied. The exceptions are the PARs of culture pH and pCO2 for acidic variants. The PAR of culture pH ends 0.075 pH units above the NOR high, and the PAR of pCO2 ends 1.5 mmHg above it. Measured in standard deviations of the routine variation of each parameter, the width of its NOR divided by 6 (PCMP-001 §6.4), the margin is 2.25 for culture pH and 0.15 for pCO2. In the set-point analysis every PAR spans the range studied.</w:t>
      </w:r>
    </w:p>
    <w:p>
      <w:pPr>
        <w:pStyle w:val="BodyText"/>
      </w:pPr>
      <w:r>
        <w:t xml:space="preserve">The range carried into the control strategy for each parameter is the intersection of its required PARs (PCP-003 §7, PCMP-001 §7.6). It is pH 6.6–7.02 for culture pH, 34–36 °C for culture temperature, 15–19 days for culture duration and 40–131 mmHg for pCO2.</w:t>
      </w:r>
    </w:p>
    <w:tbl>
      <w:tblPr>
        <w:tblStyle w:val="Table"/>
        <w:tblW w:type="pct" w:w="5000"/>
        <w:tblLayout w:type="fixed"/>
        <w:tblLook w:firstRow="0" w:lastRow="0" w:firstColumn="0" w:lastColumn="0" w:noHBand="0" w:noVBand="0" w:val="0000"/>
      </w:tblPr>
      <w:tblGrid>
        <w:gridCol w:w="7920"/>
      </w:tblGrid>
      <w:tr>
        <w:tc>
          <w:tcPr/>
          <w:bookmarkStart w:id="112" w:name="tbl-par"/>
          <w:p>
            <w:pPr>
              <w:jc w:val="center"/>
            </w:pPr>
            <w:pPr>
              <w:jc w:val="start"/>
              <w:spacing w:before="200"/>
              <w:pStyle w:val="ImageCaption"/>
            </w:pPr>
            <w:r>
              <w:t xml:space="preserve">Table 24: Proven acceptable ranges of the response-surface parameters for each attribute, at manufacturing scale.</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NOR</w:t>
                  </w:r>
                </w:p>
              </w:tc>
              <w:tc>
                <w:tcPr/>
                <w:p>
                  <w:pPr>
                    <w:pStyle w:val="Compact"/>
                    <w:jc w:val="center"/>
                  </w:pPr>
                  <w:r>
                    <w:t xml:space="preserve">Required by</w:t>
                  </w:r>
                  <w:r>
                    <w:br/>
                  </w:r>
                  <w:r>
                    <w:t xml:space="preserve">objective 3</w:t>
                  </w:r>
                </w:p>
              </w:tc>
              <w:tc>
                <w:tcPr/>
                <w:p>
                  <w:pPr>
                    <w:pStyle w:val="Compact"/>
                    <w:jc w:val="center"/>
                  </w:pPr>
                  <w:r>
                    <w:t xml:space="preserve">PAR, others</w:t>
                  </w:r>
                  <w:r>
                    <w:br/>
                  </w:r>
                  <w:r>
                    <w:t xml:space="preserve">at set-point</w:t>
                  </w:r>
                </w:p>
              </w:tc>
              <w:tc>
                <w:tcPr/>
                <w:p>
                  <w:pPr>
                    <w:pStyle w:val="Compact"/>
                    <w:jc w:val="center"/>
                  </w:pPr>
                  <w:r>
                    <w:t xml:space="preserve">PAR, others</w:t>
                  </w:r>
                  <w:r>
                    <w:br/>
                  </w:r>
                  <w:r>
                    <w:t xml:space="preserve">across NOR</w:t>
                  </w:r>
                </w:p>
              </w:tc>
            </w:tr>
            <w:tr>
              <w:tc>
                <w:tcPr>
                  <w:vMerge w:val="restart"/>
                </w:tcPr>
                <w:p>
                  <w:pPr>
                    <w:pStyle w:val="Compact"/>
                    <w:jc w:val="center"/>
                  </w:pPr>
                  <w:r>
                    <w:t xml:space="preserve">Afucosylation (%)</w:t>
                  </w:r>
                </w:p>
              </w:tc>
              <w:tc>
                <w:tcPr>
                  <w:vMerge w:val="restart"/>
                </w:tcPr>
                <w:p>
                  <w:pPr>
                    <w:pStyle w:val="Compact"/>
                    <w:jc w:val="center"/>
                  </w:pPr>
                  <w:r>
                    <w:t xml:space="preserve">2–13</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6.75–6.95</w:t>
                  </w:r>
                </w:p>
              </w:tc>
              <w:tc>
                <w:tcPr/>
                <w:p>
                  <w:pPr>
                    <w:pStyle w:val="Compact"/>
                    <w:jc w:val="center"/>
                  </w:pPr>
                  <w:r>
                    <w:t xml:space="preserve">yes</w:t>
                  </w:r>
                </w:p>
              </w:tc>
              <w:tc>
                <w:tcPr/>
                <w:p>
                  <w:pPr>
                    <w:pStyle w:val="Compact"/>
                    <w:jc w:val="center"/>
                  </w:pPr>
                  <w:r>
                    <w:t xml:space="preserve">6.6–7.1</w:t>
                  </w:r>
                </w:p>
              </w:tc>
              <w:tc>
                <w:tcPr/>
                <w:p>
                  <w:pPr>
                    <w:pStyle w:val="Compact"/>
                    <w:jc w:val="center"/>
                  </w:pPr>
                  <w:r>
                    <w:t xml:space="preserve">6.6–7.1</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34.5–35.5</w:t>
                  </w:r>
                </w:p>
              </w:tc>
              <w:tc>
                <w:tcPr/>
                <w:p>
                  <w:pPr>
                    <w:pStyle w:val="Compact"/>
                    <w:jc w:val="center"/>
                  </w:pPr>
                  <w:r>
                    <w:t xml:space="preserve">yes</w:t>
                  </w:r>
                </w:p>
              </w:tc>
              <w:tc>
                <w:tcPr/>
                <w:p>
                  <w:pPr>
                    <w:pStyle w:val="Compact"/>
                    <w:jc w:val="center"/>
                  </w:pPr>
                  <w:r>
                    <w:t xml:space="preserve">34–36</w:t>
                  </w:r>
                </w:p>
              </w:tc>
              <w:tc>
                <w:tcPr/>
                <w:p>
                  <w:pPr>
                    <w:pStyle w:val="Compact"/>
                    <w:jc w:val="center"/>
                  </w:pPr>
                  <w:r>
                    <w:t xml:space="preserve">34–36</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16–18</w:t>
                  </w:r>
                </w:p>
              </w:tc>
              <w:tc>
                <w:tcPr/>
                <w:p>
                  <w:pPr>
                    <w:pStyle w:val="Compact"/>
                    <w:jc w:val="center"/>
                  </w:pPr>
                  <w:r>
                    <w:t xml:space="preserve">yes</w:t>
                  </w:r>
                </w:p>
              </w:tc>
              <w:tc>
                <w:tcPr/>
                <w:p>
                  <w:pPr>
                    <w:pStyle w:val="Compact"/>
                    <w:jc w:val="center"/>
                  </w:pPr>
                  <w:r>
                    <w:t xml:space="preserve">15–19</w:t>
                  </w:r>
                </w:p>
              </w:tc>
              <w:tc>
                <w:tcPr/>
                <w:p>
                  <w:pPr>
                    <w:pStyle w:val="Compact"/>
                    <w:jc w:val="center"/>
                  </w:pPr>
                  <w:r>
                    <w:t xml:space="preserve">15–19</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70–130</w:t>
                  </w:r>
                </w:p>
              </w:tc>
              <w:tc>
                <w:tcPr/>
                <w:p>
                  <w:pPr>
                    <w:pStyle w:val="Compact"/>
                    <w:jc w:val="center"/>
                  </w:pPr>
                  <w:r>
                    <w:t xml:space="preserve">yes</w:t>
                  </w:r>
                </w:p>
              </w:tc>
              <w:tc>
                <w:tcPr/>
                <w:p>
                  <w:pPr>
                    <w:pStyle w:val="Compact"/>
                    <w:jc w:val="center"/>
                  </w:pPr>
                  <w:r>
                    <w:t xml:space="preserve">40–160</w:t>
                  </w:r>
                </w:p>
              </w:tc>
              <w:tc>
                <w:tcPr/>
                <w:p>
                  <w:pPr>
                    <w:pStyle w:val="Compact"/>
                    <w:jc w:val="center"/>
                  </w:pPr>
                  <w:r>
                    <w:t xml:space="preserve">40–160</w:t>
                  </w:r>
                </w:p>
              </w:tc>
            </w:tr>
            <w:tr>
              <w:tc>
                <w:tcPr>
                  <w:vMerge w:val="restart"/>
                </w:tcPr>
                <w:p>
                  <w:pPr>
                    <w:pStyle w:val="Compact"/>
                    <w:jc w:val="center"/>
                  </w:pPr>
                  <w:r>
                    <w:t xml:space="preserve">Galactosylation (%)</w:t>
                  </w:r>
                </w:p>
              </w:tc>
              <w:tc>
                <w:tcPr>
                  <w:vMerge w:val="restart"/>
                </w:tcPr>
                <w:p>
                  <w:pPr>
                    <w:pStyle w:val="Compact"/>
                    <w:jc w:val="center"/>
                  </w:pPr>
                  <w:r>
                    <w:t xml:space="preserve">10–40</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6.75–6.95</w:t>
                  </w:r>
                </w:p>
              </w:tc>
              <w:tc>
                <w:tcPr/>
                <w:p>
                  <w:pPr>
                    <w:pStyle w:val="Compact"/>
                    <w:jc w:val="center"/>
                  </w:pPr>
                  <w:r>
                    <w:t xml:space="preserve">yes</w:t>
                  </w:r>
                </w:p>
              </w:tc>
              <w:tc>
                <w:tcPr/>
                <w:p>
                  <w:pPr>
                    <w:pStyle w:val="Compact"/>
                    <w:jc w:val="center"/>
                  </w:pPr>
                  <w:r>
                    <w:t xml:space="preserve">6.6–7.1</w:t>
                  </w:r>
                </w:p>
              </w:tc>
              <w:tc>
                <w:tcPr/>
                <w:p>
                  <w:pPr>
                    <w:pStyle w:val="Compact"/>
                    <w:jc w:val="center"/>
                  </w:pPr>
                  <w:r>
                    <w:t xml:space="preserve">6.6–7.1</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34.5–35.5</w:t>
                  </w:r>
                </w:p>
              </w:tc>
              <w:tc>
                <w:tcPr/>
                <w:p>
                  <w:pPr>
                    <w:pStyle w:val="Compact"/>
                    <w:jc w:val="center"/>
                  </w:pPr>
                  <w:r>
                    <w:t xml:space="preserve">yes</w:t>
                  </w:r>
                </w:p>
              </w:tc>
              <w:tc>
                <w:tcPr/>
                <w:p>
                  <w:pPr>
                    <w:pStyle w:val="Compact"/>
                    <w:jc w:val="center"/>
                  </w:pPr>
                  <w:r>
                    <w:t xml:space="preserve">34–36</w:t>
                  </w:r>
                </w:p>
              </w:tc>
              <w:tc>
                <w:tcPr/>
                <w:p>
                  <w:pPr>
                    <w:pStyle w:val="Compact"/>
                    <w:jc w:val="center"/>
                  </w:pPr>
                  <w:r>
                    <w:t xml:space="preserve">34–36</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16–18</w:t>
                  </w:r>
                </w:p>
              </w:tc>
              <w:tc>
                <w:tcPr/>
                <w:p>
                  <w:pPr>
                    <w:pStyle w:val="Compact"/>
                    <w:jc w:val="center"/>
                  </w:pPr>
                  <w:r>
                    <w:t xml:space="preserve">yes</w:t>
                  </w:r>
                </w:p>
              </w:tc>
              <w:tc>
                <w:tcPr/>
                <w:p>
                  <w:pPr>
                    <w:pStyle w:val="Compact"/>
                    <w:jc w:val="center"/>
                  </w:pPr>
                  <w:r>
                    <w:t xml:space="preserve">15–19</w:t>
                  </w:r>
                </w:p>
              </w:tc>
              <w:tc>
                <w:tcPr/>
                <w:p>
                  <w:pPr>
                    <w:pStyle w:val="Compact"/>
                    <w:jc w:val="center"/>
                  </w:pPr>
                  <w:r>
                    <w:t xml:space="preserve">15–19</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70–130</w:t>
                  </w:r>
                </w:p>
              </w:tc>
              <w:tc>
                <w:tcPr/>
                <w:p>
                  <w:pPr>
                    <w:pStyle w:val="Compact"/>
                    <w:jc w:val="center"/>
                  </w:pPr>
                  <w:r>
                    <w:t xml:space="preserve">yes</w:t>
                  </w:r>
                </w:p>
              </w:tc>
              <w:tc>
                <w:tcPr/>
                <w:p>
                  <w:pPr>
                    <w:pStyle w:val="Compact"/>
                    <w:jc w:val="center"/>
                  </w:pPr>
                  <w:r>
                    <w:t xml:space="preserve">40–160</w:t>
                  </w:r>
                </w:p>
              </w:tc>
              <w:tc>
                <w:tcPr/>
                <w:p>
                  <w:pPr>
                    <w:pStyle w:val="Compact"/>
                    <w:jc w:val="center"/>
                  </w:pPr>
                  <w:r>
                    <w:t xml:space="preserve">40–160</w:t>
                  </w:r>
                </w:p>
              </w:tc>
            </w:tr>
            <w:tr>
              <w:tc>
                <w:tcPr>
                  <w:vMerge w:val="restart"/>
                </w:tcPr>
                <w:p>
                  <w:pPr>
                    <w:pStyle w:val="Compact"/>
                    <w:jc w:val="center"/>
                  </w:pPr>
                  <w:r>
                    <w:t xml:space="preserve">High mannose (%)</w:t>
                  </w:r>
                </w:p>
              </w:tc>
              <w:tc>
                <w:tcPr>
                  <w:vMerge w:val="restart"/>
                </w:tcPr>
                <w:p>
                  <w:pPr>
                    <w:pStyle w:val="Compact"/>
                    <w:jc w:val="center"/>
                  </w:pPr>
                  <w:r>
                    <w:t xml:space="preserve">3–10</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6.75–6.95</w:t>
                  </w:r>
                </w:p>
              </w:tc>
              <w:tc>
                <w:tcPr/>
                <w:p>
                  <w:pPr>
                    <w:pStyle w:val="Compact"/>
                    <w:jc w:val="center"/>
                  </w:pPr>
                  <w:r>
                    <w:t xml:space="preserve">yes</w:t>
                  </w:r>
                </w:p>
              </w:tc>
              <w:tc>
                <w:tcPr/>
                <w:p>
                  <w:pPr>
                    <w:pStyle w:val="Compact"/>
                    <w:jc w:val="center"/>
                  </w:pPr>
                  <w:r>
                    <w:t xml:space="preserve">6.6–7.1</w:t>
                  </w:r>
                </w:p>
              </w:tc>
              <w:tc>
                <w:tcPr/>
                <w:p>
                  <w:pPr>
                    <w:pStyle w:val="Compact"/>
                    <w:jc w:val="center"/>
                  </w:pPr>
                  <w:r>
                    <w:t xml:space="preserve">6.6–7.1</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34.5–35.5</w:t>
                  </w:r>
                </w:p>
              </w:tc>
              <w:tc>
                <w:tcPr/>
                <w:p>
                  <w:pPr>
                    <w:pStyle w:val="Compact"/>
                    <w:jc w:val="center"/>
                  </w:pPr>
                  <w:r>
                    <w:t xml:space="preserve">yes</w:t>
                  </w:r>
                </w:p>
              </w:tc>
              <w:tc>
                <w:tcPr/>
                <w:p>
                  <w:pPr>
                    <w:pStyle w:val="Compact"/>
                    <w:jc w:val="center"/>
                  </w:pPr>
                  <w:r>
                    <w:t xml:space="preserve">34–36</w:t>
                  </w:r>
                </w:p>
              </w:tc>
              <w:tc>
                <w:tcPr/>
                <w:p>
                  <w:pPr>
                    <w:pStyle w:val="Compact"/>
                    <w:jc w:val="center"/>
                  </w:pPr>
                  <w:r>
                    <w:t xml:space="preserve">34–36</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16–18</w:t>
                  </w:r>
                </w:p>
              </w:tc>
              <w:tc>
                <w:tcPr/>
                <w:p>
                  <w:pPr>
                    <w:pStyle w:val="Compact"/>
                    <w:jc w:val="center"/>
                  </w:pPr>
                  <w:r>
                    <w:t xml:space="preserve">no</w:t>
                  </w:r>
                </w:p>
              </w:tc>
              <w:tc>
                <w:tcPr/>
                <w:p>
                  <w:pPr>
                    <w:pStyle w:val="Compact"/>
                    <w:jc w:val="center"/>
                  </w:pPr>
                  <w:r>
                    <w:t xml:space="preserve">15–19</w:t>
                  </w:r>
                </w:p>
              </w:tc>
              <w:tc>
                <w:tcPr/>
                <w:p>
                  <w:pPr>
                    <w:pStyle w:val="Compact"/>
                    <w:jc w:val="center"/>
                  </w:pPr>
                  <w:r>
                    <w:t xml:space="preserve">15–19</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70–130</w:t>
                  </w:r>
                </w:p>
              </w:tc>
              <w:tc>
                <w:tcPr/>
                <w:p>
                  <w:pPr>
                    <w:pStyle w:val="Compact"/>
                    <w:jc w:val="center"/>
                  </w:pPr>
                  <w:r>
                    <w:t xml:space="preserve">no</w:t>
                  </w:r>
                </w:p>
              </w:tc>
              <w:tc>
                <w:tcPr/>
                <w:p>
                  <w:pPr>
                    <w:pStyle w:val="Compact"/>
                    <w:jc w:val="center"/>
                  </w:pPr>
                  <w:r>
                    <w:t xml:space="preserve">40–160</w:t>
                  </w:r>
                </w:p>
              </w:tc>
              <w:tc>
                <w:tcPr/>
                <w:p>
                  <w:pPr>
                    <w:pStyle w:val="Compact"/>
                    <w:jc w:val="center"/>
                  </w:pPr>
                  <w:r>
                    <w:t xml:space="preserve">40–160</w:t>
                  </w:r>
                </w:p>
              </w:tc>
            </w:tr>
            <w:tr>
              <w:tc>
                <w:tcPr>
                  <w:vMerge w:val="restart"/>
                </w:tcPr>
                <w:p>
                  <w:pPr>
                    <w:pStyle w:val="Compact"/>
                    <w:jc w:val="center"/>
                  </w:pPr>
                  <w:r>
                    <w:t xml:space="preserve">Acidic variants (%)</w:t>
                  </w:r>
                </w:p>
              </w:tc>
              <w:tc>
                <w:tcPr>
                  <w:vMerge w:val="restart"/>
                </w:tcPr>
                <w:p>
                  <w:pPr>
                    <w:pStyle w:val="Compact"/>
                    <w:jc w:val="center"/>
                  </w:pPr>
                  <w:r>
                    <w:t xml:space="preserve">18–39</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6.75–6.95</w:t>
                  </w:r>
                </w:p>
              </w:tc>
              <w:tc>
                <w:tcPr/>
                <w:p>
                  <w:pPr>
                    <w:pStyle w:val="Compact"/>
                    <w:jc w:val="center"/>
                  </w:pPr>
                  <w:r>
                    <w:t xml:space="preserve">yes</w:t>
                  </w:r>
                </w:p>
              </w:tc>
              <w:tc>
                <w:tcPr/>
                <w:p>
                  <w:pPr>
                    <w:pStyle w:val="Compact"/>
                    <w:jc w:val="center"/>
                  </w:pPr>
                  <w:r>
                    <w:t xml:space="preserve">6.6–7.1</w:t>
                  </w:r>
                </w:p>
              </w:tc>
              <w:tc>
                <w:tcPr/>
                <w:p>
                  <w:pPr>
                    <w:pStyle w:val="Compact"/>
                    <w:jc w:val="center"/>
                  </w:pPr>
                  <w:r>
                    <w:t xml:space="preserve">6.6–7.02</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34.5–35.5</w:t>
                  </w:r>
                </w:p>
              </w:tc>
              <w:tc>
                <w:tcPr/>
                <w:p>
                  <w:pPr>
                    <w:pStyle w:val="Compact"/>
                    <w:jc w:val="center"/>
                  </w:pPr>
                  <w:r>
                    <w:t xml:space="preserve">yes</w:t>
                  </w:r>
                </w:p>
              </w:tc>
              <w:tc>
                <w:tcPr/>
                <w:p>
                  <w:pPr>
                    <w:pStyle w:val="Compact"/>
                    <w:jc w:val="center"/>
                  </w:pPr>
                  <w:r>
                    <w:t xml:space="preserve">34–36</w:t>
                  </w:r>
                </w:p>
              </w:tc>
              <w:tc>
                <w:tcPr/>
                <w:p>
                  <w:pPr>
                    <w:pStyle w:val="Compact"/>
                    <w:jc w:val="center"/>
                  </w:pPr>
                  <w:r>
                    <w:t xml:space="preserve">34–36</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16–18</w:t>
                  </w:r>
                </w:p>
              </w:tc>
              <w:tc>
                <w:tcPr/>
                <w:p>
                  <w:pPr>
                    <w:pStyle w:val="Compact"/>
                    <w:jc w:val="center"/>
                  </w:pPr>
                  <w:r>
                    <w:t xml:space="preserve">yes</w:t>
                  </w:r>
                </w:p>
              </w:tc>
              <w:tc>
                <w:tcPr/>
                <w:p>
                  <w:pPr>
                    <w:pStyle w:val="Compact"/>
                    <w:jc w:val="center"/>
                  </w:pPr>
                  <w:r>
                    <w:t xml:space="preserve">15–19</w:t>
                  </w:r>
                </w:p>
              </w:tc>
              <w:tc>
                <w:tcPr/>
                <w:p>
                  <w:pPr>
                    <w:pStyle w:val="Compact"/>
                    <w:jc w:val="center"/>
                  </w:pPr>
                  <w:r>
                    <w:t xml:space="preserve">15–19</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70–130</w:t>
                  </w:r>
                </w:p>
              </w:tc>
              <w:tc>
                <w:tcPr/>
                <w:p>
                  <w:pPr>
                    <w:pStyle w:val="Compact"/>
                    <w:jc w:val="center"/>
                  </w:pPr>
                  <w:r>
                    <w:t xml:space="preserve">yes</w:t>
                  </w:r>
                </w:p>
              </w:tc>
              <w:tc>
                <w:tcPr/>
                <w:p>
                  <w:pPr>
                    <w:pStyle w:val="Compact"/>
                    <w:jc w:val="center"/>
                  </w:pPr>
                  <w:r>
                    <w:t xml:space="preserve">40–160</w:t>
                  </w:r>
                </w:p>
              </w:tc>
              <w:tc>
                <w:tcPr/>
                <w:p>
                  <w:pPr>
                    <w:pStyle w:val="Compact"/>
                    <w:jc w:val="center"/>
                  </w:pPr>
                  <w:r>
                    <w:t xml:space="preserve">40–131</w:t>
                  </w:r>
                </w:p>
              </w:tc>
            </w:tr>
            <w:tr>
              <w:tc>
                <w:tcPr>
                  <w:vMerge w:val="restart"/>
                </w:tcPr>
                <w:p>
                  <w:pPr>
                    <w:pStyle w:val="Compact"/>
                    <w:jc w:val="center"/>
                  </w:pPr>
                  <w:r>
                    <w:t xml:space="preserve">Aggregates, HMW (%)</w:t>
                  </w:r>
                </w:p>
              </w:tc>
              <w:tc>
                <w:tcPr>
                  <w:vMerge w:val="restart"/>
                </w:tcPr>
                <w:p>
                  <w:pPr>
                    <w:pStyle w:val="Compact"/>
                    <w:jc w:val="center"/>
                  </w:pPr>
                  <w:r>
                    <w:t xml:space="preserve">≤ 6.46</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6.75–6.95</w:t>
                  </w:r>
                </w:p>
              </w:tc>
              <w:tc>
                <w:tcPr/>
                <w:p>
                  <w:pPr>
                    <w:pStyle w:val="Compact"/>
                    <w:jc w:val="center"/>
                  </w:pPr>
                  <w:r>
                    <w:t xml:space="preserve">yes</w:t>
                  </w:r>
                </w:p>
              </w:tc>
              <w:tc>
                <w:tcPr/>
                <w:p>
                  <w:pPr>
                    <w:pStyle w:val="Compact"/>
                    <w:jc w:val="center"/>
                  </w:pPr>
                  <w:r>
                    <w:t xml:space="preserve">6.6–7.1</w:t>
                  </w:r>
                </w:p>
              </w:tc>
              <w:tc>
                <w:tcPr/>
                <w:p>
                  <w:pPr>
                    <w:pStyle w:val="Compact"/>
                    <w:jc w:val="center"/>
                  </w:pPr>
                  <w:r>
                    <w:t xml:space="preserve">6.6–7.1</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34.5–35.5</w:t>
                  </w:r>
                </w:p>
              </w:tc>
              <w:tc>
                <w:tcPr/>
                <w:p>
                  <w:pPr>
                    <w:pStyle w:val="Compact"/>
                    <w:jc w:val="center"/>
                  </w:pPr>
                  <w:r>
                    <w:t xml:space="preserve">no</w:t>
                  </w:r>
                </w:p>
              </w:tc>
              <w:tc>
                <w:tcPr/>
                <w:p>
                  <w:pPr>
                    <w:pStyle w:val="Compact"/>
                    <w:jc w:val="center"/>
                  </w:pPr>
                  <w:r>
                    <w:t xml:space="preserve">34–36</w:t>
                  </w:r>
                </w:p>
              </w:tc>
              <w:tc>
                <w:tcPr/>
                <w:p>
                  <w:pPr>
                    <w:pStyle w:val="Compact"/>
                    <w:jc w:val="center"/>
                  </w:pPr>
                  <w:r>
                    <w:t xml:space="preserve">34–36</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16–18</w:t>
                  </w:r>
                </w:p>
              </w:tc>
              <w:tc>
                <w:tcPr/>
                <w:p>
                  <w:pPr>
                    <w:pStyle w:val="Compact"/>
                    <w:jc w:val="center"/>
                  </w:pPr>
                  <w:r>
                    <w:t xml:space="preserve">yes</w:t>
                  </w:r>
                </w:p>
              </w:tc>
              <w:tc>
                <w:tcPr/>
                <w:p>
                  <w:pPr>
                    <w:pStyle w:val="Compact"/>
                    <w:jc w:val="center"/>
                  </w:pPr>
                  <w:r>
                    <w:t xml:space="preserve">15–19</w:t>
                  </w:r>
                </w:p>
              </w:tc>
              <w:tc>
                <w:tcPr/>
                <w:p>
                  <w:pPr>
                    <w:pStyle w:val="Compact"/>
                    <w:jc w:val="center"/>
                  </w:pPr>
                  <w:r>
                    <w:t xml:space="preserve">15–19</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70–130</w:t>
                  </w:r>
                </w:p>
              </w:tc>
              <w:tc>
                <w:tcPr/>
                <w:p>
                  <w:pPr>
                    <w:pStyle w:val="Compact"/>
                    <w:jc w:val="center"/>
                  </w:pPr>
                  <w:r>
                    <w:t xml:space="preserve">no</w:t>
                  </w:r>
                </w:p>
              </w:tc>
              <w:tc>
                <w:tcPr/>
                <w:p>
                  <w:pPr>
                    <w:pStyle w:val="Compact"/>
                    <w:jc w:val="center"/>
                  </w:pPr>
                  <w:r>
                    <w:t xml:space="preserve">40–160</w:t>
                  </w:r>
                </w:p>
              </w:tc>
              <w:tc>
                <w:tcPr/>
                <w:p>
                  <w:pPr>
                    <w:pStyle w:val="Compact"/>
                    <w:jc w:val="center"/>
                  </w:pPr>
                  <w:r>
                    <w:t xml:space="preserve">40–160</w:t>
                  </w:r>
                </w:p>
              </w:tc>
            </w:tr>
            <w:tr>
              <w:tc>
                <w:tcPr>
                  <w:gridSpan w:val="8"/>
                </w:tcPr>
                <w:p>
                  <w:pPr>
                    <w:pStyle w:val="Compact"/>
                    <w:jc w:val="center"/>
                  </w:pPr>
                  <w:r>
                    <w:t xml:space="preserve">Every PAR is computed from the selected model of the attribute. PAR, others at set-point: the mean prediction with the other factors at their set-points. PAR, others across NOR: the 95 % interval of the simulated runs with the other factors drawn across their NORs, the PAR that supports a claim. Required by objective 3: the selected model has a significant term in the parameter. A PAR edge is rounded toward the inside of the range, to three significant figures. The range studied of each parameter is given in the table of process parameters.</w:t>
                  </w:r>
                </w:p>
              </w:tc>
            </w:tr>
          </w:tbl>
          <w:bookmarkEnd w:id="112"/>
          <w:p/>
        </w:tc>
      </w:tr>
    </w:tbl>
    <w:p>
      <w:pPr>
        <w:pStyle w:val="BodyText"/>
      </w:pPr>
      <w:r>
        <w:t xml:space="preserve">The PAR of pCO2 is a range at the set-point of osmolality, because the response-surface model holds osmolality there. At manufacturing scale a higher pCO2 raises the osmolality as bicarbonate accumulates, and a higher osmolality lowered acidic variants in the screening design (</w:t>
      </w:r>
      <w:hyperlink w:anchor="sec-screening">
        <w:r>
          <w:rPr>
            <w:rStyle w:val="Hyperlink"/>
          </w:rPr>
          <w:t xml:space="preserve">Section 5.2</w:t>
        </w:r>
      </w:hyperlink>
      <w:r>
        <w:t xml:space="preserve">). The PAR of pCO2 for acidic variants therefore does not include the effect of the osmolality rise that comes with it at scale.</w:t>
      </w:r>
    </w:p>
    <w:p>
      <w:pPr>
        <w:pStyle w:val="BodyText"/>
      </w:pPr>
      <w:hyperlink w:anchor="fig-par-afucosylation">
        <w:r>
          <w:rPr>
            <w:rStyle w:val="Hyperlink"/>
          </w:rPr>
          <w:t xml:space="preserve">Figure 8</w:t>
        </w:r>
      </w:hyperlink>
      <w:r>
        <w:t xml:space="preserve"> </w:t>
      </w:r>
      <w:r>
        <w:t xml:space="preserve">to</w:t>
      </w:r>
      <w:r>
        <w:t xml:space="preserve"> </w:t>
      </w:r>
      <w:hyperlink w:anchor="fig-par-aggregates">
        <w:r>
          <w:rPr>
            <w:rStyle w:val="Hyperlink"/>
          </w:rPr>
          <w:t xml:space="preserve">Figure 12</w:t>
        </w:r>
      </w:hyperlink>
      <w:r>
        <w:t xml:space="preserve"> </w:t>
      </w:r>
      <w:r>
        <w:t xml:space="preserve">show, for each attribute, the PAR of the parameter with the largest main effect in its selected model. The acceptable region is shaded green, the NOR grey and the criterion dashed. The left panel is the set-point analysis and the right panel the NOR-propagated analysis, with the median and the 95 % interval of the simulated runs. Values are at manufacturing scale.</w:t>
      </w:r>
    </w:p>
    <w:tbl>
      <w:tblPr>
        <w:tblStyle w:val="Table"/>
        <w:tblW w:type="pct" w:w="5000"/>
        <w:tblLayout w:type="fixed"/>
        <w:tblLook w:firstRow="0" w:lastRow="0" w:firstColumn="0" w:lastColumn="0" w:noHBand="0" w:noVBand="0" w:val="0000"/>
      </w:tblPr>
      <w:tblGrid>
        <w:gridCol w:w="7920"/>
      </w:tblGrid>
      <w:tr>
        <w:tc>
          <w:tcPr/>
          <w:bookmarkStart w:id="116" w:name="fig-par-afucosylation"/>
          <w:p>
            <w:pPr>
              <w:pStyle w:val="Compact"/>
              <w:jc w:val="center"/>
            </w:pPr>
            <w:r>
              <w:drawing>
                <wp:inline>
                  <wp:extent cx="5334000" cy="1845992"/>
                  <wp:effectExtent b="0" l="0" r="0" t="0"/>
                  <wp:docPr descr="" title="" id="114" name="Picture"/>
                  <a:graphic>
                    <a:graphicData uri="http://schemas.openxmlformats.org/drawingml/2006/picture">
                      <pic:pic>
                        <pic:nvPicPr>
                          <pic:cNvPr descr="PCR-003_bioreactor_files/figure-docx/fig-par-afucosylation-output-1.png" id="115" name="Picture"/>
                          <pic:cNvPicPr>
                            <a:picLocks noChangeArrowheads="1" noChangeAspect="1"/>
                          </pic:cNvPicPr>
                        </pic:nvPicPr>
                        <pic:blipFill>
                          <a:blip r:embed="rId113"/>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Proven acceptable range of afucosylation in culture duration. Left, the other factors at their set-points. Right, the other factors varying across their NORs.</w:t>
            </w:r>
          </w:p>
          <w:bookmarkEnd w:id="116"/>
        </w:tc>
      </w:tr>
    </w:tbl>
    <w:tbl>
      <w:tblPr>
        <w:tblStyle w:val="Table"/>
        <w:tblW w:type="pct" w:w="5000"/>
        <w:tblLayout w:type="fixed"/>
        <w:tblLook w:firstRow="0" w:lastRow="0" w:firstColumn="0" w:lastColumn="0" w:noHBand="0" w:noVBand="0" w:val="0000"/>
      </w:tblPr>
      <w:tblGrid>
        <w:gridCol w:w="7920"/>
      </w:tblGrid>
      <w:tr>
        <w:tc>
          <w:tcPr/>
          <w:bookmarkStart w:id="120" w:name="fig-par-galactosylation"/>
          <w:p>
            <w:pPr>
              <w:pStyle w:val="Compact"/>
              <w:jc w:val="center"/>
            </w:pPr>
            <w:r>
              <w:drawing>
                <wp:inline>
                  <wp:extent cx="5334000" cy="1845992"/>
                  <wp:effectExtent b="0" l="0" r="0" t="0"/>
                  <wp:docPr descr="" title="" id="118" name="Picture"/>
                  <a:graphic>
                    <a:graphicData uri="http://schemas.openxmlformats.org/drawingml/2006/picture">
                      <pic:pic>
                        <pic:nvPicPr>
                          <pic:cNvPr descr="PCR-003_bioreactor_files/figure-docx/fig-par-galactosylation-output-1.png" id="119" name="Picture"/>
                          <pic:cNvPicPr>
                            <a:picLocks noChangeArrowheads="1" noChangeAspect="1"/>
                          </pic:cNvPicPr>
                        </pic:nvPicPr>
                        <pic:blipFill>
                          <a:blip r:embed="rId117"/>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Proven acceptable range of galactosylation in culture duration. Left, the other factors at their set-points. Right, the other factors varying across their NORs.</w:t>
            </w:r>
          </w:p>
          <w:bookmarkEnd w:id="120"/>
        </w:tc>
      </w:tr>
    </w:tbl>
    <w:tbl>
      <w:tblPr>
        <w:tblStyle w:val="Table"/>
        <w:tblW w:type="pct" w:w="5000"/>
        <w:tblLayout w:type="fixed"/>
        <w:tblLook w:firstRow="0" w:lastRow="0" w:firstColumn="0" w:lastColumn="0" w:noHBand="0" w:noVBand="0" w:val="0000"/>
      </w:tblPr>
      <w:tblGrid>
        <w:gridCol w:w="7920"/>
      </w:tblGrid>
      <w:tr>
        <w:tc>
          <w:tcPr/>
          <w:bookmarkStart w:id="124" w:name="fig-par-high-mannose"/>
          <w:p>
            <w:pPr>
              <w:pStyle w:val="Compact"/>
              <w:jc w:val="center"/>
            </w:pPr>
            <w:r>
              <w:drawing>
                <wp:inline>
                  <wp:extent cx="5334000" cy="1845992"/>
                  <wp:effectExtent b="0" l="0" r="0" t="0"/>
                  <wp:docPr descr="" title="" id="122" name="Picture"/>
                  <a:graphic>
                    <a:graphicData uri="http://schemas.openxmlformats.org/drawingml/2006/picture">
                      <pic:pic>
                        <pic:nvPicPr>
                          <pic:cNvPr descr="PCR-003_bioreactor_files/figure-docx/fig-par-high-mannose-output-1.png" id="123" name="Picture"/>
                          <pic:cNvPicPr>
                            <a:picLocks noChangeArrowheads="1" noChangeAspect="1"/>
                          </pic:cNvPicPr>
                        </pic:nvPicPr>
                        <pic:blipFill>
                          <a:blip r:embed="rId121"/>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Proven acceptable range of high mannose in culture pH. Left, the other factors at their set-points. Right, the other factors varying across their NORs.</w:t>
            </w:r>
          </w:p>
          <w:bookmarkEnd w:id="124"/>
        </w:tc>
      </w:tr>
    </w:tbl>
    <w:tbl>
      <w:tblPr>
        <w:tblStyle w:val="Table"/>
        <w:tblW w:type="pct" w:w="5000"/>
        <w:tblLayout w:type="fixed"/>
        <w:tblLook w:firstRow="0" w:lastRow="0" w:firstColumn="0" w:lastColumn="0" w:noHBand="0" w:noVBand="0" w:val="0000"/>
      </w:tblPr>
      <w:tblGrid>
        <w:gridCol w:w="7920"/>
      </w:tblGrid>
      <w:tr>
        <w:tc>
          <w:tcPr/>
          <w:bookmarkStart w:id="128" w:name="fig-par-acidic-variants"/>
          <w:p>
            <w:pPr>
              <w:pStyle w:val="Compact"/>
              <w:jc w:val="center"/>
            </w:pPr>
            <w:r>
              <w:drawing>
                <wp:inline>
                  <wp:extent cx="5334000" cy="1845992"/>
                  <wp:effectExtent b="0" l="0" r="0" t="0"/>
                  <wp:docPr descr="" title="" id="126" name="Picture"/>
                  <a:graphic>
                    <a:graphicData uri="http://schemas.openxmlformats.org/drawingml/2006/picture">
                      <pic:pic>
                        <pic:nvPicPr>
                          <pic:cNvPr descr="PCR-003_bioreactor_files/figure-docx/fig-par-acidic-variants-output-1.png" id="127" name="Picture"/>
                          <pic:cNvPicPr>
                            <a:picLocks noChangeArrowheads="1" noChangeAspect="1"/>
                          </pic:cNvPicPr>
                        </pic:nvPicPr>
                        <pic:blipFill>
                          <a:blip r:embed="rId125"/>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Proven acceptable range of acidic variants in pCO2. Left, the other factors at their set-points. Right, the other factors varying across their NORs. The NOR-propagated PAR ends just above the NOR high.</w:t>
            </w:r>
          </w:p>
          <w:bookmarkEnd w:id="128"/>
        </w:tc>
      </w:tr>
    </w:tbl>
    <w:tbl>
      <w:tblPr>
        <w:tblStyle w:val="Table"/>
        <w:tblW w:type="pct" w:w="5000"/>
        <w:tblLayout w:type="fixed"/>
        <w:tblLook w:firstRow="0" w:lastRow="0" w:firstColumn="0" w:lastColumn="0" w:noHBand="0" w:noVBand="0" w:val="0000"/>
      </w:tblPr>
      <w:tblGrid>
        <w:gridCol w:w="7920"/>
      </w:tblGrid>
      <w:tr>
        <w:tc>
          <w:tcPr/>
          <w:bookmarkStart w:id="132" w:name="fig-par-aggregates"/>
          <w:p>
            <w:pPr>
              <w:pStyle w:val="Compact"/>
              <w:jc w:val="center"/>
            </w:pPr>
            <w:r>
              <w:drawing>
                <wp:inline>
                  <wp:extent cx="5334000" cy="1845992"/>
                  <wp:effectExtent b="0" l="0" r="0" t="0"/>
                  <wp:docPr descr="" title="" id="130" name="Picture"/>
                  <a:graphic>
                    <a:graphicData uri="http://schemas.openxmlformats.org/drawingml/2006/picture">
                      <pic:pic>
                        <pic:nvPicPr>
                          <pic:cNvPr descr="PCR-003_bioreactor_files/figure-docx/fig-par-aggregates-output-1.png" id="131" name="Picture"/>
                          <pic:cNvPicPr>
                            <a:picLocks noChangeArrowheads="1" noChangeAspect="1"/>
                          </pic:cNvPicPr>
                        </pic:nvPicPr>
                        <pic:blipFill>
                          <a:blip r:embed="rId129"/>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Proven acceptable range of aggregate in culture pH. Left, the other factors at their set-points. Right, the other factors varying across their NORs.</w:t>
            </w:r>
          </w:p>
          <w:bookmarkEnd w:id="132"/>
        </w:tc>
      </w:tr>
    </w:tbl>
    <w:bookmarkEnd w:id="133"/>
    <w:bookmarkStart w:id="134" w:name="sec-par-uni"/>
    <w:p>
      <w:pPr>
        <w:pStyle w:val="Heading2"/>
      </w:pPr>
      <w:r>
        <w:t xml:space="preserve">7.4 Univariate parameters and osmolality</w:t>
      </w:r>
    </w:p>
    <w:p>
      <w:pPr>
        <w:pStyle w:val="FirstParagraph"/>
      </w:pPr>
      <w:r>
        <w:t xml:space="preserve">The ranges of the four univariate parameters are supported by their own data, with the other parameters at their set-points (PCMP-001 §4). Every result met its criterion at both ends of each range (</w:t>
      </w:r>
      <w:hyperlink w:anchor="tbl-univariate">
        <w:r>
          <w:rPr>
            <w:rStyle w:val="Hyperlink"/>
          </w:rPr>
          <w:t xml:space="preserve">Table 19</w:t>
        </w:r>
      </w:hyperlink>
      <w:r>
        <w:t xml:space="preserve">), so the range studied of each parameter is supported for the five attributes at that condition. For the initial viable cell concentration the support does not extend to the other parameters at their least favourable NOR settings for acidic variants (</w:t>
      </w:r>
      <w:hyperlink w:anchor="sec-univariate">
        <w:r>
          <w:rPr>
            <w:rStyle w:val="Hyperlink"/>
          </w:rPr>
          <w:t xml:space="preserve">Section 5.4</w:t>
        </w:r>
      </w:hyperlink>
      <w:r>
        <w:t xml:space="preserve">). Osmolality has no PAR from a model, because it was not a factor of the response-surface design. The osmolality study supports its NOR for every attribute except acidic variants, at the single combination of the other parameters that it tested, and no range of osmolality beyond its NOR is claimed.</w:t>
      </w:r>
    </w:p>
    <w:bookmarkEnd w:id="134"/>
    <w:bookmarkEnd w:id="135"/>
    <w:bookmarkStart w:id="137" w:name="sec-capability"/>
    <w:p>
      <w:pPr>
        <w:pStyle w:val="Heading1"/>
      </w:pPr>
      <w:r>
        <w:t xml:space="preserve">8. Process capability and robustness</w:t>
      </w:r>
    </w:p>
    <w:p>
      <w:pPr>
        <w:pStyle w:val="FirstParagraph"/>
      </w:pPr>
      <w:hyperlink w:anchor="tbl-capability">
        <w:r>
          <w:rPr>
            <w:rStyle w:val="Hyperlink"/>
          </w:rPr>
          <w:t xml:space="preserve">Table 25</w:t>
        </w:r>
      </w:hyperlink>
      <w:r>
        <w:t xml:space="preserve"> </w:t>
      </w:r>
      <w:r>
        <w:t xml:space="preserve">gives the capability of the drug substance for the seven attributes that this step sets, from the 2,000 simulated batches of the integrated model. Each Cpk is judged against the target of 1.33 and the minimum of 1.00 of PCMP-001 §7.9. A Cpk between the two is acceptable, and a Cpk below the minimum needs an action in the control strategy.</w:t>
      </w:r>
    </w:p>
    <w:p>
      <w:pPr>
        <w:pStyle w:val="BodyText"/>
      </w:pPr>
      <w:r>
        <w:t xml:space="preserve">The integrated model simulates manufacturing-scale batches through the whole train. It does not use the response-surface models of this report, and it applies no scale-down offset, because it simulates manufacturing scale directly. Its drug substance means differ from the predictions of</w:t>
      </w:r>
      <w:r>
        <w:t xml:space="preserve"> </w:t>
      </w:r>
      <w:hyperlink w:anchor="tbl-criteria-bioreactor">
        <w:r>
          <w:rPr>
            <w:rStyle w:val="Hyperlink"/>
          </w:rPr>
          <w:t xml:space="preserve">Table 23</w:t>
        </w:r>
      </w:hyperlink>
      <w:r>
        <w:t xml:space="preserve">, for afucosylation 7.98 % against 8.67 % predicted at the set-point. It draws every parameter of the step as the NOR-propagated analysis does, including osmolality, a higher level of which lowers acidic variants in its process model. It carries no effect of the initial viable cell concentration on acidic variants, so the capability does not include the effect found in the univariate study.</w:t>
      </w:r>
    </w:p>
    <w:tbl>
      <w:tblPr>
        <w:tblStyle w:val="Table"/>
        <w:tblW w:type="pct" w:w="5000"/>
        <w:tblLayout w:type="fixed"/>
        <w:tblLook w:firstRow="0" w:lastRow="0" w:firstColumn="0" w:lastColumn="0" w:noHBand="0" w:noVBand="0" w:val="0000"/>
      </w:tblPr>
      <w:tblGrid>
        <w:gridCol w:w="7920"/>
      </w:tblGrid>
      <w:tr>
        <w:tc>
          <w:tcPr/>
          <w:bookmarkStart w:id="136" w:name="tbl-capability"/>
          <w:p>
            <w:pPr>
              <w:jc w:val="center"/>
            </w:pPr>
            <w:pPr>
              <w:jc w:val="start"/>
              <w:spacing w:before="200"/>
              <w:pStyle w:val="ImageCaption"/>
            </w:pPr>
            <w:r>
              <w:t xml:space="preserve">Table 25: Capability of the drug substance for the attributes that the production bioreactor sets, from 2,000 batches of the integrated model.</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t xml:space="preserve">Attribute</w:t>
                  </w:r>
                </w:p>
              </w:tc>
              <w:tc>
                <w:tcPr/>
                <w:p>
                  <w:pPr>
                    <w:pStyle w:val="Compact"/>
                    <w:jc w:val="center"/>
                  </w:pPr>
                  <w:r>
                    <w:t xml:space="preserve">Criti-</w:t>
                  </w:r>
                  <w:r>
                    <w:br/>
                  </w:r>
                  <w:r>
                    <w:t xml:space="preserve">cality</w:t>
                  </w:r>
                </w:p>
              </w:tc>
              <w:tc>
                <w:tcPr/>
                <w:p>
                  <w:pPr>
                    <w:pStyle w:val="Compact"/>
                    <w:jc w:val="center"/>
                  </w:pPr>
                  <w:r>
                    <w:t xml:space="preserve">Criterion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Cpk</w:t>
                  </w:r>
                </w:p>
              </w:tc>
              <w:tc>
                <w:tcPr/>
                <w:p>
                  <w:pPr>
                    <w:pStyle w:val="Compact"/>
                    <w:jc w:val="center"/>
                  </w:pPr>
                  <w:r>
                    <w:t xml:space="preserve">Against the target</w:t>
                  </w:r>
                  <w:r>
                    <w:br/>
                  </w:r>
                  <w:r>
                    <w:t xml:space="preserve">and minimum</w:t>
                  </w:r>
                </w:p>
              </w:tc>
              <w:tc>
                <w:tcPr/>
                <w:p>
                  <w:pPr>
                    <w:pStyle w:val="Compact"/>
                    <w:jc w:val="center"/>
                  </w:pPr>
                  <w:r>
                    <w:t xml:space="preserve">Batches</w:t>
                  </w:r>
                  <w:r>
                    <w:br/>
                  </w:r>
                  <w:r>
                    <w:t xml:space="preserve">outside</w:t>
                  </w:r>
                </w:p>
              </w:tc>
              <w:tc>
                <w:tcPr/>
                <w:p>
                  <w:pPr>
                    <w:pStyle w:val="Compact"/>
                    <w:jc w:val="center"/>
                  </w:pPr>
                  <w:r>
                    <w:t xml:space="preserve">Normal tail</w:t>
                  </w:r>
                  <w:r>
                    <w:br/>
                  </w:r>
                  <w:r>
                    <w:t xml:space="preserve">(per million)</w:t>
                  </w:r>
                </w:p>
              </w:tc>
            </w:tr>
            <w:tr>
              <w:tc>
                <w:tcPr/>
                <w:p>
                  <w:pPr>
                    <w:pStyle w:val="Compact"/>
                    <w:jc w:val="center"/>
                  </w:pPr>
                  <w:r>
                    <w:t xml:space="preserve">Afucosylation (%)</w:t>
                  </w:r>
                </w:p>
              </w:tc>
              <w:tc>
                <w:tcPr/>
                <w:p>
                  <w:pPr>
                    <w:pStyle w:val="Compact"/>
                    <w:jc w:val="center"/>
                  </w:pPr>
                  <w:r>
                    <w:t xml:space="preserve">H</w:t>
                  </w:r>
                </w:p>
              </w:tc>
              <w:tc>
                <w:tcPr/>
                <w:p>
                  <w:pPr>
                    <w:pStyle w:val="Compact"/>
                    <w:jc w:val="center"/>
                  </w:pPr>
                  <w:r>
                    <w:t xml:space="preserve">2–13</w:t>
                  </w:r>
                </w:p>
              </w:tc>
              <w:tc>
                <w:tcPr/>
                <w:p>
                  <w:pPr>
                    <w:pStyle w:val="Compact"/>
                    <w:jc w:val="center"/>
                  </w:pPr>
                  <w:r>
                    <w:t xml:space="preserve">7.98</w:t>
                  </w:r>
                </w:p>
              </w:tc>
              <w:tc>
                <w:tcPr/>
                <w:p>
                  <w:pPr>
                    <w:pStyle w:val="Compact"/>
                    <w:jc w:val="center"/>
                  </w:pPr>
                  <w:r>
                    <w:t xml:space="preserve">0.58</w:t>
                  </w:r>
                </w:p>
              </w:tc>
              <w:tc>
                <w:tcPr/>
                <w:p>
                  <w:pPr>
                    <w:pStyle w:val="Compact"/>
                    <w:jc w:val="center"/>
                  </w:pPr>
                  <w:r>
                    <w:t xml:space="preserve">2.89</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p>
                  <w:pPr>
                    <w:pStyle w:val="Compact"/>
                    <w:jc w:val="center"/>
                  </w:pPr>
                  <w:r>
                    <w:t xml:space="preserve">Galactosylation (%)</w:t>
                  </w:r>
                </w:p>
              </w:tc>
              <w:tc>
                <w:tcPr/>
                <w:p>
                  <w:pPr>
                    <w:pStyle w:val="Compact"/>
                    <w:jc w:val="center"/>
                  </w:pPr>
                  <w:r>
                    <w:t xml:space="preserve">H</w:t>
                  </w:r>
                </w:p>
              </w:tc>
              <w:tc>
                <w:tcPr/>
                <w:p>
                  <w:pPr>
                    <w:pStyle w:val="Compact"/>
                    <w:jc w:val="center"/>
                  </w:pPr>
                  <w:r>
                    <w:t xml:space="preserve">10–40</w:t>
                  </w:r>
                </w:p>
              </w:tc>
              <w:tc>
                <w:tcPr/>
                <w:p>
                  <w:pPr>
                    <w:pStyle w:val="Compact"/>
                    <w:jc w:val="center"/>
                  </w:pPr>
                  <w:r>
                    <w:t xml:space="preserve">26.0</w:t>
                  </w:r>
                </w:p>
              </w:tc>
              <w:tc>
                <w:tcPr/>
                <w:p>
                  <w:pPr>
                    <w:pStyle w:val="Compact"/>
                    <w:jc w:val="center"/>
                  </w:pPr>
                  <w:r>
                    <w:t xml:space="preserve">1.63</w:t>
                  </w:r>
                </w:p>
              </w:tc>
              <w:tc>
                <w:tcPr/>
                <w:p>
                  <w:pPr>
                    <w:pStyle w:val="Compact"/>
                    <w:jc w:val="center"/>
                  </w:pPr>
                  <w:r>
                    <w:t xml:space="preserve">2.86</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p>
                  <w:pPr>
                    <w:pStyle w:val="Compact"/>
                    <w:jc w:val="center"/>
                  </w:pPr>
                  <w:r>
                    <w:t xml:space="preserve">High mannose (%)</w:t>
                  </w:r>
                </w:p>
              </w:tc>
              <w:tc>
                <w:tcPr/>
                <w:p>
                  <w:pPr>
                    <w:pStyle w:val="Compact"/>
                    <w:jc w:val="center"/>
                  </w:pPr>
                  <w:r>
                    <w:t xml:space="preserve">VH</w:t>
                  </w:r>
                </w:p>
              </w:tc>
              <w:tc>
                <w:tcPr/>
                <w:p>
                  <w:pPr>
                    <w:pStyle w:val="Compact"/>
                    <w:jc w:val="center"/>
                  </w:pPr>
                  <w:r>
                    <w:t xml:space="preserve">3–10</w:t>
                  </w:r>
                </w:p>
              </w:tc>
              <w:tc>
                <w:tcPr/>
                <w:p>
                  <w:pPr>
                    <w:pStyle w:val="Compact"/>
                    <w:jc w:val="center"/>
                  </w:pPr>
                  <w:r>
                    <w:t xml:space="preserve">5.99</w:t>
                  </w:r>
                </w:p>
              </w:tc>
              <w:tc>
                <w:tcPr/>
                <w:p>
                  <w:pPr>
                    <w:pStyle w:val="Compact"/>
                    <w:jc w:val="center"/>
                  </w:pPr>
                  <w:r>
                    <w:t xml:space="preserve">0.51</w:t>
                  </w:r>
                </w:p>
              </w:tc>
              <w:tc>
                <w:tcPr/>
                <w:p>
                  <w:pPr>
                    <w:pStyle w:val="Compact"/>
                    <w:jc w:val="center"/>
                  </w:pPr>
                  <w:r>
                    <w:t xml:space="preserve">1.94</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p>
                  <w:pPr>
                    <w:pStyle w:val="Compact"/>
                    <w:jc w:val="center"/>
                  </w:pPr>
                  <w:r>
                    <w:t xml:space="preserve">Aggregates, HMW (%)</w:t>
                  </w:r>
                </w:p>
              </w:tc>
              <w:tc>
                <w:tcPr/>
                <w:p>
                  <w:pPr>
                    <w:pStyle w:val="Compact"/>
                    <w:jc w:val="center"/>
                  </w:pPr>
                  <w:r>
                    <w:t xml:space="preserve">H</w:t>
                  </w:r>
                </w:p>
              </w:tc>
              <w:tc>
                <w:tcPr/>
                <w:p>
                  <w:pPr>
                    <w:pStyle w:val="Compact"/>
                    <w:jc w:val="center"/>
                  </w:pPr>
                  <w:r>
                    <w:t xml:space="preserve">≤ 5</w:t>
                  </w:r>
                </w:p>
              </w:tc>
              <w:tc>
                <w:tcPr/>
                <w:p>
                  <w:pPr>
                    <w:pStyle w:val="Compact"/>
                    <w:jc w:val="center"/>
                  </w:pPr>
                  <w:r>
                    <w:t xml:space="preserve">0.78</w:t>
                  </w:r>
                </w:p>
              </w:tc>
              <w:tc>
                <w:tcPr/>
                <w:p>
                  <w:pPr>
                    <w:pStyle w:val="Compact"/>
                    <w:jc w:val="center"/>
                  </w:pPr>
                  <w:r>
                    <w:t xml:space="preserve">0.09</w:t>
                  </w:r>
                </w:p>
              </w:tc>
              <w:tc>
                <w:tcPr/>
                <w:p>
                  <w:pPr>
                    <w:pStyle w:val="Compact"/>
                    <w:jc w:val="center"/>
                  </w:pPr>
                  <w:r>
                    <w:t xml:space="preserve">15.66</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p>
                  <w:pPr>
                    <w:pStyle w:val="Compact"/>
                    <w:jc w:val="center"/>
                  </w:pPr>
                  <w:r>
                    <w:t xml:space="preserve">Acidic variants (%)</w:t>
                  </w:r>
                </w:p>
              </w:tc>
              <w:tc>
                <w:tcPr/>
                <w:p>
                  <w:pPr>
                    <w:pStyle w:val="Compact"/>
                    <w:jc w:val="center"/>
                  </w:pPr>
                  <w:r>
                    <w:t xml:space="preserve">VL</w:t>
                  </w:r>
                </w:p>
              </w:tc>
              <w:tc>
                <w:tcPr/>
                <w:p>
                  <w:pPr>
                    <w:pStyle w:val="Compact"/>
                    <w:jc w:val="center"/>
                  </w:pPr>
                  <w:r>
                    <w:t xml:space="preserve">18–40</w:t>
                  </w:r>
                </w:p>
              </w:tc>
              <w:tc>
                <w:tcPr/>
                <w:p>
                  <w:pPr>
                    <w:pStyle w:val="Compact"/>
                    <w:jc w:val="center"/>
                  </w:pPr>
                  <w:r>
                    <w:t xml:space="preserve">22.4</w:t>
                  </w:r>
                </w:p>
              </w:tc>
              <w:tc>
                <w:tcPr/>
                <w:p>
                  <w:pPr>
                    <w:pStyle w:val="Compact"/>
                    <w:jc w:val="center"/>
                  </w:pPr>
                  <w:r>
                    <w:t xml:space="preserve">1.39</w:t>
                  </w:r>
                </w:p>
              </w:tc>
              <w:tc>
                <w:tcPr/>
                <w:p>
                  <w:pPr>
                    <w:pStyle w:val="Compact"/>
                    <w:jc w:val="center"/>
                  </w:pPr>
                  <w:r>
                    <w:t xml:space="preserve">1.05</w:t>
                  </w:r>
                </w:p>
              </w:tc>
              <w:tc>
                <w:tcPr/>
                <w:p>
                  <w:pPr>
                    <w:pStyle w:val="Compact"/>
                    <w:jc w:val="center"/>
                  </w:pPr>
                  <w:r>
                    <w:t xml:space="preserve">between the minimum and the target</w:t>
                  </w:r>
                </w:p>
              </w:tc>
              <w:tc>
                <w:tcPr/>
                <w:p>
                  <w:pPr>
                    <w:pStyle w:val="Compact"/>
                    <w:jc w:val="center"/>
                  </w:pPr>
                  <w:r>
                    <w:t xml:space="preserve">1</w:t>
                  </w:r>
                </w:p>
              </w:tc>
              <w:tc>
                <w:tcPr/>
                <w:p>
                  <w:pPr>
                    <w:pStyle w:val="Compact"/>
                    <w:jc w:val="center"/>
                  </w:pPr>
                  <w:r>
                    <w:t xml:space="preserve">821</w:t>
                  </w:r>
                </w:p>
              </w:tc>
            </w:tr>
            <w:tr>
              <w:tc>
                <w:tcPr/>
                <w:p>
                  <w:pPr>
                    <w:pStyle w:val="Compact"/>
                    <w:jc w:val="center"/>
                  </w:pPr>
                  <w:r>
                    <w:t xml:space="preserve">Host cell protein (ng/mg)</w:t>
                  </w:r>
                </w:p>
              </w:tc>
              <w:tc>
                <w:tcPr/>
                <w:p>
                  <w:pPr>
                    <w:pStyle w:val="Compact"/>
                    <w:jc w:val="center"/>
                  </w:pPr>
                  <w:r>
                    <w:t xml:space="preserve">M-H</w:t>
                  </w:r>
                </w:p>
              </w:tc>
              <w:tc>
                <w:tcPr/>
                <w:p>
                  <w:pPr>
                    <w:pStyle w:val="Compact"/>
                    <w:jc w:val="center"/>
                  </w:pPr>
                  <w:r>
                    <w:t xml:space="preserve">≤ 100</w:t>
                  </w:r>
                </w:p>
              </w:tc>
              <w:tc>
                <w:tcPr/>
                <w:p>
                  <w:pPr>
                    <w:pStyle w:val="Compact"/>
                    <w:jc w:val="center"/>
                  </w:pPr>
                  <w:r>
                    <w:t xml:space="preserve">15.2</w:t>
                  </w:r>
                </w:p>
              </w:tc>
              <w:tc>
                <w:tcPr/>
                <w:p>
                  <w:pPr>
                    <w:pStyle w:val="Compact"/>
                    <w:jc w:val="center"/>
                  </w:pPr>
                  <w:r>
                    <w:t xml:space="preserve">4.59</w:t>
                  </w:r>
                </w:p>
              </w:tc>
              <w:tc>
                <w:tcPr/>
                <w:p>
                  <w:pPr>
                    <w:pStyle w:val="Compact"/>
                    <w:jc w:val="center"/>
                  </w:pPr>
                  <w:r>
                    <w:t xml:space="preserve">6.17</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p>
                  <w:pPr>
                    <w:pStyle w:val="Compact"/>
                    <w:jc w:val="center"/>
                  </w:pPr>
                  <w:r>
                    <w:t xml:space="preserve">Residual DNA (ng/dose)</w:t>
                  </w:r>
                </w:p>
              </w:tc>
              <w:tc>
                <w:tcPr/>
                <w:p>
                  <w:pPr>
                    <w:pStyle w:val="Compact"/>
                    <w:jc w:val="center"/>
                  </w:pPr>
                  <w:r>
                    <w:t xml:space="preserve">VL</w:t>
                  </w:r>
                </w:p>
              </w:tc>
              <w:tc>
                <w:tcPr/>
                <w:p>
                  <w:pPr>
                    <w:pStyle w:val="Compact"/>
                    <w:jc w:val="center"/>
                  </w:pPr>
                  <w:r>
                    <w:t xml:space="preserve">≤ 0.001</w:t>
                  </w:r>
                </w:p>
              </w:tc>
              <w:tc>
                <w:tcPr/>
                <w:p>
                  <w:pPr>
                    <w:pStyle w:val="Compact"/>
                    <w:jc w:val="center"/>
                  </w:pPr>
                  <w:r>
                    <w:t xml:space="preserve">1.7 × 10⁻⁴</w:t>
                  </w:r>
                </w:p>
              </w:tc>
              <w:tc>
                <w:tcPr/>
                <w:p>
                  <w:pPr>
                    <w:pStyle w:val="Compact"/>
                    <w:jc w:val="center"/>
                  </w:pPr>
                  <w:r>
                    <w:t xml:space="preserve">3.8 × 10⁻⁵</w:t>
                  </w:r>
                </w:p>
              </w:tc>
              <w:tc>
                <w:tcPr/>
                <w:p>
                  <w:pPr>
                    <w:pStyle w:val="Compact"/>
                    <w:jc w:val="center"/>
                  </w:pPr>
                  <w:r>
                    <w:t xml:space="preserve">7.30</w:t>
                  </w:r>
                </w:p>
              </w:tc>
              <w:tc>
                <w:tcPr/>
                <w:p>
                  <w:pPr>
                    <w:pStyle w:val="Compact"/>
                    <w:jc w:val="center"/>
                  </w:pPr>
                  <w:r>
                    <w:t xml:space="preserve">above the target</w:t>
                  </w:r>
                </w:p>
              </w:tc>
              <w:tc>
                <w:tcPr/>
                <w:p>
                  <w:pPr>
                    <w:pStyle w:val="Compact"/>
                    <w:jc w:val="center"/>
                  </w:pPr>
                  <w:r>
                    <w:t xml:space="preserve">0</w:t>
                  </w:r>
                </w:p>
              </w:tc>
              <w:tc>
                <w:tcPr/>
                <w:p>
                  <w:pPr>
                    <w:pStyle w:val="Compact"/>
                    <w:jc w:val="center"/>
                  </w:pPr>
                  <w:r>
                    <w:t xml:space="preserve">&lt; 0.01</w:t>
                  </w:r>
                </w:p>
              </w:tc>
            </w:tr>
            <w:tr>
              <w:tc>
                <w:tcPr>
                  <w:gridSpan w:val="9"/>
                </w:tcPr>
                <w:p>
                  <w:pPr>
                    <w:pStyle w:val="Compact"/>
                    <w:jc w:val="center"/>
                  </w:pPr>
                  <w:r>
                    <w:t xml:space="preserve">Cpk is the lower of the two one-sided indices for a two-sided criterion. Batches outside, of 2,000. Normal tail, the tail probability of a normal distribution with the simulated mean and standard deviation. Residual DNA in ng per dose of 10 mg/kg for a 70 kg adult.</w:t>
                  </w:r>
                </w:p>
              </w:tc>
            </w:tr>
          </w:tbl>
          <w:bookmarkEnd w:id="136"/>
          <w:p/>
        </w:tc>
      </w:tr>
    </w:tbl>
    <w:p>
      <w:pPr>
        <w:pStyle w:val="BodyText"/>
      </w:pPr>
      <w:r>
        <w:t xml:space="preserve">The Cpk of acidic variants is 1.05, between the minimum and the target, and it is limited by the lower limit, with an index of 1.05 for the lower limit and 4.24 for the upper. A higher pCO2, a higher culture pH and a lower culture temperature move acidic variants toward the lower limit (</w:t>
      </w:r>
      <w:hyperlink w:anchor="sec-effects">
        <w:r>
          <w:rPr>
            <w:rStyle w:val="Hyperlink"/>
          </w:rPr>
          <w:t xml:space="preserve">Section 5.3.3</w:t>
        </w:r>
      </w:hyperlink>
      <w:r>
        <w:t xml:space="preserve">). In the simulation one of the 2,000 batches fell outside the criterion. PCMR-001 consolidates this capability with the acceptance of the acidic-variant risk (</w:t>
      </w:r>
      <w:hyperlink w:anchor="sec-criteria-results">
        <w:r>
          <w:rPr>
            <w:rStyle w:val="Hyperlink"/>
          </w:rPr>
          <w:t xml:space="preserve">Section 7.2</w:t>
        </w:r>
      </w:hyperlink>
      <w:r>
        <w:t xml:space="preserve">).</w:t>
      </w:r>
    </w:p>
    <w:p>
      <w:pPr>
        <w:pStyle w:val="BodyText"/>
      </w:pPr>
      <w:r>
        <w:t xml:space="preserve">Every other attribute that the step sets has a Cpk above the target, and none of the simulated batches fell outside its criterion. With no simulated batch outside, the probability of a batch outside is below 0.15 % at one-sided 95 % confidence. That bound covers the sampling of the simulation and not the uncertainty of the integrated model. Aggregate in the drug substance lies far below its limit, at a mean of 0.78 %, and it is judged on the prediction interval of a single run over the NOR of this step (</w:t>
      </w:r>
      <w:hyperlink w:anchor="sec-criteria-results">
        <w:r>
          <w:rPr>
            <w:rStyle w:val="Hyperlink"/>
          </w:rPr>
          <w:t xml:space="preserve">Section 7.2</w:t>
        </w:r>
      </w:hyperlink>
      <w:r>
        <w:t xml:space="preserve">) and of the steps after it.</w:t>
      </w:r>
    </w:p>
    <w:p>
      <w:pPr>
        <w:pStyle w:val="BodyText"/>
      </w:pPr>
      <w:r>
        <w:t xml:space="preserve">Host cell protein and residual DNA in the drug substance depend on the clearance of the downstream steps, which the integrated model takes from Protein A, cation exchange and anion exchange (PCR-005, PCR-007 and PCR-008). This step contributes the load, which</w:t>
      </w:r>
      <w:r>
        <w:t xml:space="preserve"> </w:t>
      </w:r>
      <w:hyperlink w:anchor="sec-sampling">
        <w:r>
          <w:rPr>
            <w:rStyle w:val="Hyperlink"/>
          </w:rPr>
          <w:t xml:space="preserve">Section 3.4</w:t>
        </w:r>
      </w:hyperlink>
      <w:r>
        <w:t xml:space="preserve"> </w:t>
      </w:r>
      <w:r>
        <w:t xml:space="preserve">gives for information.</w:t>
      </w:r>
    </w:p>
    <w:bookmarkEnd w:id="137"/>
    <w:bookmarkStart w:id="138" w:name="sec-classification"/>
    <w:p>
      <w:pPr>
        <w:pStyle w:val="Heading1"/>
      </w:pPr>
      <w:r>
        <w:t xml:space="preserve">9. Parameter classification</w:t>
      </w:r>
    </w:p>
    <w:p>
      <w:pPr>
        <w:pStyle w:val="FirstParagraph"/>
      </w:pPr>
      <w:r>
        <w:t xml:space="preserve">The parameters were classified under SOP-4001 by the decision logic of PCMP-001 §7.7</w:t>
      </w:r>
      <w:r>
        <w:t xml:space="preserve"> </w:t>
      </w:r>
      <w:r>
        <w:t xml:space="preserve">(CMC Biotech Working Group 2009)</w:t>
      </w:r>
      <w:r>
        <w:t xml:space="preserve">. A parameter whose variation affects a critical quality attribute within the range studied is a CPP when the risk that it falls outside its acceptable range in operation is not low. It is a WC-CPP when that risk is low, because the parameter is readily controlled and its PAR is wide against its NOR. A parameter that affects process performance and no critical quality attribute is a KPP. A parameter with no relevant effect on either is a GPP. Neither PCMP-001 nor SOP-4001 sets a numerical threshold for a relevant effect or a wide PAR, so each class below is argued from the effects found and from the margin between each PAR and its NOR.</w:t>
      </w:r>
    </w:p>
    <w:p>
      <w:pPr>
        <w:pStyle w:val="Compact"/>
        <w:numPr>
          <w:ilvl w:val="0"/>
          <w:numId w:val="1006"/>
        </w:numPr>
      </w:pPr>
      <w:r>
        <w:t xml:space="preserve">Culture pH is a WC-CPP. It changes all four critical attributes. Its NOR-propagated PARs for the critical attributes span the range studied, and its PAR for acidic variants ends 2.25 standard deviations of its routine variation above the NOR high. Base addition holds it at its set-point.</w:t>
      </w:r>
    </w:p>
    <w:p>
      <w:pPr>
        <w:pStyle w:val="Compact"/>
        <w:numPr>
          <w:ilvl w:val="0"/>
          <w:numId w:val="1006"/>
        </w:numPr>
      </w:pPr>
      <w:r>
        <w:t xml:space="preserve">Culture temperature is a WC-CPP. It changes afucosylation, galactosylation and high mannose, and its NOR-propagated PARs span the range studied for every attribute. The vessel jacket holds it.</w:t>
      </w:r>
    </w:p>
    <w:p>
      <w:pPr>
        <w:pStyle w:val="Compact"/>
        <w:numPr>
          <w:ilvl w:val="0"/>
          <w:numId w:val="1006"/>
        </w:numPr>
      </w:pPr>
      <w:r>
        <w:t xml:space="preserve">pCO2 is a WC-CPP. It changes galactosylation and afucosylation, and its NOR-propagated PARs for these attributes span the range studied. Its PAR for acidic variants, an attribute of very low criticality, ends 0.15 standard deviations of its routine variation above the NOR high. The carbon dioxide fraction of the sparge gas holds it.</w:t>
      </w:r>
    </w:p>
    <w:p>
      <w:pPr>
        <w:pStyle w:val="Compact"/>
        <w:numPr>
          <w:ilvl w:val="0"/>
          <w:numId w:val="1006"/>
        </w:numPr>
      </w:pPr>
      <w:r>
        <w:t xml:space="preserve">Osmolality is a CPP. It lowered galactosylation in the screening design and afucosylation in the osmolality study, both critical attributes. It has no PAR from a model, because it was not a factor of the response-surface design, so its PAR cannot be shown to be wide against its NOR. At its NOR high the fitted mean of acidic variants lies below their lower limit at the least favourable combination of the other parameters, although the slope of the osmolality study is not significant (</w:t>
      </w:r>
      <w:hyperlink w:anchor="sec-osmolality">
        <w:r>
          <w:rPr>
            <w:rStyle w:val="Hyperlink"/>
          </w:rPr>
          <w:t xml:space="preserve">Section 5.5</w:t>
        </w:r>
      </w:hyperlink>
      <w:r>
        <w:t xml:space="preserve">). The risk of operating outside its acceptable range is therefore not shown to be low.</w:t>
      </w:r>
    </w:p>
    <w:p>
      <w:pPr>
        <w:pStyle w:val="Compact"/>
        <w:numPr>
          <w:ilvl w:val="0"/>
          <w:numId w:val="1006"/>
        </w:numPr>
      </w:pPr>
      <w:r>
        <w:t xml:space="preserve">Culture duration is a WC-CPP. It changes galactosylation, afucosylation and aggregate, and its NOR-propagated PARs span the range studied for every attribute. It is set by the day of harvest.</w:t>
      </w:r>
    </w:p>
    <w:p>
      <w:pPr>
        <w:pStyle w:val="Compact"/>
        <w:numPr>
          <w:ilvl w:val="0"/>
          <w:numId w:val="1006"/>
        </w:numPr>
      </w:pPr>
      <w:r>
        <w:t xml:space="preserve">Dissolved oxygen is a GPP. No effect was detected on any attribute measured, at the precision of</w:t>
      </w:r>
      <w:r>
        <w:t xml:space="preserve"> </w:t>
      </w:r>
      <w:hyperlink w:anchor="tbl-uni-effects">
        <w:r>
          <w:rPr>
            <w:rStyle w:val="Hyperlink"/>
          </w:rPr>
          <w:t xml:space="preserve">Table 20</w:t>
        </w:r>
      </w:hyperlink>
      <w:r>
        <w:t xml:space="preserve">. The culture is not limited by oxygen at either end of the range studied (</w:t>
      </w:r>
      <w:hyperlink w:anchor="sec-platform">
        <w:r>
          <w:rPr>
            <w:rStyle w:val="Hyperlink"/>
          </w:rPr>
          <w:t xml:space="preserve">Section 2.1</w:t>
        </w:r>
      </w:hyperlink>
      <w:r>
        <w:t xml:space="preserve">), so no effect on growth or titre is expected either.</w:t>
      </w:r>
    </w:p>
    <w:p>
      <w:pPr>
        <w:pStyle w:val="Compact"/>
        <w:numPr>
          <w:ilvl w:val="0"/>
          <w:numId w:val="1006"/>
        </w:numPr>
      </w:pPr>
      <w:r>
        <w:t xml:space="preserve">The initial viable cell concentration is a KPP. It raised acidic variants, an attribute of very low criticality, by 3.51 points across its range, in a single significant result that may be a false positive (</w:t>
      </w:r>
      <w:hyperlink w:anchor="sec-univariate">
        <w:r>
          <w:rPr>
            <w:rStyle w:val="Hyperlink"/>
          </w:rPr>
          <w:t xml:space="preserve">Section 5.4</w:t>
        </w:r>
      </w:hyperlink>
      <w:r>
        <w:t xml:space="preserve">), and no effect on a critical attribute was detected. A higher initial concentration brings the culture to its peak cell density earlier and raises the titre (</w:t>
      </w:r>
      <w:hyperlink w:anchor="sec-platform">
        <w:r>
          <w:rPr>
            <w:rStyle w:val="Hyperlink"/>
          </w:rPr>
          <w:t xml:space="preserve">Section 2.1</w:t>
        </w:r>
      </w:hyperlink>
      <w:r>
        <w:t xml:space="preserve">), so it acts on process performance.</w:t>
      </w:r>
    </w:p>
    <w:p>
      <w:pPr>
        <w:pStyle w:val="Compact"/>
        <w:numPr>
          <w:ilvl w:val="0"/>
          <w:numId w:val="1006"/>
        </w:numPr>
      </w:pPr>
      <w:r>
        <w:t xml:space="preserve">Basal medium concentration is a KPP. No effect was detected on any attribute measured. A higher concentration raises the supply of nutrients, and with it growth and titre (PCP-003 §4.1), so it acts on process performance.</w:t>
      </w:r>
    </w:p>
    <w:p>
      <w:pPr>
        <w:pStyle w:val="Compact"/>
        <w:numPr>
          <w:ilvl w:val="0"/>
          <w:numId w:val="1006"/>
        </w:numPr>
      </w:pPr>
      <w:r>
        <w:t xml:space="preserve">Nutrient feed-1 volume is a KPP. No effect was detected on any attribute measured. The feed supplies the glucose, amino acids and precursors for growth and titre (</w:t>
      </w:r>
      <w:hyperlink w:anchor="sec-platform">
        <w:r>
          <w:rPr>
            <w:rStyle w:val="Hyperlink"/>
          </w:rPr>
          <w:t xml:space="preserve">Section 2.1</w:t>
        </w:r>
      </w:hyperlink>
      <w:r>
        <w:t xml:space="preserve">), so it acts on process performance. The feed under-delivery of DEV-003-02 left the feed within its NOR (</w:t>
      </w:r>
      <w:hyperlink w:anchor="sec-dev-02">
        <w:r>
          <w:rPr>
            <w:rStyle w:val="Hyperlink"/>
          </w:rPr>
          <w:t xml:space="preserve">Section 13.2</w:t>
        </w:r>
      </w:hyperlink>
      <w:r>
        <w:t xml:space="preserve">).</w:t>
      </w:r>
    </w:p>
    <w:p>
      <w:pPr>
        <w:pStyle w:val="FirstParagraph"/>
      </w:pPr>
      <w:r>
        <w:t xml:space="preserve">The classes of the three KPPs rest on their expected effect on growth and titre, which the record does not hold (PD-003-09). The step has four well-controlled critical process parameters, one CPP, three KPPs and one GPP.</w:t>
      </w:r>
    </w:p>
    <w:bookmarkEnd w:id="138"/>
    <w:bookmarkStart w:id="139" w:name="sec-control"/>
    <w:p>
      <w:pPr>
        <w:pStyle w:val="Heading1"/>
      </w:pPr>
      <w:r>
        <w:t xml:space="preserve">10. Contribution to the control strategy</w:t>
      </w:r>
    </w:p>
    <w:p>
      <w:pPr>
        <w:pStyle w:val="FirstParagraph"/>
      </w:pPr>
      <w:r>
        <w:t xml:space="preserve">This step contributes the following elements to the control strategy of A-Mab. The combined alert, the action limit and the trending of items 2 to 4 are recommendations of this report, which PCMR-001 consolidates with those of the other steps.</w:t>
      </w:r>
    </w:p>
    <w:p>
      <w:pPr>
        <w:pStyle w:val="Compact"/>
        <w:numPr>
          <w:ilvl w:val="0"/>
          <w:numId w:val="1007"/>
        </w:numPr>
      </w:pPr>
      <w:r>
        <w:t xml:space="preserve">The four WC-CPPs and the CPP osmolality are held within their NORs by the bioreactor control system. Culture pH is held by base addition, culture temperature by the vessel jacket, pCO2 by the carbon dioxide fraction of the sparge gas, osmolality through the base and feed additions, and culture duration by the day of harvest. The ranges carried into the control strategy are those of</w:t>
      </w:r>
      <w:r>
        <w:t xml:space="preserve"> </w:t>
      </w:r>
      <w:hyperlink w:anchor="sec-par-table">
        <w:r>
          <w:rPr>
            <w:rStyle w:val="Hyperlink"/>
          </w:rPr>
          <w:t xml:space="preserve">Section 7.3</w:t>
        </w:r>
      </w:hyperlink>
      <w:r>
        <w:t xml:space="preserve">.</w:t>
      </w:r>
    </w:p>
    <w:p>
      <w:pPr>
        <w:pStyle w:val="Compact"/>
        <w:numPr>
          <w:ilvl w:val="0"/>
          <w:numId w:val="1007"/>
        </w:numPr>
      </w:pPr>
      <w:r>
        <w:t xml:space="preserve">A combined alert in the control system, which fires when culture pH is above 6.79, pCO2 is above 101 mmHg and culture temperature is below 35.39 °C at the same time, the side of each that lowers acidic variants. A PAR is one-dimensional, so the PAR edge of one parameter holds only while the parameters that act with it stay within limits, and here those limits lie inside their NORs. Each limit is the most unfavourable value of its parameter at which the lower 95 % limit of a single run still meets the criterion of 18.0 %, with the other factors of the model at their unfavourable NOR edges. The alert covers every combination inside the NOR that fails the criterion. Osmolality is not a factor of the response-surface design, so the harvest action limit of item 3 covers it. The NOR is read as the range that the batch record controls, about ±3 standard deviations of the chance variation of each parameter (PCMP-001 §6.4).</w:t>
      </w:r>
    </w:p>
    <w:p>
      <w:pPr>
        <w:pStyle w:val="Compact"/>
        <w:numPr>
          <w:ilvl w:val="0"/>
          <w:numId w:val="1007"/>
        </w:numPr>
      </w:pPr>
      <w:r>
        <w:t xml:space="preserve">An action limit for acidic variants at harvest of 18.72 %, the lower limit of the criterion plus 2 intermediate-precision standard deviations of icIEF (AMV-3013, 0.36 points). A result below it is found before purification, although it cannot change the batch.</w:t>
      </w:r>
    </w:p>
    <w:p>
      <w:pPr>
        <w:pStyle w:val="Compact"/>
        <w:numPr>
          <w:ilvl w:val="0"/>
          <w:numId w:val="1007"/>
        </w:numPr>
      </w:pPr>
      <w:r>
        <w:t xml:space="preserve">Acidic variants at harvest of every production batch trended against the initial viable cell concentration of the batch, so that the univariate effect of</w:t>
      </w:r>
      <w:r>
        <w:t xml:space="preserve"> </w:t>
      </w:r>
      <w:hyperlink w:anchor="sec-univariate">
        <w:r>
          <w:rPr>
            <w:rStyle w:val="Hyperlink"/>
          </w:rPr>
          <w:t xml:space="preserve">Section 5.4</w:t>
        </w:r>
      </w:hyperlink>
      <w:r>
        <w:t xml:space="preserve"> </w:t>
      </w:r>
      <w:r>
        <w:t xml:space="preserve">is confirmed or found to be a false positive.</w:t>
      </w:r>
    </w:p>
    <w:p>
      <w:pPr>
        <w:pStyle w:val="Compact"/>
        <w:numPr>
          <w:ilvl w:val="0"/>
          <w:numId w:val="1007"/>
        </w:numPr>
      </w:pPr>
      <w:r>
        <w:t xml:space="preserve">The KPPs are held within their NORs for process consistency. The delivered feed is checked by the mass reconciliation after the run, which detected DEV-003-02. The basal medium is prepared at its set-point under SOP-2004.</w:t>
      </w:r>
    </w:p>
    <w:p>
      <w:pPr>
        <w:pStyle w:val="Compact"/>
        <w:numPr>
          <w:ilvl w:val="0"/>
          <w:numId w:val="1007"/>
        </w:numPr>
      </w:pPr>
      <w:r>
        <w:t xml:space="preserve">The drug substance criteria of the attributes this step sets apply at release (PCMP-001 §3). The glycans, acidic variants and aggregate are tested there by the methods of</w:t>
      </w:r>
      <w:r>
        <w:t xml:space="preserve"> </w:t>
      </w:r>
      <w:hyperlink w:anchor="sec-analytical">
        <w:r>
          <w:rPr>
            <w:rStyle w:val="Hyperlink"/>
          </w:rPr>
          <w:t xml:space="preserve">Section 3.3</w:t>
        </w:r>
      </w:hyperlink>
      <w:r>
        <w:t xml:space="preserve">.</w:t>
      </w:r>
    </w:p>
    <w:p>
      <w:pPr>
        <w:pStyle w:val="Compact"/>
        <w:numPr>
          <w:ilvl w:val="0"/>
          <w:numId w:val="1007"/>
        </w:numPr>
      </w:pPr>
      <w:r>
        <w:t xml:space="preserve">The host cell protein that this step releases into the harvest is cleared by Protein A, cation exchange and anion exchange, and is judged at each of those steps and at the drug substance. Residual DNA is cleared by the same steps and judged at the drug substance only (PCR-005, PCR-007 and PCR-008).</w:t>
      </w:r>
    </w:p>
    <w:p>
      <w:pPr>
        <w:pStyle w:val="Compact"/>
        <w:numPr>
          <w:ilvl w:val="0"/>
          <w:numId w:val="1007"/>
        </w:numPr>
      </w:pPr>
      <w:r>
        <w:t xml:space="preserve">Process performance qualification (PPQ) at the receiving site under PTP-001 runs the process at its set-points. It confirms the process at scale near the centre of the NOR and does not test the edges of the ranges.</w:t>
      </w:r>
    </w:p>
    <w:bookmarkEnd w:id="139"/>
    <w:bookmarkStart w:id="140" w:name="sec-discussion"/>
    <w:p>
      <w:pPr>
        <w:pStyle w:val="Heading1"/>
      </w:pPr>
      <w:r>
        <w:t xml:space="preserve">11. Discussion</w:t>
      </w:r>
    </w:p>
    <w:p>
      <w:pPr>
        <w:pStyle w:val="FirstParagraph"/>
      </w:pPr>
      <w:r>
        <w:t xml:space="preserve">The conclusions of this report rest on the scale-down model, whose offsets are known well enough that no verdict over the NOR depends on their exact size. Four facts limit how far that holds. The offset was estimated at the set-points only, so its use toward the edges of the range studied is an assumption. The carbon dioxide stripping of the commercial vessel was not matched, and osmolality was set independently of pCO2 (</w:t>
      </w:r>
      <w:hyperlink w:anchor="sec-operation">
        <w:r>
          <w:rPr>
            <w:rStyle w:val="Hyperlink"/>
          </w:rPr>
          <w:t xml:space="preserve">Section 3.2</w:t>
        </w:r>
      </w:hyperlink>
      <w:r>
        <w:t xml:space="preserve">). The growth and titre of the runs are not in the record, so the model cannot be compared with manufacturing scale on process performance (PD-003-09). The difference in aggregate between the scales has no known cause (PD-003-13).</w:t>
      </w:r>
    </w:p>
    <w:p>
      <w:pPr>
        <w:pStyle w:val="BodyText"/>
      </w:pPr>
      <w:r>
        <w:t xml:space="preserve">The following limitations apply to the conclusions of this report.</w:t>
      </w:r>
    </w:p>
    <w:p>
      <w:pPr>
        <w:pStyle w:val="Compact"/>
        <w:numPr>
          <w:ilvl w:val="0"/>
          <w:numId w:val="1008"/>
        </w:numPr>
      </w:pPr>
      <w:r>
        <w:t xml:space="preserve">For aggregate only 11 of the 16 augmentation runs fall inside the 95 % prediction intervals of the model selected on the planned runs, so the single-run intervals of aggregate understate the scatter between runs (</w:t>
      </w:r>
      <w:hyperlink w:anchor="sec-augmentation">
        <w:r>
          <w:rPr>
            <w:rStyle w:val="Hyperlink"/>
          </w:rPr>
          <w:t xml:space="preserve">Section 5.3.4</w:t>
        </w:r>
      </w:hyperlink>
      <w:r>
        <w:t xml:space="preserve">).</w:t>
      </w:r>
    </w:p>
    <w:p>
      <w:pPr>
        <w:pStyle w:val="Compact"/>
        <w:numPr>
          <w:ilvl w:val="0"/>
          <w:numId w:val="1008"/>
        </w:numPr>
      </w:pPr>
      <w:r>
        <w:t xml:space="preserve">At the set-point the model of acidic variants predicts above the centre points and the manufacturing batches by more than the margin of its worst-corner median above the lower limit (</w:t>
      </w:r>
      <w:hyperlink w:anchor="sec-models">
        <w:r>
          <w:rPr>
            <w:rStyle w:val="Hyperlink"/>
          </w:rPr>
          <w:t xml:space="preserve">Section 5.3.1</w:t>
        </w:r>
      </w:hyperlink>
      <w:r>
        <w:t xml:space="preserve">). For acidic variants, 10 other models have an AICc within 2 units of the lowest, and only culture pH, culture temperature, pCO2 and culture pH × culture temperature are common to all of them. Each gives acidic variants the same verdict over the NOR.</w:t>
      </w:r>
    </w:p>
    <w:p>
      <w:pPr>
        <w:pStyle w:val="Compact"/>
        <w:numPr>
          <w:ilvl w:val="0"/>
          <w:numId w:val="1008"/>
        </w:numPr>
      </w:pPr>
      <w:r>
        <w:t xml:space="preserve">Osmolality has no PAR from a model, and its interactions with the other parameters are known only from the screening design (PD-003-07).</w:t>
      </w:r>
    </w:p>
    <w:p>
      <w:pPr>
        <w:pStyle w:val="Compact"/>
        <w:numPr>
          <w:ilvl w:val="0"/>
          <w:numId w:val="1008"/>
        </w:numPr>
      </w:pPr>
      <w:r>
        <w:t xml:space="preserve">The effect of the initial viable cell concentration on acidic variants comes from a single significant result of a univariate study, which cannot show its interactions, and the multivariate study that PCP-003 §6.4 calls for has not been made (PD-003-11). The capability does not include it.</w:t>
      </w:r>
    </w:p>
    <w:p>
      <w:pPr>
        <w:pStyle w:val="Compact"/>
        <w:numPr>
          <w:ilvl w:val="0"/>
          <w:numId w:val="1008"/>
        </w:numPr>
      </w:pPr>
      <w:r>
        <w:t xml:space="preserve">The pCO2 settings of the augmentation and osmolality studies rest on equipment whose calibration status is not recorded (PD-003-12).</w:t>
      </w:r>
    </w:p>
    <w:bookmarkEnd w:id="140"/>
    <w:bookmarkStart w:id="141" w:name="sec-conclusions"/>
    <w:p>
      <w:pPr>
        <w:pStyle w:val="Heading1"/>
      </w:pPr>
      <w:r>
        <w:t xml:space="preserve">12. Conclusions</w:t>
      </w:r>
    </w:p>
    <w:p>
      <w:pPr>
        <w:pStyle w:val="Compact"/>
        <w:numPr>
          <w:ilvl w:val="0"/>
          <w:numId w:val="1009"/>
        </w:numPr>
      </w:pPr>
      <w:r>
        <w:t xml:space="preserve">The relationship of each parameter with each attribute was quantified (objective 1). The selected response-surface models describe the five attributes over the ranges studied, and culture pH interacts with most of the other parameters.</w:t>
      </w:r>
    </w:p>
    <w:p>
      <w:pPr>
        <w:pStyle w:val="Compact"/>
        <w:numPr>
          <w:ilvl w:val="0"/>
          <w:numId w:val="1009"/>
        </w:numPr>
      </w:pPr>
      <w:r>
        <w:t xml:space="preserve">The multivariate region was defined on the 95 % prediction interval of a single run (objective 2). It covers 73.7 % of the region studied, 59.6 % on the planned runs alone, and its boundary is set by the lower limit of acidic variants. The NOR does not lie entirely inside it (PD-003-08).</w:t>
      </w:r>
    </w:p>
    <w:p>
      <w:pPr>
        <w:pStyle w:val="Compact"/>
        <w:numPr>
          <w:ilvl w:val="0"/>
          <w:numId w:val="1009"/>
        </w:numPr>
      </w:pPr>
      <w:r>
        <w:t xml:space="preserve">A PAR was established for each response-surface parameter and each attribute whose selected model has a significant term in it, 16 in all (objective 3). Every PAR contains the NOR on all runs, and on the planned runs alone three PARs for acidic variants do not. Osmolality has no PAR from a model.</w:t>
      </w:r>
    </w:p>
    <w:p>
      <w:pPr>
        <w:pStyle w:val="Compact"/>
        <w:numPr>
          <w:ilvl w:val="0"/>
          <w:numId w:val="1009"/>
        </w:numPr>
      </w:pPr>
      <w:r>
        <w:t xml:space="preserve">Each parameter was classified (objective 4). The step has four WC-CPPs, one CPP, three KPPs and one GPP.</w:t>
      </w:r>
    </w:p>
    <w:p>
      <w:pPr>
        <w:pStyle w:val="Compact"/>
        <w:numPr>
          <w:ilvl w:val="0"/>
          <w:numId w:val="1009"/>
        </w:numPr>
      </w:pPr>
      <w:r>
        <w:t xml:space="preserve">The capability supports the control strategy of</w:t>
      </w:r>
      <w:r>
        <w:t xml:space="preserve"> </w:t>
      </w:r>
      <w:hyperlink w:anchor="sec-control">
        <w:r>
          <w:rPr>
            <w:rStyle w:val="Hyperlink"/>
          </w:rPr>
          <w:t xml:space="preserve">Section 10</w:t>
        </w:r>
      </w:hyperlink>
      <w:r>
        <w:t xml:space="preserve"> </w:t>
      </w:r>
      <w:r>
        <w:t xml:space="preserve">(objective 5). The lowest Cpk of the drug substance is that of acidic variants, 1.05, between the minimum and the target of PCMP-001, and every other attribute that the step sets has a Cpk above the target.</w:t>
      </w:r>
    </w:p>
    <w:p>
      <w:pPr>
        <w:pStyle w:val="Compact"/>
        <w:numPr>
          <w:ilvl w:val="0"/>
          <w:numId w:val="1009"/>
        </w:numPr>
      </w:pPr>
      <w:r>
        <w:t xml:space="preserve">The scale-down model is qualified for every output with a criterion.</w:t>
      </w:r>
    </w:p>
    <w:p>
      <w:pPr>
        <w:pStyle w:val="Compact"/>
        <w:numPr>
          <w:ilvl w:val="0"/>
          <w:numId w:val="1009"/>
        </w:numPr>
      </w:pPr>
      <w:r>
        <w:t xml:space="preserve">Against the completion criteria of PCP-003 §7, the study is complete except that the design space does not contain the NOR for acidic variants (PD-003-08), osmolality has no PAR from a model (PD-003-07), and the multivariate study of the initial viable cell concentration was not made (PD-003-11).</w:t>
      </w:r>
    </w:p>
    <w:bookmarkEnd w:id="141"/>
    <w:bookmarkStart w:id="159" w:name="sec-record"/>
    <w:p>
      <w:pPr>
        <w:pStyle w:val="Heading1"/>
      </w:pPr>
      <w:r>
        <w:t xml:space="preserve">13. Study events and discrepancies from the plan</w:t>
      </w:r>
    </w:p>
    <w:p>
      <w:pPr>
        <w:pStyle w:val="FirstParagraph"/>
      </w:pPr>
      <w:r>
        <w:t xml:space="preserve">PCP-003 calls a departure from the plan a deviation. A process characterization study is not GMP manufacture, so this report records the events of execution as study events, under the numbers Version 1.0 gave them, and every departure from the plan as a discrepancy from the plan. A discrepancy is work that the plan did not foresee, or a requirement of the plan that was not met, however late it was found.</w:t>
      </w:r>
      <w:r>
        <w:t xml:space="preserve"> </w:t>
      </w:r>
      <w:hyperlink w:anchor="tbl-dev-register">
        <w:r>
          <w:rPr>
            <w:rStyle w:val="Hyperlink"/>
          </w:rPr>
          <w:t xml:space="preserve">Table 26</w:t>
        </w:r>
      </w:hyperlink>
      <w:r>
        <w:t xml:space="preserve"> </w:t>
      </w:r>
      <w:r>
        <w:t xml:space="preserve">lists the two study events of this step, and</w:t>
      </w:r>
      <w:r>
        <w:t xml:space="preserve"> </w:t>
      </w:r>
      <w:hyperlink w:anchor="tbl-disc-register">
        <w:r>
          <w:rPr>
            <w:rStyle w:val="Hyperlink"/>
          </w:rPr>
          <w:t xml:space="preserve">Table 27</w:t>
        </w:r>
      </w:hyperlink>
      <w:r>
        <w:t xml:space="preserve"> </w:t>
      </w:r>
      <w:r>
        <w:t xml:space="preserve">the 13 discrepancies from PCP-003.</w:t>
      </w:r>
    </w:p>
    <w:tbl>
      <w:tblPr>
        <w:tblStyle w:val="Table"/>
        <w:tblW w:type="pct" w:w="5000"/>
        <w:tblLayout w:type="fixed"/>
        <w:tblLook w:firstRow="0" w:lastRow="0" w:firstColumn="0" w:lastColumn="0" w:noHBand="0" w:noVBand="0" w:val="0000"/>
      </w:tblPr>
      <w:tblGrid>
        <w:gridCol w:w="7920"/>
      </w:tblGrid>
      <w:tr>
        <w:tc>
          <w:tcPr/>
          <w:bookmarkStart w:id="142" w:name="tbl-dev-register"/>
          <w:p>
            <w:pPr>
              <w:jc w:val="center"/>
            </w:pPr>
            <w:pPr>
              <w:jc w:val="start"/>
              <w:spacing w:before="200"/>
              <w:pStyle w:val="ImageCaption"/>
            </w:pPr>
            <w:r>
              <w:t xml:space="preserve">Table 26: Study events recorded for the production bioreactor studies.</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DEV-003-01</w:t>
                  </w:r>
                </w:p>
              </w:tc>
              <w:tc>
                <w:tcPr/>
                <w:p>
                  <w:pPr>
                    <w:pStyle w:val="Compact"/>
                    <w:jc w:val="left"/>
                    <w:jc w:val="center"/>
                  </w:pPr>
                  <w:r>
                    <w:t xml:space="preserve">pCO2 probe read high against the offline reference during screening run 4</w:t>
                  </w:r>
                </w:p>
              </w:tc>
              <w:tc>
                <w:tcPr/>
                <w:p>
                  <w:pPr>
                    <w:pStyle w:val="Compact"/>
                    <w:jc w:val="left"/>
                    <w:jc w:val="center"/>
                  </w:pPr>
                  <w:r>
                    <w:t xml:space="preserve">in-process monitoring vs offline reference</w:t>
                  </w:r>
                </w:p>
              </w:tc>
              <w:tc>
                <w:tcPr/>
                <w:p>
                  <w:pPr>
                    <w:pStyle w:val="Compact"/>
                    <w:jc w:val="left"/>
                    <w:jc w:val="center"/>
                  </w:pPr>
                  <w:r>
                    <w:t xml:space="preserve">run retained in the analysis</w:t>
                  </w:r>
                </w:p>
              </w:tc>
            </w:tr>
            <w:tr>
              <w:tc>
                <w:tcPr/>
                <w:p>
                  <w:pPr>
                    <w:pStyle w:val="Compact"/>
                    <w:jc w:val="left"/>
                    <w:jc w:val="center"/>
                  </w:pPr>
                  <w:r>
                    <w:t xml:space="preserve">DEV-003-02</w:t>
                  </w:r>
                </w:p>
              </w:tc>
              <w:tc>
                <w:tcPr/>
                <w:p>
                  <w:pPr>
                    <w:pStyle w:val="Compact"/>
                    <w:jc w:val="left"/>
                    <w:jc w:val="center"/>
                  </w:pPr>
                  <w:r>
                    <w:t xml:space="preserve">Nutrient feed-1 under-delivery on a centre-point batch</w:t>
                  </w:r>
                </w:p>
              </w:tc>
              <w:tc>
                <w:tcPr/>
                <w:p>
                  <w:pPr>
                    <w:pStyle w:val="Compact"/>
                    <w:jc w:val="left"/>
                    <w:jc w:val="center"/>
                  </w:pPr>
                  <w:r>
                    <w:t xml:space="preserve">post-execution mass reconciliation</w:t>
                  </w:r>
                </w:p>
              </w:tc>
              <w:tc>
                <w:tcPr/>
                <w:p>
                  <w:pPr>
                    <w:pStyle w:val="Compact"/>
                    <w:jc w:val="left"/>
                    <w:jc w:val="center"/>
                  </w:pPr>
                  <w:r>
                    <w:t xml:space="preserve">run retained in the analysis</w:t>
                  </w:r>
                </w:p>
              </w:tc>
            </w:tr>
          </w:tbl>
          <w:bookmarkEnd w:id="142"/>
          <w:p/>
        </w:tc>
      </w:tr>
    </w:tbl>
    <w:bookmarkStart w:id="143" w:name="sec-dev-01"/>
    <w:p>
      <w:pPr>
        <w:pStyle w:val="Heading2"/>
      </w:pPr>
      <w:r>
        <w:t xml:space="preserve">13.1 DEV-003-01, pCO2 probe drift during screening run 4</w:t>
      </w:r>
    </w:p>
    <w:p>
      <w:pPr>
        <w:pStyle w:val="FirstParagraph"/>
      </w:pPr>
      <w:r>
        <w:t xml:space="preserve">During screening run 4 the pCO2 probe of the scale-down system, EQ-BRX-205, read 6.5 mmHg higher than the offline reference, and the comparison of the two in in-process monitoring detected the drift. The controller held the probe reading at the design level of 160 mmHg, so the run ran at about 153.5 mmHg. The record gives the cause as drift of the probe between two calibrations, and the equipment record shows the probe in calibration at the time of execution.</w:t>
      </w:r>
    </w:p>
    <w:p>
      <w:pPr>
        <w:pStyle w:val="BodyText"/>
      </w:pPr>
      <w:r>
        <w:t xml:space="preserve">The run is analysed at its recorded setting, a shift of 0.108 in coded units, in which 1 is the half-range of pCO2. With the run at its design setting instead, the set of significant effects is the same for every attribute. With run 4 excluded the screening model keeps two residual degrees of freedom. Fewer effects then reach significance for galactosylation, high mannose, acidic variants and aggregate, and for afucosylation the same number, but not the same set. The run stayed in the analysis. The record names screening run 4 only. The response-surface design ran later on the same probe, and the record shows no recalibration between the two designs, so it does not show whether the probe read high in those runs too.</w:t>
      </w:r>
    </w:p>
    <w:bookmarkEnd w:id="143"/>
    <w:bookmarkStart w:id="145" w:name="sec-dev-02"/>
    <w:p>
      <w:pPr>
        <w:pStyle w:val="Heading2"/>
      </w:pPr>
      <w:r>
        <w:t xml:space="preserve">13.2 DEV-003-02, nutrient feed-1 under-delivery on a centre-point batch</w:t>
      </w:r>
    </w:p>
    <w:p>
      <w:pPr>
        <w:pStyle w:val="FirstParagraph"/>
      </w:pPr>
      <w:r>
        <w:t xml:space="preserve">A centre-point batch of the screening design received 4.2 % less nutrient feed-1 than its target, from lot LOT-FED-3120. The mass reconciliation after the run detected it, and its cause was a calibration offset of the feed pump. The batch received a feed volume of about 11.5 % of working volume, inside the NOR of 10–14 % of working volume and the range studied of 9–15 % of working volume, and the univariate study detected no effect of the nutrient feed-1 volume on any attribute across that range (</w:t>
      </w:r>
      <w:hyperlink w:anchor="sec-univariate">
        <w:r>
          <w:rPr>
            <w:rStyle w:val="Hyperlink"/>
          </w:rPr>
          <w:t xml:space="preserve">Section 5.4</w:t>
        </w:r>
      </w:hyperlink>
      <w:r>
        <w:t xml:space="preserve">). The record shows three determinations of the glycans of the batch by the glycan map (SOP-3010, validated under AMV-3010). Their mean has a 95 % confidence interval of ± 6.21 % of the result. The record names the batch as a screening centre point but not its run number, and</w:t>
      </w:r>
      <w:r>
        <w:t xml:space="preserve"> </w:t>
      </w:r>
      <w:hyperlink w:anchor="tbl-centre">
        <w:r>
          <w:rPr>
            <w:rStyle w:val="Hyperlink"/>
          </w:rPr>
          <w:t xml:space="preserve">Table 10</w:t>
        </w:r>
      </w:hyperlink>
      <w:r>
        <w:t xml:space="preserve"> </w:t>
      </w:r>
      <w:r>
        <w:t xml:space="preserve">gives the spread of the three centre points. The run stayed in the analysis.</w:t>
      </w:r>
    </w:p>
    <w:tbl>
      <w:tblPr>
        <w:tblStyle w:val="Table"/>
        <w:tblW w:type="pct" w:w="5000"/>
        <w:tblLayout w:type="fixed"/>
        <w:tblLook w:firstRow="0" w:lastRow="0" w:firstColumn="0" w:lastColumn="0" w:noHBand="0" w:noVBand="0" w:val="0000"/>
      </w:tblPr>
      <w:tblGrid>
        <w:gridCol w:w="7920"/>
      </w:tblGrid>
      <w:tr>
        <w:tc>
          <w:tcPr/>
          <w:bookmarkStart w:id="144" w:name="tbl-disc-register"/>
          <w:p>
            <w:pPr>
              <w:jc w:val="center"/>
            </w:pPr>
            <w:pPr>
              <w:jc w:val="start"/>
              <w:spacing w:before="200"/>
              <w:pStyle w:val="ImageCaption"/>
            </w:pPr>
            <w:r>
              <w:t xml:space="preserve">Table 27: Discrepancies from the plan PCP-003.</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PD-003-01</w:t>
                  </w:r>
                </w:p>
              </w:tc>
              <w:tc>
                <w:tcPr/>
                <w:p>
                  <w:pPr>
                    <w:pStyle w:val="Compact"/>
                    <w:jc w:val="left"/>
                    <w:jc w:val="center"/>
                  </w:pPr>
                  <w:r>
                    <w:t xml:space="preserve">Osmolality study at the least favourable NOR combination for acidic variants</w:t>
                  </w:r>
                </w:p>
              </w:tc>
              <w:tc>
                <w:tcPr/>
                <w:p>
                  <w:pPr>
                    <w:pStyle w:val="Compact"/>
                    <w:jc w:val="left"/>
                    <w:jc w:val="center"/>
                  </w:pPr>
                  <w:r>
                    <w:t xml:space="preserve">PCP-003: osmolality in the screening design only, held at its set-point in the response-surface design</w:t>
                  </w:r>
                </w:p>
              </w:tc>
              <w:tc>
                <w:tcPr/>
                <w:p>
                  <w:pPr>
                    <w:pStyle w:val="Compact"/>
                    <w:jc w:val="left"/>
                    <w:jc w:val="center"/>
                  </w:pPr>
                  <w:r>
                    <w:t xml:space="preserve">osmolality at its NOR low, set-point and NOR high, with the four response-surface parameters at their least favourable NOR combination for acidic variants, osmolality adjusted independently of pCO2 (study S-BRX-OSM), the number of runs from the precision of the prediction at the NOR high</w:t>
                  </w:r>
                </w:p>
              </w:tc>
              <w:tc>
                <w:tcPr/>
                <w:p>
                  <w:pPr>
                    <w:pStyle w:val="Compact"/>
                    <w:jc w:val="left"/>
                    <w:jc w:val="center"/>
                  </w:pPr>
                  <w:r>
                    <w:t xml:space="preserve">the screening showed osmolality lowering acidic variants, the attribute nearest its lower limit, and the response-surface design could not show its size at the worst case; narrowing the osmolality NOR was not accepted, so the effect was measured</w:t>
                  </w:r>
                </w:p>
              </w:tc>
            </w:tr>
            <w:tr>
              <w:tc>
                <w:tcPr/>
                <w:p>
                  <w:pPr>
                    <w:pStyle w:val="Compact"/>
                    <w:jc w:val="left"/>
                    <w:jc w:val="center"/>
                  </w:pPr>
                  <w:r>
                    <w:t xml:space="preserve">PD-003-02</w:t>
                  </w:r>
                </w:p>
              </w:tc>
              <w:tc>
                <w:tcPr/>
                <w:p>
                  <w:pPr>
                    <w:pStyle w:val="Compact"/>
                    <w:jc w:val="left"/>
                    <w:jc w:val="center"/>
                  </w:pPr>
                  <w:r>
                    <w:t xml:space="preserve">Augmentation of the response-surface design</w:t>
                  </w:r>
                </w:p>
              </w:tc>
              <w:tc>
                <w:tcPr/>
                <w:p>
                  <w:pPr>
                    <w:pStyle w:val="Compact"/>
                    <w:jc w:val="left"/>
                    <w:jc w:val="center"/>
                  </w:pPr>
                  <w:r>
                    <w:t xml:space="preserve">PCP-003: the face-centred central composite design of 28 runs in study S-BRX-RSM</w:t>
                  </w:r>
                </w:p>
              </w:tc>
              <w:tc>
                <w:tcPr/>
                <w:p>
                  <w:pPr>
                    <w:pStyle w:val="Compact"/>
                    <w:jc w:val="left"/>
                    <w:jc w:val="center"/>
                  </w:pPr>
                  <w:r>
                    <w:t xml:space="preserve">16 further runs in a D-optimal augmentation, study S-BRX-AUG, as a second block</w:t>
                  </w:r>
                </w:p>
              </w:tc>
              <w:tc>
                <w:tcPr/>
                <w:p>
                  <w:pPr>
                    <w:pStyle w:val="Compact"/>
                    <w:jc w:val="left"/>
                    <w:jc w:val="center"/>
                  </w:pPr>
                  <w:r>
                    <w:t xml:space="preserve">the full quadratic models of high mannose and acidic variants did not meet the limit on overfitting of PCMP-001 §7.2, and INV-002 calculated the number of runs</w:t>
                  </w:r>
                </w:p>
              </w:tc>
            </w:tr>
            <w:tr>
              <w:tc>
                <w:tcPr/>
                <w:p>
                  <w:pPr>
                    <w:pStyle w:val="Compact"/>
                    <w:jc w:val="left"/>
                    <w:jc w:val="center"/>
                  </w:pPr>
                  <w:r>
                    <w:t xml:space="preserve">PD-003-03</w:t>
                  </w:r>
                </w:p>
              </w:tc>
              <w:tc>
                <w:tcPr/>
                <w:p>
                  <w:pPr>
                    <w:pStyle w:val="Compact"/>
                    <w:jc w:val="left"/>
                    <w:jc w:val="center"/>
                  </w:pPr>
                  <w:r>
                    <w:t xml:space="preserve">Model selection for the response-surface outputs</w:t>
                  </w:r>
                </w:p>
              </w:tc>
              <w:tc>
                <w:tcPr/>
                <w:p>
                  <w:pPr>
                    <w:pStyle w:val="Compact"/>
                    <w:jc w:val="left"/>
                    <w:jc w:val="center"/>
                  </w:pPr>
                  <w:r>
                    <w:t xml:space="preserve">PCP-003: the full quadratic model of each output (PCMP-001 §6 and §7.2)</w:t>
                  </w:r>
                </w:p>
              </w:tc>
              <w:tc>
                <w:tcPr/>
                <w:p>
                  <w:pPr>
                    <w:pStyle w:val="Compact"/>
                    <w:jc w:val="left"/>
                    <w:jc w:val="center"/>
                  </w:pPr>
                  <w:r>
                    <w:t xml:space="preserve">for each output the scale chosen by the Box-Cox profile (the log scale where its 95 % interval contains 0 and excludes 1), the model with the lowest AICc among all hierarchical submodels of the full quadratic, a block term kept where the design has a second block, and that model judged against PCMP-001 §7.2; a scale-down offset taken on the scale of the model</w:t>
                  </w:r>
                </w:p>
              </w:tc>
              <w:tc>
                <w:tcPr/>
                <w:p>
                  <w:pPr>
                    <w:pStyle w:val="Compact"/>
                    <w:jc w:val="left"/>
                    <w:jc w:val="center"/>
                  </w:pPr>
                  <w:r>
                    <w:t xml:space="preserve">the full quadratic carries terms the data do not support; selecting the model is standard practice, and INV-002 corrective action CA3 applies it to every report</w:t>
                  </w:r>
                </w:p>
              </w:tc>
            </w:tr>
            <w:tr>
              <w:tc>
                <w:tcPr/>
                <w:p>
                  <w:pPr>
                    <w:pStyle w:val="Compact"/>
                    <w:jc w:val="left"/>
                    <w:jc w:val="center"/>
                  </w:pPr>
                  <w:r>
                    <w:t xml:space="preserve">PD-003-04</w:t>
                  </w:r>
                </w:p>
              </w:tc>
              <w:tc>
                <w:tcPr/>
                <w:p>
                  <w:pPr>
                    <w:pStyle w:val="Compact"/>
                    <w:jc w:val="left"/>
                    <w:jc w:val="center"/>
                  </w:pPr>
                  <w:r>
                    <w:t xml:space="preserve">Conclusions resting on models that do not meet the criterion on residuals and influential runs</w:t>
                  </w:r>
                </w:p>
              </w:tc>
              <w:tc>
                <w:tcPr/>
                <w:p>
                  <w:pPr>
                    <w:pStyle w:val="Compact"/>
                    <w:jc w:val="left"/>
                    <w:jc w:val="center"/>
                  </w:pPr>
                  <w:r>
                    <w:t xml:space="preserve">PCP-003: response-surface models meeting every model-adequacy criterion of PCMP-001 §7.2, used for the ranges and the design space, and each run with a Cook’s distance above 4/n examined by deleting it and repeating the judgement</w:t>
                  </w:r>
                </w:p>
              </w:tc>
              <w:tc>
                <w:tcPr/>
                <w:p>
                  <w:pPr>
                    <w:pStyle w:val="Compact"/>
                    <w:jc w:val="left"/>
                    <w:jc w:val="center"/>
                  </w:pPr>
                  <w:r>
                    <w:t xml:space="preserve">the models of the outputs that do not meet the criterion on residual patterns and influential runs (a residual trend at the level of the residual tests, or a run with a Cook’s distance above the median of F(p, n − p)) used for the ranges and the design space, with the size of each trend stated against the criterion of its output and each run above the limit deleted in turn, the model selection repeated and the output judged over the NOR again</w:t>
                  </w:r>
                </w:p>
              </w:tc>
              <w:tc>
                <w:tcPr/>
                <w:p>
                  <w:pPr>
                    <w:pStyle w:val="Compact"/>
                    <w:jc w:val="left"/>
                    <w:jc w:val="center"/>
                  </w:pPr>
                  <w:r>
                    <w:t xml:space="preserve">selected models of this step do not meet the criterion of PCMP-001 §7.2 on residual patterns and influential runs; whether a conclusion depends on the trend or on the run is shown by the size of the trend and by the deletion</w:t>
                  </w:r>
                </w:p>
              </w:tc>
            </w:tr>
            <w:tr>
              <w:tc>
                <w:tcPr/>
                <w:p>
                  <w:pPr>
                    <w:pStyle w:val="Compact"/>
                    <w:jc w:val="left"/>
                    <w:jc w:val="center"/>
                  </w:pPr>
                  <w:r>
                    <w:t xml:space="preserve">PD-003-05</w:t>
                  </w:r>
                </w:p>
              </w:tc>
              <w:tc>
                <w:tcPr/>
                <w:p>
                  <w:pPr>
                    <w:pStyle w:val="Compact"/>
                    <w:jc w:val="left"/>
                    <w:jc w:val="center"/>
                  </w:pPr>
                  <w:r>
                    <w:t xml:space="preserve">Univariate runs in duplicate</w:t>
                  </w:r>
                </w:p>
              </w:tc>
              <w:tc>
                <w:tcPr/>
                <w:p>
                  <w:pPr>
                    <w:pStyle w:val="Compact"/>
                    <w:jc w:val="left"/>
                    <w:jc w:val="center"/>
                  </w:pPr>
                  <w:r>
                    <w:t xml:space="preserve">PCP-003: each univariate parameter run at the low and the high edge of its range (PCP-003 §6.4)</w:t>
                  </w:r>
                </w:p>
              </w:tc>
              <w:tc>
                <w:tcPr/>
                <w:p>
                  <w:pPr>
                    <w:pStyle w:val="Compact"/>
                    <w:jc w:val="left"/>
                    <w:jc w:val="center"/>
                  </w:pPr>
                  <w:r>
                    <w:t xml:space="preserve">two runs at each edge</w:t>
                  </w:r>
                </w:p>
              </w:tc>
              <w:tc>
                <w:tcPr/>
                <w:p>
                  <w:pPr>
                    <w:pStyle w:val="Compact"/>
                    <w:jc w:val="left"/>
                    <w:jc w:val="center"/>
                  </w:pPr>
                  <w:r>
                    <w:t xml:space="preserve">to measure the run-to-run variation within the study, against which a univariate effect is judged</w:t>
                  </w:r>
                </w:p>
              </w:tc>
            </w:tr>
            <w:tr>
              <w:tc>
                <w:tcPr/>
                <w:p>
                  <w:pPr>
                    <w:pStyle w:val="Compact"/>
                    <w:jc w:val="left"/>
                    <w:jc w:val="center"/>
                  </w:pPr>
                  <w:r>
                    <w:t xml:space="preserve">PD-003-06</w:t>
                  </w:r>
                </w:p>
              </w:tc>
              <w:tc>
                <w:tcPr/>
                <w:p>
                  <w:pPr>
                    <w:pStyle w:val="Compact"/>
                    <w:jc w:val="left"/>
                    <w:jc w:val="center"/>
                  </w:pPr>
                  <w:r>
                    <w:t xml:space="preserve">How osmolality was set in the screening design</w:t>
                  </w:r>
                </w:p>
              </w:tc>
              <w:tc>
                <w:tcPr/>
                <w:p>
                  <w:pPr>
                    <w:pStyle w:val="Compact"/>
                    <w:jc w:val="left"/>
                    <w:jc w:val="center"/>
                  </w:pPr>
                  <w:r>
                    <w:t xml:space="preserve">PCP-003: the plan does not state how osmolality is set</w:t>
                  </w:r>
                </w:p>
              </w:tc>
              <w:tc>
                <w:tcPr/>
                <w:p>
                  <w:pPr>
                    <w:pStyle w:val="Compact"/>
                    <w:jc w:val="left"/>
                    <w:jc w:val="center"/>
                  </w:pPr>
                  <w:r>
                    <w:t xml:space="preserve">osmolality set with sodium chloride added with each feed, pCO2 held at its level by the sparge, as in the later osmolality study</w:t>
                  </w:r>
                </w:p>
              </w:tc>
              <w:tc>
                <w:tcPr/>
                <w:p>
                  <w:pPr>
                    <w:pStyle w:val="Compact"/>
                    <w:jc w:val="left"/>
                    <w:jc w:val="center"/>
                  </w:pPr>
                  <w:r>
                    <w:t xml:space="preserve">a design factor must be set by a stated procedure; the report states it</w:t>
                  </w:r>
                </w:p>
              </w:tc>
            </w:tr>
            <w:tr>
              <w:tc>
                <w:tcPr/>
                <w:p>
                  <w:pPr>
                    <w:pStyle w:val="Compact"/>
                    <w:jc w:val="left"/>
                    <w:jc w:val="center"/>
                  </w:pPr>
                  <w:r>
                    <w:t xml:space="preserve">PD-003-07</w:t>
                  </w:r>
                </w:p>
              </w:tc>
              <w:tc>
                <w:tcPr/>
                <w:p>
                  <w:pPr>
                    <w:pStyle w:val="Compact"/>
                    <w:jc w:val="left"/>
                    <w:jc w:val="center"/>
                  </w:pPr>
                  <w:r>
                    <w:t xml:space="preserve">Osmolality not carried into the response-surface design</w:t>
                  </w:r>
                </w:p>
              </w:tc>
              <w:tc>
                <w:tcPr/>
                <w:p>
                  <w:pPr>
                    <w:pStyle w:val="Compact"/>
                    <w:jc w:val="left"/>
                    <w:jc w:val="center"/>
                  </w:pPr>
                  <w:r>
                    <w:t xml:space="preserve">PCP-003: a factor active in the screening design carried into the response-surface design, or the design augmented before the operating region is declared</w:t>
                  </w:r>
                </w:p>
              </w:tc>
              <w:tc>
                <w:tcPr/>
                <w:p>
                  <w:pPr>
                    <w:pStyle w:val="Compact"/>
                    <w:jc w:val="left"/>
                    <w:jc w:val="center"/>
                  </w:pPr>
                  <w:r>
                    <w:t xml:space="preserve">osmolality, active on acidic variants and galactosylation in the screening design, held at its set-point in the response-surface design; its effect was measured afterwards in the osmolality study S-BRX-OSM (PD-003-01)</w:t>
                  </w:r>
                </w:p>
              </w:tc>
              <w:tc>
                <w:tcPr/>
                <w:p>
                  <w:pPr>
                    <w:pStyle w:val="Compact"/>
                    <w:jc w:val="left"/>
                    <w:jc w:val="center"/>
                  </w:pPr>
                  <w:r>
                    <w:t xml:space="preserve">its range was judged too narrow to matter, against the screening rule of the plan</w:t>
                  </w:r>
                </w:p>
              </w:tc>
            </w:tr>
            <w:tr>
              <w:tc>
                <w:tcPr/>
                <w:p>
                  <w:pPr>
                    <w:pStyle w:val="Compact"/>
                    <w:jc w:val="left"/>
                    <w:jc w:val="center"/>
                  </w:pPr>
                  <w:r>
                    <w:t xml:space="preserve">PD-003-08</w:t>
                  </w:r>
                </w:p>
              </w:tc>
              <w:tc>
                <w:tcPr/>
                <w:p>
                  <w:pPr>
                    <w:pStyle w:val="Compact"/>
                    <w:jc w:val="left"/>
                    <w:jc w:val="center"/>
                  </w:pPr>
                  <w:r>
                    <w:t xml:space="preserve">Normal operating range not narrowed for acidic variants</w:t>
                  </w:r>
                </w:p>
              </w:tc>
              <w:tc>
                <w:tcPr/>
                <w:p>
                  <w:pPr>
                    <w:pStyle w:val="Compact"/>
                    <w:jc w:val="left"/>
                    <w:jc w:val="center"/>
                  </w:pPr>
                  <w:r>
                    <w:t xml:space="preserve">PCP-003: where a NOR does not fit inside the operating region, the region reported as found and the NOR narrowed until it fits inside</w:t>
                  </w:r>
                </w:p>
              </w:tc>
              <w:tc>
                <w:tcPr/>
                <w:p>
                  <w:pPr>
                    <w:pStyle w:val="Compact"/>
                    <w:jc w:val="left"/>
                    <w:jc w:val="center"/>
                  </w:pPr>
                  <w:r>
                    <w:t xml:space="preserve">the NOR kept, although at its least favourable combination the 95 % prediction interval of a single batch of acidic variants extends below their lower limit; acidic variants are monitored at harvest, and a combined alert fires when culture pH, pCO2 and culture temperature sit beyond conditional limits on the side that lowers acidic variants at the same time</w:t>
                  </w:r>
                </w:p>
              </w:tc>
              <w:tc>
                <w:tcPr/>
                <w:p>
                  <w:pPr>
                    <w:pStyle w:val="Compact"/>
                    <w:jc w:val="left"/>
                    <w:jc w:val="center"/>
                  </w:pPr>
                  <w:r>
                    <w:t xml:space="preserve">the risk was accepted as the producer’s: acidic variants have very low criticality, release testing detects a low result, and the probability of an out-of-specification drug substance is quantified</w:t>
                  </w:r>
                </w:p>
              </w:tc>
            </w:tr>
            <w:tr>
              <w:tc>
                <w:tcPr/>
                <w:p>
                  <w:pPr>
                    <w:pStyle w:val="Compact"/>
                    <w:jc w:val="left"/>
                    <w:jc w:val="center"/>
                  </w:pPr>
                  <w:r>
                    <w:t xml:space="preserve">PD-003-09</w:t>
                  </w:r>
                </w:p>
              </w:tc>
              <w:tc>
                <w:tcPr/>
                <w:p>
                  <w:pPr>
                    <w:pStyle w:val="Compact"/>
                    <w:jc w:val="left"/>
                    <w:jc w:val="center"/>
                  </w:pPr>
                  <w:r>
                    <w:t xml:space="preserve">Viable cell density, viability and titre not in the study record</w:t>
                  </w:r>
                </w:p>
              </w:tc>
              <w:tc>
                <w:tcPr/>
                <w:p>
                  <w:pPr>
                    <w:pStyle w:val="Compact"/>
                    <w:jc w:val="left"/>
                    <w:jc w:val="center"/>
                  </w:pPr>
                  <w:r>
                    <w:t xml:space="preserve">PCP-003: the viable cell density profile, the viability at harvest and the titre compared in the qualification and monitored through every run</w:t>
                  </w:r>
                </w:p>
              </w:tc>
              <w:tc>
                <w:tcPr/>
                <w:p>
                  <w:pPr>
                    <w:pStyle w:val="Compact"/>
                    <w:jc w:val="left"/>
                    <w:jc w:val="center"/>
                  </w:pPr>
                  <w:r>
                    <w:t xml:space="preserve">none of the three is in the record of the qualification and characterization runs, and they cannot be recovered</w:t>
                  </w:r>
                </w:p>
              </w:tc>
              <w:tc>
                <w:tcPr/>
                <w:p>
                  <w:pPr>
                    <w:pStyle w:val="Compact"/>
                    <w:jc w:val="left"/>
                    <w:jc w:val="center"/>
                  </w:pPr>
                  <w:r>
                    <w:t xml:space="preserve">the monitoring records were kept in the scale-down system and not transferred to the study record</w:t>
                  </w:r>
                </w:p>
              </w:tc>
            </w:tr>
            <w:tr>
              <w:tc>
                <w:tcPr/>
                <w:p>
                  <w:pPr>
                    <w:pStyle w:val="Compact"/>
                    <w:jc w:val="left"/>
                    <w:jc w:val="center"/>
                  </w:pPr>
                  <w:r>
                    <w:t xml:space="preserve">PD-003-10</w:t>
                  </w:r>
                </w:p>
              </w:tc>
              <w:tc>
                <w:tcPr/>
                <w:p>
                  <w:pPr>
                    <w:pStyle w:val="Compact"/>
                    <w:jc w:val="left"/>
                    <w:jc w:val="center"/>
                  </w:pPr>
                  <w:r>
                    <w:t xml:space="preserve">Univariate study started before the response-surface study</w:t>
                  </w:r>
                </w:p>
              </w:tc>
              <w:tc>
                <w:tcPr/>
                <w:p>
                  <w:pPr>
                    <w:pStyle w:val="Compact"/>
                    <w:jc w:val="left"/>
                    <w:jc w:val="center"/>
                  </w:pPr>
                  <w:r>
                    <w:t xml:space="preserve">PCP-003: the phases in the order of PCP-003 §11, the univariate assessments after the response-surface design</w:t>
                  </w:r>
                </w:p>
              </w:tc>
              <w:tc>
                <w:tcPr/>
                <w:p>
                  <w:pPr>
                    <w:pStyle w:val="Compact"/>
                    <w:jc w:val="left"/>
                    <w:jc w:val="center"/>
                  </w:pPr>
                  <w:r>
                    <w:t xml:space="preserve">the univariate study S-BRX-UNI started before the response-surface study S-BRX-RSM</w:t>
                  </w:r>
                </w:p>
              </w:tc>
              <w:tc>
                <w:tcPr/>
                <w:p>
                  <w:pPr>
                    <w:pStyle w:val="Compact"/>
                    <w:jc w:val="left"/>
                    <w:jc w:val="center"/>
                  </w:pPr>
                  <w:r>
                    <w:t xml:space="preserve">scheduling of the scale-down bioreactor system</w:t>
                  </w:r>
                </w:p>
              </w:tc>
            </w:tr>
            <w:tr>
              <w:tc>
                <w:tcPr/>
                <w:p>
                  <w:pPr>
                    <w:pStyle w:val="Compact"/>
                    <w:jc w:val="left"/>
                    <w:jc w:val="center"/>
                  </w:pPr>
                  <w:r>
                    <w:t xml:space="preserve">PD-003-11</w:t>
                  </w:r>
                </w:p>
              </w:tc>
              <w:tc>
                <w:tcPr/>
                <w:p>
                  <w:pPr>
                    <w:pStyle w:val="Compact"/>
                    <w:jc w:val="left"/>
                    <w:jc w:val="center"/>
                  </w:pPr>
                  <w:r>
                    <w:t xml:space="preserve">Initial viable cell concentration not carried into a multivariate study</w:t>
                  </w:r>
                </w:p>
              </w:tc>
              <w:tc>
                <w:tcPr/>
                <w:p>
                  <w:pPr>
                    <w:pStyle w:val="Compact"/>
                    <w:jc w:val="left"/>
                    <w:jc w:val="center"/>
                  </w:pPr>
                  <w:r>
                    <w:t xml:space="preserve">PCP-003: a univariate parameter with an effect on a quality attribute that the mechanism does not account for carried into a multivariate study, and the plan amended</w:t>
                  </w:r>
                </w:p>
              </w:tc>
              <w:tc>
                <w:tcPr/>
                <w:p>
                  <w:pPr>
                    <w:pStyle w:val="Compact"/>
                    <w:jc w:val="left"/>
                    <w:jc w:val="center"/>
                  </w:pPr>
                  <w:r>
                    <w:t xml:space="preserve">initial viable cell concentration, which acted on acidic variants in the univariate study, kept as a univariate parameter; this report sizes its effect against the criterion over the NOR, the risk acceptance of PD-003-08 is extended to its NOR low, and acidic variants at harvest are to be trended against it in production, because the effect is a single significant result among the univariate tests and may be a false positive</w:t>
                  </w:r>
                </w:p>
              </w:tc>
              <w:tc>
                <w:tcPr/>
                <w:p>
                  <w:pPr>
                    <w:pStyle w:val="Compact"/>
                    <w:jc w:val="left"/>
                    <w:jc w:val="center"/>
                  </w:pPr>
                  <w:r>
                    <w:t xml:space="preserve">the univariate results were not analysed in Version 1.0</w:t>
                  </w:r>
                </w:p>
              </w:tc>
            </w:tr>
            <w:tr>
              <w:tc>
                <w:tcPr/>
                <w:p>
                  <w:pPr>
                    <w:pStyle w:val="Compact"/>
                    <w:jc w:val="left"/>
                    <w:jc w:val="center"/>
                  </w:pPr>
                  <w:r>
                    <w:t xml:space="preserve">PD-003-12</w:t>
                  </w:r>
                </w:p>
              </w:tc>
              <w:tc>
                <w:tcPr/>
                <w:p>
                  <w:pPr>
                    <w:pStyle w:val="Compact"/>
                    <w:jc w:val="left"/>
                    <w:jc w:val="center"/>
                  </w:pPr>
                  <w:r>
                    <w:t xml:space="preserve">Equipment and calibration status not recorded for the osmolality and augmentation studies</w:t>
                  </w:r>
                </w:p>
              </w:tc>
              <w:tc>
                <w:tcPr/>
                <w:p>
                  <w:pPr>
                    <w:pStyle w:val="Compact"/>
                    <w:jc w:val="left"/>
                    <w:jc w:val="center"/>
                  </w:pPr>
                  <w:r>
                    <w:t xml:space="preserve">PCP-003: each study record states its execution window and the calibration status of the pCO2 probe it used (INV-001 preventive action PA3)</w:t>
                  </w:r>
                </w:p>
              </w:tc>
              <w:tc>
                <w:tcPr/>
                <w:p>
                  <w:pPr>
                    <w:pStyle w:val="Compact"/>
                    <w:jc w:val="left"/>
                    <w:jc w:val="center"/>
                  </w:pPr>
                  <w:r>
                    <w:t xml:space="preserve">the records of the osmolality study S-BRX-OSM and of the augmentation runs name no equipment and state no calibration status, and they cannot be completed</w:t>
                  </w:r>
                </w:p>
              </w:tc>
              <w:tc>
                <w:tcPr/>
                <w:p>
                  <w:pPr>
                    <w:pStyle w:val="Compact"/>
                    <w:jc w:val="left"/>
                    <w:jc w:val="center"/>
                  </w:pPr>
                  <w:r>
                    <w:t xml:space="preserve">the equipment was not entered in the study record</w:t>
                  </w:r>
                </w:p>
              </w:tc>
            </w:tr>
            <w:tr>
              <w:tc>
                <w:tcPr/>
                <w:p>
                  <w:pPr>
                    <w:pStyle w:val="Compact"/>
                    <w:jc w:val="left"/>
                    <w:jc w:val="center"/>
                  </w:pPr>
                  <w:r>
                    <w:t xml:space="preserve">PD-003-13</w:t>
                  </w:r>
                </w:p>
              </w:tc>
              <w:tc>
                <w:tcPr/>
                <w:p>
                  <w:pPr>
                    <w:pStyle w:val="Compact"/>
                    <w:jc w:val="left"/>
                    <w:jc w:val="center"/>
                  </w:pPr>
                  <w:r>
                    <w:t xml:space="preserve">Aggregate offset of the scale-down model accounted for, not investigated</w:t>
                  </w:r>
                </w:p>
              </w:tc>
              <w:tc>
                <w:tcPr/>
                <w:p>
                  <w:pPr>
                    <w:pStyle w:val="Compact"/>
                    <w:jc w:val="left"/>
                    <w:jc w:val="center"/>
                  </w:pPr>
                  <w:r>
                    <w:t xml:space="preserve">PCP-003: Version 1.0: no statistically significant difference between the scales at p &lt; 0.05, and the source of any difference investigated before any characterization run</w:t>
                  </w:r>
                </w:p>
              </w:tc>
              <w:tc>
                <w:tcPr/>
                <w:p>
                  <w:pPr>
                    <w:pStyle w:val="Compact"/>
                    <w:jc w:val="left"/>
                    <w:jc w:val="center"/>
                  </w:pPr>
                  <w:r>
                    <w:t xml:space="preserve">aggregate differed between the scales at that level; no investigation was made before the characterization runs, and aggregate is judged through its offset under PCMP-001 Version 2.0 §7.1</w:t>
                  </w:r>
                </w:p>
              </w:tc>
              <w:tc>
                <w:tcPr/>
                <w:p>
                  <w:pPr>
                    <w:pStyle w:val="Compact"/>
                    <w:jc w:val="left"/>
                    <w:jc w:val="center"/>
                  </w:pPr>
                  <w:r>
                    <w:t xml:space="preserve">a scale-down model may differ in mean from manufacturing scale where its offset is known precisely enough, the rule of PCMP-001 Version 2.0 §7.1, so the Version 1.0 test was stricter than the use of the model needs</w:t>
                  </w:r>
                </w:p>
              </w:tc>
            </w:tr>
          </w:tbl>
          <w:bookmarkEnd w:id="144"/>
          <w:p/>
        </w:tc>
      </w:tr>
    </w:tbl>
    <w:bookmarkEnd w:id="145"/>
    <w:bookmarkStart w:id="146" w:name="sec-pd-01"/>
    <w:p>
      <w:pPr>
        <w:pStyle w:val="Heading2"/>
      </w:pPr>
      <w:r>
        <w:t xml:space="preserve">13.3 PD-003-01, osmolality study</w:t>
      </w:r>
    </w:p>
    <w:p>
      <w:pPr>
        <w:pStyle w:val="FirstParagraph"/>
      </w:pPr>
      <w:r>
        <w:t xml:space="preserve">The osmolality study (</w:t>
      </w:r>
      <w:hyperlink w:anchor="sec-osm-design">
        <w:r>
          <w:rPr>
            <w:rStyle w:val="Hyperlink"/>
          </w:rPr>
          <w:t xml:space="preserve">Section 4.5</w:t>
        </w:r>
      </w:hyperlink>
      <w:r>
        <w:t xml:space="preserve">) found a significant fall of afucosylation with osmolality, and no significant effect on acidic variants at the least favourable NOR combination of the other parameters (</w:t>
      </w:r>
      <w:hyperlink w:anchor="sec-osmolality">
        <w:r>
          <w:rPr>
            <w:rStyle w:val="Hyperlink"/>
          </w:rPr>
          <w:t xml:space="preserve">Section 5.5</w:t>
        </w:r>
      </w:hyperlink>
      <w:r>
        <w:t xml:space="preserve">). Its fitted mean of acidic variants at the NOR high lies below the lower limit, and the acceptance of</w:t>
      </w:r>
      <w:r>
        <w:t xml:space="preserve"> </w:t>
      </w:r>
      <w:hyperlink w:anchor="sec-criteria-results">
        <w:r>
          <w:rPr>
            <w:rStyle w:val="Hyperlink"/>
          </w:rPr>
          <w:t xml:space="preserve">Section 7.2</w:t>
        </w:r>
      </w:hyperlink>
      <w:r>
        <w:t xml:space="preserve"> </w:t>
      </w:r>
      <w:r>
        <w:t xml:space="preserve">covers that setting.</w:t>
      </w:r>
    </w:p>
    <w:bookmarkEnd w:id="146"/>
    <w:bookmarkStart w:id="147" w:name="sec-pd-02"/>
    <w:p>
      <w:pPr>
        <w:pStyle w:val="Heading2"/>
      </w:pPr>
      <w:r>
        <w:t xml:space="preserve">13.4 PD-003-02, augmentation of the response-surface design</w:t>
      </w:r>
    </w:p>
    <w:p>
      <w:pPr>
        <w:pStyle w:val="FirstParagraph"/>
      </w:pPr>
      <w:r>
        <w:t xml:space="preserve">The 16 runs added under INV-002 changed the selected models of four attributes, and the models selected on the planned runs predict them poorly for high mannose and aggregate. The PARs and the design space on the planned runs alone are given in</w:t>
      </w:r>
      <w:r>
        <w:t xml:space="preserve"> </w:t>
      </w:r>
      <w:hyperlink w:anchor="sec-augmentation">
        <w:r>
          <w:rPr>
            <w:rStyle w:val="Hyperlink"/>
          </w:rPr>
          <w:t xml:space="preserve">Section 5.3.4</w:t>
        </w:r>
      </w:hyperlink>
      <w:r>
        <w:t xml:space="preserve">. The full quadratic model of high mannose still exceeds the limit on overfitting on all runs.</w:t>
      </w:r>
    </w:p>
    <w:bookmarkEnd w:id="147"/>
    <w:bookmarkStart w:id="148" w:name="sec-pd-03"/>
    <w:p>
      <w:pPr>
        <w:pStyle w:val="Heading2"/>
      </w:pPr>
      <w:r>
        <w:t xml:space="preserve">13.5 PD-003-03, model selection</w:t>
      </w:r>
    </w:p>
    <w:p>
      <w:pPr>
        <w:pStyle w:val="FirstParagraph"/>
      </w:pPr>
      <w:r>
        <w:t xml:space="preserve">With the plan’s full quadratic model in place of the selected models, on all 44 runs, high mannose would have no adequate model, and the PAR of pCO2 for acidic variants would not contain the NOR (</w:t>
      </w:r>
      <w:hyperlink w:anchor="sec-augmentation">
        <w:r>
          <w:rPr>
            <w:rStyle w:val="Hyperlink"/>
          </w:rPr>
          <w:t xml:space="preserve">Section 5.3.4</w:t>
        </w:r>
      </w:hyperlink>
      <w:r>
        <w:t xml:space="preserve">). The selection also changes the criteria of this step through the verification of the downstream steps (</w:t>
      </w:r>
      <w:hyperlink w:anchor="sec-criteria">
        <w:r>
          <w:rPr>
            <w:rStyle w:val="Hyperlink"/>
          </w:rPr>
          <w:t xml:space="preserve">Section 7.1</w:t>
        </w:r>
      </w:hyperlink>
      <w:r>
        <w:t xml:space="preserve">).</w:t>
      </w:r>
    </w:p>
    <w:bookmarkEnd w:id="148"/>
    <w:bookmarkStart w:id="149" w:name="sec-pd-04"/>
    <w:p>
      <w:pPr>
        <w:pStyle w:val="Heading2"/>
      </w:pPr>
      <w:r>
        <w:t xml:space="preserve">13.6 PD-003-04, models that do not meet the criterion on residuals and influential runs</w:t>
      </w:r>
    </w:p>
    <w:p>
      <w:pPr>
        <w:pStyle w:val="FirstParagraph"/>
      </w:pPr>
      <w:r>
        <w:t xml:space="preserve">The selected models of galactosylation and acidic variants were used although their absolute residuals rise with the predicted value. No run of any model has a Cook’s distance above the F median. With the standard deviation of the half of the predicted values in which each prediction lies, both attributes keep their verdict over the NOR (</w:t>
      </w:r>
      <w:hyperlink w:anchor="sec-residuals">
        <w:r>
          <w:rPr>
            <w:rStyle w:val="Hyperlink"/>
          </w:rPr>
          <w:t xml:space="preserve">Section 5.3.2</w:t>
        </w:r>
      </w:hyperlink>
      <w:r>
        <w:t xml:space="preserve">).</w:t>
      </w:r>
    </w:p>
    <w:bookmarkEnd w:id="149"/>
    <w:bookmarkStart w:id="150" w:name="sec-pd-05"/>
    <w:p>
      <w:pPr>
        <w:pStyle w:val="Heading2"/>
      </w:pPr>
      <w:r>
        <w:t xml:space="preserve">13.7 PD-003-05, duplicate univariate runs</w:t>
      </w:r>
    </w:p>
    <w:p>
      <w:pPr>
        <w:pStyle w:val="FirstParagraph"/>
      </w:pPr>
      <w:r>
        <w:t xml:space="preserve">The duplicate runs give the pooled standard deviation of the study, with 8 degrees of freedom, against which each univariate difference was tested, including the effect of the initial viable cell concentration on acidic variants (</w:t>
      </w:r>
      <w:hyperlink w:anchor="sec-univariate">
        <w:r>
          <w:rPr>
            <w:rStyle w:val="Hyperlink"/>
          </w:rPr>
          <w:t xml:space="preserve">Section 5.4</w:t>
        </w:r>
      </w:hyperlink>
      <w:r>
        <w:t xml:space="preserve">).</w:t>
      </w:r>
    </w:p>
    <w:bookmarkEnd w:id="150"/>
    <w:bookmarkStart w:id="151" w:name="sec-pd-06"/>
    <w:p>
      <w:pPr>
        <w:pStyle w:val="Heading2"/>
      </w:pPr>
      <w:r>
        <w:t xml:space="preserve">13.8 PD-003-06, setting of osmolality</w:t>
      </w:r>
    </w:p>
    <w:p>
      <w:pPr>
        <w:pStyle w:val="FirstParagraph"/>
      </w:pPr>
      <w:r>
        <w:t xml:space="preserve">Because osmolality was set independently of pCO2, the screening design and the osmolality study estimate the two effects separately, and the PAR of pCO2 does not include the rise of osmolality that comes with pCO2 at scale (</w:t>
      </w:r>
      <w:hyperlink w:anchor="sec-par-table">
        <w:r>
          <w:rPr>
            <w:rStyle w:val="Hyperlink"/>
          </w:rPr>
          <w:t xml:space="preserve">Section 7.3</w:t>
        </w:r>
      </w:hyperlink>
      <w:r>
        <w:t xml:space="preserve">).</w:t>
      </w:r>
    </w:p>
    <w:bookmarkEnd w:id="151"/>
    <w:bookmarkStart w:id="152" w:name="sec-pd-07"/>
    <w:p>
      <w:pPr>
        <w:pStyle w:val="Heading2"/>
      </w:pPr>
      <w:r>
        <w:t xml:space="preserve">13.9 PD-003-07, osmolality not carried into the response-surface design</w:t>
      </w:r>
    </w:p>
    <w:p>
      <w:pPr>
        <w:pStyle w:val="FirstParagraph"/>
      </w:pPr>
      <w:r>
        <w:t xml:space="preserve">The screening showed osmolality active on acidic variants and on galactosylation (</w:t>
      </w:r>
      <w:hyperlink w:anchor="sec-screening">
        <w:r>
          <w:rPr>
            <w:rStyle w:val="Hyperlink"/>
          </w:rPr>
          <w:t xml:space="preserve">Section 5.2</w:t>
        </w:r>
      </w:hyperlink>
      <w:r>
        <w:t xml:space="preserve">), and the Version 2.0 re-analysis of the screening results found that it had not been carried forward. Every prediction and PAR and the design space of this report are therefore conditioned on osmolality at its set-point. The osmolality study measured its effect at one combination of the other parameters (PD-003-01), and its interactions with them are known from the screening design only.</w:t>
      </w:r>
    </w:p>
    <w:bookmarkEnd w:id="152"/>
    <w:bookmarkStart w:id="153" w:name="sec-pd-08"/>
    <w:p>
      <w:pPr>
        <w:pStyle w:val="Heading2"/>
      </w:pPr>
      <w:r>
        <w:t xml:space="preserve">13.10 PD-003-08, NOR not narrowed for acidic variants</w:t>
      </w:r>
    </w:p>
    <w:p>
      <w:pPr>
        <w:pStyle w:val="FirstParagraph"/>
      </w:pPr>
      <w:r>
        <w:t xml:space="preserve">Acidic variants do not meet their criterion over the NOR on the prediction interval of a single run (</w:t>
      </w:r>
      <w:hyperlink w:anchor="sec-criteria-results">
        <w:r>
          <w:rPr>
            <w:rStyle w:val="Hyperlink"/>
          </w:rPr>
          <w:t xml:space="preserve">Section 7.2</w:t>
        </w:r>
      </w:hyperlink>
      <w:r>
        <w:t xml:space="preserve">), and the NOR was not narrowed as PCP-003 §7 requires. The Version 2.0 re-analysis against the criteria of PCMP-001 Version 2.0 found the departure. The risk was accepted as the producer’s, on the grounds that</w:t>
      </w:r>
      <w:r>
        <w:t xml:space="preserve"> </w:t>
      </w:r>
      <w:hyperlink w:anchor="sec-criteria-results">
        <w:r>
          <w:rPr>
            <w:rStyle w:val="Hyperlink"/>
          </w:rPr>
          <w:t xml:space="preserve">Section 7.2</w:t>
        </w:r>
      </w:hyperlink>
      <w:r>
        <w:t xml:space="preserve"> </w:t>
      </w:r>
      <w:r>
        <w:t xml:space="preserve">gives, with the action limit and the trending of</w:t>
      </w:r>
      <w:r>
        <w:t xml:space="preserve"> </w:t>
      </w:r>
      <w:hyperlink w:anchor="sec-control">
        <w:r>
          <w:rPr>
            <w:rStyle w:val="Hyperlink"/>
          </w:rPr>
          <w:t xml:space="preserve">Section 10</w:t>
        </w:r>
      </w:hyperlink>
      <w:r>
        <w:t xml:space="preserve">.</w:t>
      </w:r>
    </w:p>
    <w:bookmarkEnd w:id="153"/>
    <w:bookmarkStart w:id="154" w:name="sec-pd-09"/>
    <w:p>
      <w:pPr>
        <w:pStyle w:val="Heading2"/>
      </w:pPr>
      <w:r>
        <w:t xml:space="preserve">13.11 PD-003-09, viable cell density, viability and titre not in the record</w:t>
      </w:r>
    </w:p>
    <w:p>
      <w:pPr>
        <w:pStyle w:val="FirstParagraph"/>
      </w:pPr>
      <w:r>
        <w:t xml:space="preserve">PCP-003 §5.4 requires the culture to be monitored for viable cell density and viability, and §5.1 lists both, with the titre, among the outputs of the qualification. The monitoring records cannot be recovered. No criterion of this report depends on these outputs. Their absence means that the classes of the KPPs rest on platform knowledge for process performance (</w:t>
      </w:r>
      <w:hyperlink w:anchor="sec-classification">
        <w:r>
          <w:rPr>
            <w:rStyle w:val="Hyperlink"/>
          </w:rPr>
          <w:t xml:space="preserve">Section 9</w:t>
        </w:r>
      </w:hyperlink>
      <w:r>
        <w:t xml:space="preserve">), and that the scale-down model was not compared with manufacturing scale on growth and titre.</w:t>
      </w:r>
    </w:p>
    <w:bookmarkEnd w:id="154"/>
    <w:bookmarkStart w:id="155" w:name="sec-pd-10"/>
    <w:p>
      <w:pPr>
        <w:pStyle w:val="Heading2"/>
      </w:pPr>
      <w:r>
        <w:t xml:space="preserve">13.12 PD-003-10, univariate study started before the response-surface study</w:t>
      </w:r>
    </w:p>
    <w:p>
      <w:pPr>
        <w:pStyle w:val="FirstParagraph"/>
      </w:pPr>
      <w:r>
        <w:t xml:space="preserve">The univariate study started on 2025-10-06, before the response-surface study started on 2025-10-20, and the review of the execution dates under INV-001 found it. The sequence of PCP-003 §11 exists so that the factors of the response-surface design are chosen from the screening result. The screening study had ended on 2025-10-03, before either study started, and the univariate parameters were assigned by RA-001 and were not candidates for the response-surface design. The order of the two studies therefore affects no analysis.</w:t>
      </w:r>
    </w:p>
    <w:bookmarkEnd w:id="155"/>
    <w:bookmarkStart w:id="156" w:name="sec-pd-11"/>
    <w:p>
      <w:pPr>
        <w:pStyle w:val="Heading2"/>
      </w:pPr>
      <w:r>
        <w:t xml:space="preserve">13.13 PD-003-11, initial viable cell concentration not carried into a multivariate study</w:t>
      </w:r>
    </w:p>
    <w:p>
      <w:pPr>
        <w:pStyle w:val="FirstParagraph"/>
      </w:pPr>
      <w:r>
        <w:t xml:space="preserve">The univariate study showed acidic variants 3.51 points higher at the high end of the initial viable cell concentration than at the low end, at manufacturing scale (</w:t>
      </w:r>
      <w:hyperlink w:anchor="sec-univariate">
        <w:r>
          <w:rPr>
            <w:rStyle w:val="Hyperlink"/>
          </w:rPr>
          <w:t xml:space="preserve">Section 5.4</w:t>
        </w:r>
      </w:hyperlink>
      <w:r>
        <w:t xml:space="preserve">). The mechanism of PCP-003 §4.3 does not account for the effect, so PCP-003 §6.4 carries the parameter into a multivariate study and amends the plan. That was not done, because the univariate results were not analysed in Version 1.0. The Version 2.0 re-analysis of the univariate results found the departure. With the parameter at its NOR low and the other parameters at their least favourable NOR combination, the effect would take the predicted median of acidic variants to about 17.69 %, below the lower limit. The effect is the only significant result among 28 univariate tests and may be a false positive. The risk acceptance of PD-003-08 is extended to that combination, and acidic variants at harvest are to be trended against the initial viable cell concentration of each production batch (</w:t>
      </w:r>
      <w:hyperlink w:anchor="sec-control">
        <w:r>
          <w:rPr>
            <w:rStyle w:val="Hyperlink"/>
          </w:rPr>
          <w:t xml:space="preserve">Section 10</w:t>
        </w:r>
      </w:hyperlink>
      <w:r>
        <w:t xml:space="preserve">). The verdict over the NOR and the capability of this report do not include the effect.</w:t>
      </w:r>
    </w:p>
    <w:bookmarkEnd w:id="156"/>
    <w:bookmarkStart w:id="157" w:name="sec-pd-12"/>
    <w:p>
      <w:pPr>
        <w:pStyle w:val="Heading2"/>
      </w:pPr>
      <w:r>
        <w:t xml:space="preserve">13.14 PD-003-12, equipment and calibration status not recorded for the osmolality and augmentation studies</w:t>
      </w:r>
    </w:p>
    <w:p>
      <w:pPr>
        <w:pStyle w:val="FirstParagraph"/>
      </w:pPr>
      <w:r>
        <w:t xml:space="preserve">The records of the osmolality study S-BRX-OSM and of the augmentation S-BRX-AUG name no equipment and state no calibration status of the pCO2 probe, which PCP-003 §9 and preventive action PA3 of INV-001 require. The review of the study record found the gap, and the records cannot be completed. If the studies used EQ-BRX-205, its next calibration was due on 2026-06-14, before both studies started. pCO2 varied from 40 mmHg to 160 mmHg in the 16 augmentation runs and was held at 130 mmHg in the osmolality study, so the accuracy of those settings is not documented. A probe that read high, as in study event DEV-003-01, would put the true pCO2 below the recorded level. Every selected model is fitted to the augmentation runs.</w:t>
      </w:r>
    </w:p>
    <w:bookmarkEnd w:id="157"/>
    <w:bookmarkStart w:id="158" w:name="sec-pd-13"/>
    <w:p>
      <w:pPr>
        <w:pStyle w:val="Heading2"/>
      </w:pPr>
      <w:r>
        <w:t xml:space="preserve">13.15 PD-003-13, aggregate offset of the scale-down model accounted for, not investigated</w:t>
      </w:r>
    </w:p>
    <w:p>
      <w:pPr>
        <w:pStyle w:val="FirstParagraph"/>
      </w:pPr>
      <w:r>
        <w:t xml:space="preserve">PCP-003 Version 1.0 qualified the scale-down model for an output only where the two scales showed no statistically significant difference at p &lt; 0.05, and it required the source of any difference to be investigated before the characterization runs. For aggregate the two scales differ under that test (p = 0.016), and no investigation was made before the screening study started. The re-analysis of the qualification against the Version 1.0 test found it. Under PCMP-001 Version 2.0 §7.1 a scale-down model may differ in mean from manufacturing scale where its offset is known precisely enough, so the Version 1.0 test was stricter than the use of the model needs. Aggregate is judged through its offset, a ratio of 0.917 with a 90 % confidence interval of 0.873 to 0.963, and the model is qualified for it (</w:t>
      </w:r>
      <w:hyperlink w:anchor="tbl-sdm-offsets">
        <w:r>
          <w:rPr>
            <w:rStyle w:val="Hyperlink"/>
          </w:rPr>
          <w:t xml:space="preserve">Table 4</w:t>
        </w:r>
      </w:hyperlink>
      <w:r>
        <w:t xml:space="preserve">). The cause of the difference is not known.</w:t>
      </w:r>
    </w:p>
    <w:bookmarkEnd w:id="158"/>
    <w:bookmarkEnd w:id="159"/>
    <w:bookmarkStart w:id="161" w:name="sec-app-a"/>
    <w:p>
      <w:pPr>
        <w:pStyle w:val="Heading1"/>
      </w:pPr>
      <w:r>
        <w:t xml:space="preserve">Appendix A. Screening design matrix and responses</w:t>
      </w:r>
    </w:p>
    <w:p>
      <w:pPr>
        <w:pStyle w:val="FirstParagraph"/>
      </w:pPr>
      <w:hyperlink w:anchor="tbl-doe-bioreactor-screening">
        <w:r>
          <w:rPr>
            <w:rStyle w:val="Hyperlink"/>
          </w:rPr>
          <w:t xml:space="preserve">Table 28</w:t>
        </w:r>
      </w:hyperlink>
      <w:r>
        <w:t xml:space="preserve"> </w:t>
      </w:r>
      <w:r>
        <w:t xml:space="preserve">gives the settings and the results of the 19 runs of the screening study S-BRX-SCR, as measured in the scale-down model. The Run column of the design tables gives the standard order of each design, not the order in which the runs were made (</w:t>
      </w:r>
      <w:hyperlink w:anchor="sec-sampling">
        <w:r>
          <w:rPr>
            <w:rStyle w:val="Hyperlink"/>
          </w:rPr>
          <w:t xml:space="preserve">Section 3.4</w:t>
        </w:r>
      </w:hyperlink>
      <w:r>
        <w:t xml:space="preserve">). Run 4 is shown at its design setting of pCO2, and the analysis uses its recorded setting (</w:t>
      </w:r>
      <w:hyperlink w:anchor="sec-dev-01">
        <w:r>
          <w:rPr>
            <w:rStyle w:val="Hyperlink"/>
          </w:rPr>
          <w:t xml:space="preserve">Section 13.1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0" w:name="tbl-doe-bioreactor-screening"/>
          <w:p>
            <w:pPr>
              <w:jc w:val="center"/>
            </w:pPr>
            <w:pPr>
              <w:jc w:val="start"/>
              <w:spacing w:before="200"/>
              <w:pStyle w:val="ImageCaption"/>
            </w:pPr>
            <w:r>
              <w:t xml:space="preserve">Table 28: Production bioreactor screening design, settings and results.</w:t>
            </w:r>
          </w:p>
          <w:tbl>
            <w:tblPr>
              <w:tblStyle w:val="Table"/>
              <w:tblW w:type="auto" w:w="0"/>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5"/>
                </w:tcPr>
                <w:p>
                  <w:pPr>
                    <w:pStyle w:val="Compact"/>
                    <w:jc w:val="center"/>
                  </w:pPr>
                  <w:r>
                    <w:t xml:space="preserve">Factor settings</w:t>
                  </w:r>
                </w:p>
              </w:tc>
              <w:tc>
                <w:tcPr>
                  <w:gridSpan w:val="5"/>
                </w:tcPr>
                <w:p>
                  <w:pPr>
                    <w:pStyle w:val="Compact"/>
                    <w:jc w:val="center"/>
                  </w:pPr>
                  <w:r>
                    <w:t xml:space="preserve">Responses</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E</w:t>
                  </w:r>
                </w:p>
              </w:tc>
              <w:tc>
                <w:tcPr/>
                <w:p>
                  <w:pPr>
                    <w:pStyle w:val="Compact"/>
                    <w:jc w:val="center"/>
                  </w:pPr>
                  <w:r>
                    <w:t xml:space="preserve">Afuc.</w:t>
                  </w:r>
                </w:p>
              </w:tc>
              <w:tc>
                <w:tcPr/>
                <w:p>
                  <w:pPr>
                    <w:pStyle w:val="Compact"/>
                    <w:jc w:val="center"/>
                  </w:pPr>
                  <w:r>
                    <w:t xml:space="preserve">Gal.</w:t>
                  </w:r>
                </w:p>
              </w:tc>
              <w:tc>
                <w:tcPr/>
                <w:p>
                  <w:pPr>
                    <w:pStyle w:val="Compact"/>
                    <w:jc w:val="center"/>
                  </w:pPr>
                  <w:r>
                    <w:t xml:space="preserve">High mannose</w:t>
                  </w:r>
                </w:p>
              </w:tc>
              <w:tc>
                <w:tcPr/>
                <w:p>
                  <w:pPr>
                    <w:pStyle w:val="Compact"/>
                    <w:jc w:val="center"/>
                  </w:pPr>
                  <w:r>
                    <w:t xml:space="preserve">Acidic</w:t>
                  </w:r>
                </w:p>
              </w:tc>
              <w:tc>
                <w:tcPr/>
                <w:p>
                  <w:pPr>
                    <w:pStyle w:val="Compact"/>
                    <w:jc w:val="center"/>
                  </w:pPr>
                  <w:r>
                    <w:t xml:space="preserve">HMW</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°C</w:t>
                  </w:r>
                </w:p>
              </w:tc>
              <w:tc>
                <w:tcPr/>
                <w:p>
                  <w:pPr>
                    <w:pStyle w:val="Compact"/>
                    <w:jc w:val="center"/>
                  </w:pPr>
                  <w:r>
                    <w:t xml:space="preserve">mmHg</w:t>
                  </w:r>
                </w:p>
              </w:tc>
              <w:tc>
                <w:tcPr/>
                <w:p>
                  <w:pPr>
                    <w:pStyle w:val="Compact"/>
                    <w:jc w:val="center"/>
                  </w:pPr>
                  <w:r>
                    <w:t xml:space="preserve">mOsm/kg</w:t>
                  </w:r>
                </w:p>
              </w:tc>
              <w:tc>
                <w:tcPr/>
                <w:p>
                  <w:pPr>
                    <w:pStyle w:val="Compact"/>
                    <w:jc w:val="center"/>
                  </w:pPr>
                  <w:r>
                    <w:t xml:space="preserve">days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6.6</w:t>
                  </w:r>
                </w:p>
              </w:tc>
              <w:tc>
                <w:tcPr/>
                <w:p>
                  <w:pPr>
                    <w:pStyle w:val="Compact"/>
                    <w:jc w:val="center"/>
                  </w:pPr>
                  <w:r>
                    <w:t xml:space="preserve">34</w:t>
                  </w:r>
                </w:p>
              </w:tc>
              <w:tc>
                <w:tcPr/>
                <w:p>
                  <w:pPr>
                    <w:pStyle w:val="Compact"/>
                    <w:jc w:val="center"/>
                  </w:pPr>
                  <w:r>
                    <w:t xml:space="preserve">40</w:t>
                  </w:r>
                </w:p>
              </w:tc>
              <w:tc>
                <w:tcPr/>
                <w:p>
                  <w:pPr>
                    <w:pStyle w:val="Compact"/>
                    <w:jc w:val="center"/>
                  </w:pPr>
                  <w:r>
                    <w:t xml:space="preserve">360</w:t>
                  </w:r>
                </w:p>
              </w:tc>
              <w:tc>
                <w:tcPr/>
                <w:p>
                  <w:pPr>
                    <w:pStyle w:val="Compact"/>
                    <w:jc w:val="center"/>
                  </w:pPr>
                  <w:r>
                    <w:t xml:space="preserve">19</w:t>
                  </w:r>
                </w:p>
              </w:tc>
              <w:tc>
                <w:tcPr/>
                <w:p>
                  <w:pPr>
                    <w:pStyle w:val="Compact"/>
                    <w:jc w:val="center"/>
                  </w:pPr>
                  <w:r>
                    <w:t xml:space="preserve">5.18</w:t>
                  </w:r>
                </w:p>
              </w:tc>
              <w:tc>
                <w:tcPr/>
                <w:p>
                  <w:pPr>
                    <w:pStyle w:val="Compact"/>
                    <w:jc w:val="center"/>
                  </w:pPr>
                  <w:r>
                    <w:t xml:space="preserve">27.9</w:t>
                  </w:r>
                </w:p>
              </w:tc>
              <w:tc>
                <w:tcPr/>
                <w:p>
                  <w:pPr>
                    <w:pStyle w:val="Compact"/>
                    <w:jc w:val="center"/>
                  </w:pPr>
                  <w:r>
                    <w:t xml:space="preserve">6.61</w:t>
                  </w:r>
                </w:p>
              </w:tc>
              <w:tc>
                <w:tcPr/>
                <w:p>
                  <w:pPr>
                    <w:pStyle w:val="Compact"/>
                    <w:jc w:val="center"/>
                  </w:pPr>
                  <w:r>
                    <w:t xml:space="preserve">26.4</w:t>
                  </w:r>
                </w:p>
              </w:tc>
              <w:tc>
                <w:tcPr/>
                <w:p>
                  <w:pPr>
                    <w:pStyle w:val="Compact"/>
                    <w:jc w:val="center"/>
                  </w:pPr>
                  <w:r>
                    <w:t xml:space="preserve">1.30</w:t>
                  </w:r>
                </w:p>
              </w:tc>
            </w:tr>
            <w:tr>
              <w:tc>
                <w:tcPr/>
                <w:p>
                  <w:pPr>
                    <w:pStyle w:val="Compact"/>
                    <w:jc w:val="center"/>
                  </w:pPr>
                  <w:r>
                    <w:t xml:space="preserve">2</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40</w:t>
                  </w:r>
                </w:p>
              </w:tc>
              <w:tc>
                <w:tcPr/>
                <w:p>
                  <w:pPr>
                    <w:pStyle w:val="Compact"/>
                    <w:jc w:val="center"/>
                  </w:pPr>
                  <w:r>
                    <w:t xml:space="preserve">440</w:t>
                  </w:r>
                </w:p>
              </w:tc>
              <w:tc>
                <w:tcPr/>
                <w:p>
                  <w:pPr>
                    <w:pStyle w:val="Compact"/>
                    <w:jc w:val="center"/>
                  </w:pPr>
                  <w:r>
                    <w:t xml:space="preserve">15</w:t>
                  </w:r>
                </w:p>
              </w:tc>
              <w:tc>
                <w:tcPr/>
                <w:p>
                  <w:pPr>
                    <w:pStyle w:val="Compact"/>
                    <w:jc w:val="center"/>
                  </w:pPr>
                  <w:r>
                    <w:t xml:space="preserve">8.93</w:t>
                  </w:r>
                </w:p>
              </w:tc>
              <w:tc>
                <w:tcPr/>
                <w:p>
                  <w:pPr>
                    <w:pStyle w:val="Compact"/>
                    <w:jc w:val="center"/>
                  </w:pPr>
                  <w:r>
                    <w:t xml:space="preserve">36.1</w:t>
                  </w:r>
                </w:p>
              </w:tc>
              <w:tc>
                <w:tcPr/>
                <w:p>
                  <w:pPr>
                    <w:pStyle w:val="Compact"/>
                    <w:jc w:val="center"/>
                  </w:pPr>
                  <w:r>
                    <w:t xml:space="preserve">6.44</w:t>
                  </w:r>
                </w:p>
              </w:tc>
              <w:tc>
                <w:tcPr/>
                <w:p>
                  <w:pPr>
                    <w:pStyle w:val="Compact"/>
                    <w:jc w:val="center"/>
                  </w:pPr>
                  <w:r>
                    <w:t xml:space="preserve">26.5</w:t>
                  </w:r>
                </w:p>
              </w:tc>
              <w:tc>
                <w:tcPr/>
                <w:p>
                  <w:pPr>
                    <w:pStyle w:val="Compact"/>
                    <w:jc w:val="center"/>
                  </w:pPr>
                  <w:r>
                    <w:t xml:space="preserve">0.78</w:t>
                  </w:r>
                </w:p>
              </w:tc>
            </w:tr>
            <w:tr>
              <w:tc>
                <w:tcPr/>
                <w:p>
                  <w:pPr>
                    <w:pStyle w:val="Compact"/>
                    <w:jc w:val="center"/>
                  </w:pPr>
                  <w:r>
                    <w:t xml:space="preserve">3</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160</w:t>
                  </w:r>
                </w:p>
              </w:tc>
              <w:tc>
                <w:tcPr/>
                <w:p>
                  <w:pPr>
                    <w:pStyle w:val="Compact"/>
                    <w:jc w:val="center"/>
                  </w:pPr>
                  <w:r>
                    <w:t xml:space="preserve">360</w:t>
                  </w:r>
                </w:p>
              </w:tc>
              <w:tc>
                <w:tcPr/>
                <w:p>
                  <w:pPr>
                    <w:pStyle w:val="Compact"/>
                    <w:jc w:val="center"/>
                  </w:pPr>
                  <w:r>
                    <w:t xml:space="preserve">15</w:t>
                  </w:r>
                </w:p>
              </w:tc>
              <w:tc>
                <w:tcPr/>
                <w:p>
                  <w:pPr>
                    <w:pStyle w:val="Compact"/>
                    <w:jc w:val="center"/>
                  </w:pPr>
                  <w:r>
                    <w:t xml:space="preserve">11.8</w:t>
                  </w:r>
                </w:p>
              </w:tc>
              <w:tc>
                <w:tcPr/>
                <w:p>
                  <w:pPr>
                    <w:pStyle w:val="Compact"/>
                    <w:jc w:val="center"/>
                  </w:pPr>
                  <w:r>
                    <w:t xml:space="preserve">34.6</w:t>
                  </w:r>
                </w:p>
              </w:tc>
              <w:tc>
                <w:tcPr/>
                <w:p>
                  <w:pPr>
                    <w:pStyle w:val="Compact"/>
                    <w:jc w:val="center"/>
                  </w:pPr>
                  <w:r>
                    <w:t xml:space="preserve">5.63</w:t>
                  </w:r>
                </w:p>
              </w:tc>
              <w:tc>
                <w:tcPr/>
                <w:p>
                  <w:pPr>
                    <w:pStyle w:val="Compact"/>
                    <w:jc w:val="center"/>
                  </w:pPr>
                  <w:r>
                    <w:t xml:space="preserve">22.3</w:t>
                  </w:r>
                </w:p>
              </w:tc>
              <w:tc>
                <w:tcPr/>
                <w:p>
                  <w:pPr>
                    <w:pStyle w:val="Compact"/>
                    <w:jc w:val="center"/>
                  </w:pPr>
                  <w:r>
                    <w:t xml:space="preserve">0.79</w:t>
                  </w:r>
                </w:p>
              </w:tc>
            </w:tr>
            <w:tr>
              <w:tc>
                <w:tcPr/>
                <w:p>
                  <w:pPr>
                    <w:pStyle w:val="Compact"/>
                    <w:jc w:val="center"/>
                  </w:pPr>
                  <w:r>
                    <w:t xml:space="preserve">4</w:t>
                  </w:r>
                  <w:r>
                    <w:rPr>
                      <w:vertAlign w:val="superscript"/>
                    </w:rPr>
                    <w:t xml:space="preserve">a)</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160</w:t>
                  </w:r>
                </w:p>
              </w:tc>
              <w:tc>
                <w:tcPr/>
                <w:p>
                  <w:pPr>
                    <w:pStyle w:val="Compact"/>
                    <w:jc w:val="center"/>
                  </w:pPr>
                  <w:r>
                    <w:t xml:space="preserve">440</w:t>
                  </w:r>
                </w:p>
              </w:tc>
              <w:tc>
                <w:tcPr/>
                <w:p>
                  <w:pPr>
                    <w:pStyle w:val="Compact"/>
                    <w:jc w:val="center"/>
                  </w:pPr>
                  <w:r>
                    <w:t xml:space="preserve">19</w:t>
                  </w:r>
                </w:p>
              </w:tc>
              <w:tc>
                <w:tcPr/>
                <w:p>
                  <w:pPr>
                    <w:pStyle w:val="Compact"/>
                    <w:jc w:val="center"/>
                  </w:pPr>
                  <w:r>
                    <w:t xml:space="preserve">4.83</w:t>
                  </w:r>
                </w:p>
              </w:tc>
              <w:tc>
                <w:tcPr/>
                <w:p>
                  <w:pPr>
                    <w:pStyle w:val="Compact"/>
                    <w:jc w:val="center"/>
                  </w:pPr>
                  <w:r>
                    <w:t xml:space="preserve">14.7</w:t>
                  </w:r>
                </w:p>
              </w:tc>
              <w:tc>
                <w:tcPr/>
                <w:p>
                  <w:pPr>
                    <w:pStyle w:val="Compact"/>
                    <w:jc w:val="center"/>
                  </w:pPr>
                  <w:r>
                    <w:t xml:space="preserve">5.46</w:t>
                  </w:r>
                </w:p>
              </w:tc>
              <w:tc>
                <w:tcPr/>
                <w:p>
                  <w:pPr>
                    <w:pStyle w:val="Compact"/>
                    <w:jc w:val="center"/>
                  </w:pPr>
                  <w:r>
                    <w:t xml:space="preserve">17.9</w:t>
                  </w:r>
                </w:p>
              </w:tc>
              <w:tc>
                <w:tcPr/>
                <w:p>
                  <w:pPr>
                    <w:pStyle w:val="Compact"/>
                    <w:jc w:val="center"/>
                  </w:pPr>
                  <w:r>
                    <w:t xml:space="preserve">1.48</w:t>
                  </w:r>
                </w:p>
              </w:tc>
            </w:tr>
            <w:tr>
              <w:tc>
                <w:tcPr/>
                <w:p>
                  <w:pPr>
                    <w:pStyle w:val="Compact"/>
                    <w:jc w:val="center"/>
                  </w:pPr>
                  <w:r>
                    <w:t xml:space="preserve">5</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40</w:t>
                  </w:r>
                </w:p>
              </w:tc>
              <w:tc>
                <w:tcPr/>
                <w:p>
                  <w:pPr>
                    <w:pStyle w:val="Compact"/>
                    <w:jc w:val="center"/>
                  </w:pPr>
                  <w:r>
                    <w:t xml:space="preserve">360</w:t>
                  </w:r>
                </w:p>
              </w:tc>
              <w:tc>
                <w:tcPr/>
                <w:p>
                  <w:pPr>
                    <w:pStyle w:val="Compact"/>
                    <w:jc w:val="center"/>
                  </w:pPr>
                  <w:r>
                    <w:t xml:space="preserve">15</w:t>
                  </w:r>
                </w:p>
              </w:tc>
              <w:tc>
                <w:tcPr/>
                <w:p>
                  <w:pPr>
                    <w:pStyle w:val="Compact"/>
                    <w:jc w:val="center"/>
                  </w:pPr>
                  <w:r>
                    <w:t xml:space="preserve">9.72</w:t>
                  </w:r>
                </w:p>
              </w:tc>
              <w:tc>
                <w:tcPr/>
                <w:p>
                  <w:pPr>
                    <w:pStyle w:val="Compact"/>
                    <w:jc w:val="center"/>
                  </w:pPr>
                  <w:r>
                    <w:t xml:space="preserve">41.4</w:t>
                  </w:r>
                </w:p>
              </w:tc>
              <w:tc>
                <w:tcPr/>
                <w:p>
                  <w:pPr>
                    <w:pStyle w:val="Compact"/>
                    <w:jc w:val="center"/>
                  </w:pPr>
                  <w:r>
                    <w:t xml:space="preserve">4.61</w:t>
                  </w:r>
                </w:p>
              </w:tc>
              <w:tc>
                <w:tcPr/>
                <w:p>
                  <w:pPr>
                    <w:pStyle w:val="Compact"/>
                    <w:jc w:val="center"/>
                  </w:pPr>
                  <w:r>
                    <w:t xml:space="preserve">27.0</w:t>
                  </w:r>
                </w:p>
              </w:tc>
              <w:tc>
                <w:tcPr/>
                <w:p>
                  <w:pPr>
                    <w:pStyle w:val="Compact"/>
                    <w:jc w:val="center"/>
                  </w:pPr>
                  <w:r>
                    <w:t xml:space="preserve">0.86</w:t>
                  </w:r>
                </w:p>
              </w:tc>
            </w:tr>
            <w:tr>
              <w:tc>
                <w:tcPr/>
                <w:p>
                  <w:pPr>
                    <w:pStyle w:val="Compact"/>
                    <w:jc w:val="center"/>
                  </w:pPr>
                  <w:r>
                    <w:t xml:space="preserve">6</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40</w:t>
                  </w:r>
                </w:p>
              </w:tc>
              <w:tc>
                <w:tcPr/>
                <w:p>
                  <w:pPr>
                    <w:pStyle w:val="Compact"/>
                    <w:jc w:val="center"/>
                  </w:pPr>
                  <w:r>
                    <w:t xml:space="preserve">440</w:t>
                  </w:r>
                </w:p>
              </w:tc>
              <w:tc>
                <w:tcPr/>
                <w:p>
                  <w:pPr>
                    <w:pStyle w:val="Compact"/>
                    <w:jc w:val="center"/>
                  </w:pPr>
                  <w:r>
                    <w:t xml:space="preserve">19</w:t>
                  </w:r>
                </w:p>
              </w:tc>
              <w:tc>
                <w:tcPr/>
                <w:p>
                  <w:pPr>
                    <w:pStyle w:val="Compact"/>
                    <w:jc w:val="center"/>
                  </w:pPr>
                  <w:r>
                    <w:t xml:space="preserve">4.68</w:t>
                  </w:r>
                </w:p>
              </w:tc>
              <w:tc>
                <w:tcPr/>
                <w:p>
                  <w:pPr>
                    <w:pStyle w:val="Compact"/>
                    <w:jc w:val="center"/>
                  </w:pPr>
                  <w:r>
                    <w:t xml:space="preserve">27.3</w:t>
                  </w:r>
                </w:p>
              </w:tc>
              <w:tc>
                <w:tcPr/>
                <w:p>
                  <w:pPr>
                    <w:pStyle w:val="Compact"/>
                    <w:jc w:val="center"/>
                  </w:pPr>
                  <w:r>
                    <w:t xml:space="preserve">4.68</w:t>
                  </w:r>
                </w:p>
              </w:tc>
              <w:tc>
                <w:tcPr/>
                <w:p>
                  <w:pPr>
                    <w:pStyle w:val="Compact"/>
                    <w:jc w:val="center"/>
                  </w:pPr>
                  <w:r>
                    <w:t xml:space="preserve">27.6</w:t>
                  </w:r>
                </w:p>
              </w:tc>
              <w:tc>
                <w:tcPr/>
                <w:p>
                  <w:pPr>
                    <w:pStyle w:val="Compact"/>
                    <w:jc w:val="center"/>
                  </w:pPr>
                  <w:r>
                    <w:t xml:space="preserve">1.26</w:t>
                  </w:r>
                </w:p>
              </w:tc>
            </w:tr>
            <w:tr>
              <w:tc>
                <w:tcPr/>
                <w:p>
                  <w:pPr>
                    <w:pStyle w:val="Compact"/>
                    <w:jc w:val="center"/>
                  </w:pPr>
                  <w:r>
                    <w:t xml:space="preserve">7</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160</w:t>
                  </w:r>
                </w:p>
              </w:tc>
              <w:tc>
                <w:tcPr/>
                <w:p>
                  <w:pPr>
                    <w:pStyle w:val="Compact"/>
                    <w:jc w:val="center"/>
                  </w:pPr>
                  <w:r>
                    <w:t xml:space="preserve">360</w:t>
                  </w:r>
                </w:p>
              </w:tc>
              <w:tc>
                <w:tcPr/>
                <w:p>
                  <w:pPr>
                    <w:pStyle w:val="Compact"/>
                    <w:jc w:val="center"/>
                  </w:pPr>
                  <w:r>
                    <w:t xml:space="preserve">19</w:t>
                  </w:r>
                </w:p>
              </w:tc>
              <w:tc>
                <w:tcPr/>
                <w:p>
                  <w:pPr>
                    <w:pStyle w:val="Compact"/>
                    <w:jc w:val="center"/>
                  </w:pPr>
                  <w:r>
                    <w:t xml:space="preserve">6.22</w:t>
                  </w:r>
                </w:p>
              </w:tc>
              <w:tc>
                <w:tcPr/>
                <w:p>
                  <w:pPr>
                    <w:pStyle w:val="Compact"/>
                    <w:jc w:val="center"/>
                  </w:pPr>
                  <w:r>
                    <w:t xml:space="preserve">14.5</w:t>
                  </w:r>
                </w:p>
              </w:tc>
              <w:tc>
                <w:tcPr/>
                <w:p>
                  <w:pPr>
                    <w:pStyle w:val="Compact"/>
                    <w:jc w:val="center"/>
                  </w:pPr>
                  <w:r>
                    <w:t xml:space="preserve">4.65</w:t>
                  </w:r>
                </w:p>
              </w:tc>
              <w:tc>
                <w:tcPr/>
                <w:p>
                  <w:pPr>
                    <w:pStyle w:val="Compact"/>
                    <w:jc w:val="center"/>
                  </w:pPr>
                  <w:r>
                    <w:t xml:space="preserve">23.1</w:t>
                  </w:r>
                </w:p>
              </w:tc>
              <w:tc>
                <w:tcPr/>
                <w:p>
                  <w:pPr>
                    <w:pStyle w:val="Compact"/>
                    <w:jc w:val="center"/>
                  </w:pPr>
                  <w:r>
                    <w:t xml:space="preserve">1.48</w:t>
                  </w:r>
                </w:p>
              </w:tc>
            </w:tr>
            <w:tr>
              <w:tc>
                <w:tcPr/>
                <w:p>
                  <w:pPr>
                    <w:pStyle w:val="Compact"/>
                    <w:jc w:val="center"/>
                  </w:pPr>
                  <w:r>
                    <w:t xml:space="preserve">8</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160</w:t>
                  </w:r>
                </w:p>
              </w:tc>
              <w:tc>
                <w:tcPr/>
                <w:p>
                  <w:pPr>
                    <w:pStyle w:val="Compact"/>
                    <w:jc w:val="center"/>
                  </w:pPr>
                  <w:r>
                    <w:t xml:space="preserve">440</w:t>
                  </w:r>
                </w:p>
              </w:tc>
              <w:tc>
                <w:tcPr/>
                <w:p>
                  <w:pPr>
                    <w:pStyle w:val="Compact"/>
                    <w:jc w:val="center"/>
                  </w:pPr>
                  <w:r>
                    <w:t xml:space="preserve">15</w:t>
                  </w:r>
                </w:p>
              </w:tc>
              <w:tc>
                <w:tcPr/>
                <w:p>
                  <w:pPr>
                    <w:pStyle w:val="Compact"/>
                    <w:jc w:val="center"/>
                  </w:pPr>
                  <w:r>
                    <w:t xml:space="preserve">9.83</w:t>
                  </w:r>
                </w:p>
              </w:tc>
              <w:tc>
                <w:tcPr/>
                <w:p>
                  <w:pPr>
                    <w:pStyle w:val="Compact"/>
                    <w:jc w:val="center"/>
                  </w:pPr>
                  <w:r>
                    <w:t xml:space="preserve">31.2</w:t>
                  </w:r>
                </w:p>
              </w:tc>
              <w:tc>
                <w:tcPr/>
                <w:p>
                  <w:pPr>
                    <w:pStyle w:val="Compact"/>
                    <w:jc w:val="center"/>
                  </w:pPr>
                  <w:r>
                    <w:t xml:space="preserve">4.45</w:t>
                  </w:r>
                </w:p>
              </w:tc>
              <w:tc>
                <w:tcPr/>
                <w:p>
                  <w:pPr>
                    <w:pStyle w:val="Compact"/>
                    <w:jc w:val="center"/>
                  </w:pPr>
                  <w:r>
                    <w:t xml:space="preserve">19.3</w:t>
                  </w:r>
                </w:p>
              </w:tc>
              <w:tc>
                <w:tcPr/>
                <w:p>
                  <w:pPr>
                    <w:pStyle w:val="Compact"/>
                    <w:jc w:val="center"/>
                  </w:pPr>
                  <w:r>
                    <w:t xml:space="preserve">0.95</w:t>
                  </w:r>
                </w:p>
              </w:tc>
            </w:tr>
            <w:tr>
              <w:tc>
                <w:tcPr/>
                <w:p>
                  <w:pPr>
                    <w:pStyle w:val="Compact"/>
                    <w:jc w:val="center"/>
                  </w:pPr>
                  <w:r>
                    <w:t xml:space="preserve">9</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40</w:t>
                  </w:r>
                </w:p>
              </w:tc>
              <w:tc>
                <w:tcPr/>
                <w:p>
                  <w:pPr>
                    <w:pStyle w:val="Compact"/>
                    <w:jc w:val="center"/>
                  </w:pPr>
                  <w:r>
                    <w:t xml:space="preserve">360</w:t>
                  </w:r>
                </w:p>
              </w:tc>
              <w:tc>
                <w:tcPr/>
                <w:p>
                  <w:pPr>
                    <w:pStyle w:val="Compact"/>
                    <w:jc w:val="center"/>
                  </w:pPr>
                  <w:r>
                    <w:t xml:space="preserve">15</w:t>
                  </w:r>
                </w:p>
              </w:tc>
              <w:tc>
                <w:tcPr/>
                <w:p>
                  <w:pPr>
                    <w:pStyle w:val="Compact"/>
                    <w:jc w:val="center"/>
                  </w:pPr>
                  <w:r>
                    <w:t xml:space="preserve">9.61</w:t>
                  </w:r>
                </w:p>
              </w:tc>
              <w:tc>
                <w:tcPr/>
                <w:p>
                  <w:pPr>
                    <w:pStyle w:val="Compact"/>
                    <w:jc w:val="center"/>
                  </w:pPr>
                  <w:r>
                    <w:t xml:space="preserve">28.0</w:t>
                  </w:r>
                </w:p>
              </w:tc>
              <w:tc>
                <w:tcPr/>
                <w:p>
                  <w:pPr>
                    <w:pStyle w:val="Compact"/>
                    <w:jc w:val="center"/>
                  </w:pPr>
                  <w:r>
                    <w:t xml:space="preserve">7.77</w:t>
                  </w:r>
                </w:p>
              </w:tc>
              <w:tc>
                <w:tcPr/>
                <w:p>
                  <w:pPr>
                    <w:pStyle w:val="Compact"/>
                    <w:jc w:val="center"/>
                  </w:pPr>
                  <w:r>
                    <w:t xml:space="preserve">24.1</w:t>
                  </w:r>
                </w:p>
              </w:tc>
              <w:tc>
                <w:tcPr/>
                <w:p>
                  <w:pPr>
                    <w:pStyle w:val="Compact"/>
                    <w:jc w:val="center"/>
                  </w:pPr>
                  <w:r>
                    <w:t xml:space="preserve">1.51</w:t>
                  </w:r>
                </w:p>
              </w:tc>
            </w:tr>
            <w:tr>
              <w:tc>
                <w:tcPr/>
                <w:p>
                  <w:pPr>
                    <w:pStyle w:val="Compact"/>
                    <w:jc w:val="center"/>
                  </w:pPr>
                  <w:r>
                    <w:t xml:space="preserve">10</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40</w:t>
                  </w:r>
                </w:p>
              </w:tc>
              <w:tc>
                <w:tcPr/>
                <w:p>
                  <w:pPr>
                    <w:pStyle w:val="Compact"/>
                    <w:jc w:val="center"/>
                  </w:pPr>
                  <w:r>
                    <w:t xml:space="preserve">440</w:t>
                  </w:r>
                </w:p>
              </w:tc>
              <w:tc>
                <w:tcPr/>
                <w:p>
                  <w:pPr>
                    <w:pStyle w:val="Compact"/>
                    <w:jc w:val="center"/>
                  </w:pPr>
                  <w:r>
                    <w:t xml:space="preserve">19</w:t>
                  </w:r>
                </w:p>
              </w:tc>
              <w:tc>
                <w:tcPr/>
                <w:p>
                  <w:pPr>
                    <w:pStyle w:val="Compact"/>
                    <w:jc w:val="center"/>
                  </w:pPr>
                  <w:r>
                    <w:t xml:space="preserve">7.51</w:t>
                  </w:r>
                </w:p>
              </w:tc>
              <w:tc>
                <w:tcPr/>
                <w:p>
                  <w:pPr>
                    <w:pStyle w:val="Compact"/>
                    <w:jc w:val="center"/>
                  </w:pPr>
                  <w:r>
                    <w:t xml:space="preserve">17.0</w:t>
                  </w:r>
                </w:p>
              </w:tc>
              <w:tc>
                <w:tcPr/>
                <w:p>
                  <w:pPr>
                    <w:pStyle w:val="Compact"/>
                    <w:jc w:val="center"/>
                  </w:pPr>
                  <w:r>
                    <w:t xml:space="preserve">7.89</w:t>
                  </w:r>
                </w:p>
              </w:tc>
              <w:tc>
                <w:tcPr/>
                <w:p>
                  <w:pPr>
                    <w:pStyle w:val="Compact"/>
                    <w:jc w:val="center"/>
                  </w:pPr>
                  <w:r>
                    <w:t xml:space="preserve">20.4</w:t>
                  </w:r>
                </w:p>
              </w:tc>
              <w:tc>
                <w:tcPr/>
                <w:p>
                  <w:pPr>
                    <w:pStyle w:val="Compact"/>
                    <w:jc w:val="center"/>
                  </w:pPr>
                  <w:r>
                    <w:t xml:space="preserve">2.26</w:t>
                  </w:r>
                </w:p>
              </w:tc>
            </w:tr>
            <w:tr>
              <w:tc>
                <w:tcPr/>
                <w:p>
                  <w:pPr>
                    <w:pStyle w:val="Compact"/>
                    <w:jc w:val="center"/>
                  </w:pPr>
                  <w:r>
                    <w:t xml:space="preserve">11</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160</w:t>
                  </w:r>
                </w:p>
              </w:tc>
              <w:tc>
                <w:tcPr/>
                <w:p>
                  <w:pPr>
                    <w:pStyle w:val="Compact"/>
                    <w:jc w:val="center"/>
                  </w:pPr>
                  <w:r>
                    <w:t xml:space="preserve">360</w:t>
                  </w:r>
                </w:p>
              </w:tc>
              <w:tc>
                <w:tcPr/>
                <w:p>
                  <w:pPr>
                    <w:pStyle w:val="Compact"/>
                    <w:jc w:val="center"/>
                  </w:pPr>
                  <w:r>
                    <w:t xml:space="preserve">19</w:t>
                  </w:r>
                </w:p>
              </w:tc>
              <w:tc>
                <w:tcPr/>
                <w:p>
                  <w:pPr>
                    <w:pStyle w:val="Compact"/>
                    <w:jc w:val="center"/>
                  </w:pPr>
                  <w:r>
                    <w:t xml:space="preserve">7.13</w:t>
                  </w:r>
                </w:p>
              </w:tc>
              <w:tc>
                <w:tcPr/>
                <w:p>
                  <w:pPr>
                    <w:pStyle w:val="Compact"/>
                    <w:jc w:val="center"/>
                  </w:pPr>
                  <w:r>
                    <w:t xml:space="preserve">19.5</w:t>
                  </w:r>
                </w:p>
              </w:tc>
              <w:tc>
                <w:tcPr/>
                <w:p>
                  <w:pPr>
                    <w:pStyle w:val="Compact"/>
                    <w:jc w:val="center"/>
                  </w:pPr>
                  <w:r>
                    <w:t xml:space="preserve">7.34</w:t>
                  </w:r>
                </w:p>
              </w:tc>
              <w:tc>
                <w:tcPr/>
                <w:p>
                  <w:pPr>
                    <w:pStyle w:val="Compact"/>
                    <w:jc w:val="center"/>
                  </w:pPr>
                  <w:r>
                    <w:t xml:space="preserve">12.6</w:t>
                  </w:r>
                </w:p>
              </w:tc>
              <w:tc>
                <w:tcPr/>
                <w:p>
                  <w:pPr>
                    <w:pStyle w:val="Compact"/>
                    <w:jc w:val="center"/>
                  </w:pPr>
                  <w:r>
                    <w:t xml:space="preserve">2.53</w:t>
                  </w:r>
                </w:p>
              </w:tc>
            </w:tr>
            <w:tr>
              <w:tc>
                <w:tcPr/>
                <w:p>
                  <w:pPr>
                    <w:pStyle w:val="Compact"/>
                    <w:jc w:val="center"/>
                  </w:pPr>
                  <w:r>
                    <w:t xml:space="preserve">12</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160</w:t>
                  </w:r>
                </w:p>
              </w:tc>
              <w:tc>
                <w:tcPr/>
                <w:p>
                  <w:pPr>
                    <w:pStyle w:val="Compact"/>
                    <w:jc w:val="center"/>
                  </w:pPr>
                  <w:r>
                    <w:t xml:space="preserve">440</w:t>
                  </w:r>
                </w:p>
              </w:tc>
              <w:tc>
                <w:tcPr/>
                <w:p>
                  <w:pPr>
                    <w:pStyle w:val="Compact"/>
                    <w:jc w:val="center"/>
                  </w:pPr>
                  <w:r>
                    <w:t xml:space="preserve">15</w:t>
                  </w:r>
                </w:p>
              </w:tc>
              <w:tc>
                <w:tcPr/>
                <w:p>
                  <w:pPr>
                    <w:pStyle w:val="Compact"/>
                    <w:jc w:val="center"/>
                  </w:pPr>
                  <w:r>
                    <w:t xml:space="preserve">5.29</w:t>
                  </w:r>
                </w:p>
              </w:tc>
              <w:tc>
                <w:tcPr/>
                <w:p>
                  <w:pPr>
                    <w:pStyle w:val="Compact"/>
                    <w:jc w:val="center"/>
                  </w:pPr>
                  <w:r>
                    <w:t xml:space="preserve">17.6</w:t>
                  </w:r>
                </w:p>
              </w:tc>
              <w:tc>
                <w:tcPr/>
                <w:p>
                  <w:pPr>
                    <w:pStyle w:val="Compact"/>
                    <w:jc w:val="center"/>
                  </w:pPr>
                  <w:r>
                    <w:t xml:space="preserve">7.01</w:t>
                  </w:r>
                </w:p>
              </w:tc>
              <w:tc>
                <w:tcPr/>
                <w:p>
                  <w:pPr>
                    <w:pStyle w:val="Compact"/>
                    <w:jc w:val="center"/>
                  </w:pPr>
                  <w:r>
                    <w:t xml:space="preserve">11.3</w:t>
                  </w:r>
                </w:p>
              </w:tc>
              <w:tc>
                <w:tcPr/>
                <w:p>
                  <w:pPr>
                    <w:pStyle w:val="Compact"/>
                    <w:jc w:val="center"/>
                  </w:pPr>
                  <w:r>
                    <w:t xml:space="preserve">1.61</w:t>
                  </w:r>
                </w:p>
              </w:tc>
            </w:tr>
            <w:tr>
              <w:tc>
                <w:tcPr/>
                <w:p>
                  <w:pPr>
                    <w:pStyle w:val="Compact"/>
                    <w:jc w:val="center"/>
                  </w:pPr>
                  <w:r>
                    <w:t xml:space="preserve">13</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40</w:t>
                  </w:r>
                </w:p>
              </w:tc>
              <w:tc>
                <w:tcPr/>
                <w:p>
                  <w:pPr>
                    <w:pStyle w:val="Compact"/>
                    <w:jc w:val="center"/>
                  </w:pPr>
                  <w:r>
                    <w:t xml:space="preserve">360</w:t>
                  </w:r>
                </w:p>
              </w:tc>
              <w:tc>
                <w:tcPr/>
                <w:p>
                  <w:pPr>
                    <w:pStyle w:val="Compact"/>
                    <w:jc w:val="center"/>
                  </w:pPr>
                  <w:r>
                    <w:t xml:space="preserve">19</w:t>
                  </w:r>
                </w:p>
              </w:tc>
              <w:tc>
                <w:tcPr/>
                <w:p>
                  <w:pPr>
                    <w:pStyle w:val="Compact"/>
                    <w:jc w:val="center"/>
                  </w:pPr>
                  <w:r>
                    <w:t xml:space="preserve">6.74</w:t>
                  </w:r>
                </w:p>
              </w:tc>
              <w:tc>
                <w:tcPr/>
                <w:p>
                  <w:pPr>
                    <w:pStyle w:val="Compact"/>
                    <w:jc w:val="center"/>
                  </w:pPr>
                  <w:r>
                    <w:t xml:space="preserve">28.3</w:t>
                  </w:r>
                </w:p>
              </w:tc>
              <w:tc>
                <w:tcPr/>
                <w:p>
                  <w:pPr>
                    <w:pStyle w:val="Compact"/>
                    <w:jc w:val="center"/>
                  </w:pPr>
                  <w:r>
                    <w:t xml:space="preserve">6.43</w:t>
                  </w:r>
                </w:p>
              </w:tc>
              <w:tc>
                <w:tcPr/>
                <w:p>
                  <w:pPr>
                    <w:pStyle w:val="Compact"/>
                    <w:jc w:val="center"/>
                  </w:pPr>
                  <w:r>
                    <w:t xml:space="preserve">29.6</w:t>
                  </w:r>
                </w:p>
              </w:tc>
              <w:tc>
                <w:tcPr/>
                <w:p>
                  <w:pPr>
                    <w:pStyle w:val="Compact"/>
                    <w:jc w:val="center"/>
                  </w:pPr>
                  <w:r>
                    <w:t xml:space="preserve">2.18</w:t>
                  </w:r>
                </w:p>
              </w:tc>
            </w:tr>
            <w:tr>
              <w:tc>
                <w:tcPr/>
                <w:p>
                  <w:pPr>
                    <w:pStyle w:val="Compact"/>
                    <w:jc w:val="center"/>
                  </w:pPr>
                  <w:r>
                    <w:t xml:space="preserve">14</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40</w:t>
                  </w:r>
                </w:p>
              </w:tc>
              <w:tc>
                <w:tcPr/>
                <w:p>
                  <w:pPr>
                    <w:pStyle w:val="Compact"/>
                    <w:jc w:val="center"/>
                  </w:pPr>
                  <w:r>
                    <w:t xml:space="preserve">440</w:t>
                  </w:r>
                </w:p>
              </w:tc>
              <w:tc>
                <w:tcPr/>
                <w:p>
                  <w:pPr>
                    <w:pStyle w:val="Compact"/>
                    <w:jc w:val="center"/>
                  </w:pPr>
                  <w:r>
                    <w:t xml:space="preserve">15</w:t>
                  </w:r>
                </w:p>
              </w:tc>
              <w:tc>
                <w:tcPr/>
                <w:p>
                  <w:pPr>
                    <w:pStyle w:val="Compact"/>
                    <w:jc w:val="center"/>
                  </w:pPr>
                  <w:r>
                    <w:t xml:space="preserve">5.40</w:t>
                  </w:r>
                </w:p>
              </w:tc>
              <w:tc>
                <w:tcPr/>
                <w:p>
                  <w:pPr>
                    <w:pStyle w:val="Compact"/>
                    <w:jc w:val="center"/>
                  </w:pPr>
                  <w:r>
                    <w:t xml:space="preserve">26.7</w:t>
                  </w:r>
                </w:p>
              </w:tc>
              <w:tc>
                <w:tcPr/>
                <w:p>
                  <w:pPr>
                    <w:pStyle w:val="Compact"/>
                    <w:jc w:val="center"/>
                  </w:pPr>
                  <w:r>
                    <w:t xml:space="preserve">5.94</w:t>
                  </w:r>
                </w:p>
              </w:tc>
              <w:tc>
                <w:tcPr/>
                <w:p>
                  <w:pPr>
                    <w:pStyle w:val="Compact"/>
                    <w:jc w:val="center"/>
                  </w:pPr>
                  <w:r>
                    <w:t xml:space="preserve">24.4</w:t>
                  </w:r>
                </w:p>
              </w:tc>
              <w:tc>
                <w:tcPr/>
                <w:p>
                  <w:pPr>
                    <w:pStyle w:val="Compact"/>
                    <w:jc w:val="center"/>
                  </w:pPr>
                  <w:r>
                    <w:t xml:space="preserve">1.62</w:t>
                  </w:r>
                </w:p>
              </w:tc>
            </w:tr>
            <w:tr>
              <w:tc>
                <w:tcPr/>
                <w:p>
                  <w:pPr>
                    <w:pStyle w:val="Compact"/>
                    <w:jc w:val="center"/>
                  </w:pPr>
                  <w:r>
                    <w:t xml:space="preserve">15</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160</w:t>
                  </w:r>
                </w:p>
              </w:tc>
              <w:tc>
                <w:tcPr/>
                <w:p>
                  <w:pPr>
                    <w:pStyle w:val="Compact"/>
                    <w:jc w:val="center"/>
                  </w:pPr>
                  <w:r>
                    <w:t xml:space="preserve">360</w:t>
                  </w:r>
                </w:p>
              </w:tc>
              <w:tc>
                <w:tcPr/>
                <w:p>
                  <w:pPr>
                    <w:pStyle w:val="Compact"/>
                    <w:jc w:val="center"/>
                  </w:pPr>
                  <w:r>
                    <w:t xml:space="preserve">15</w:t>
                  </w:r>
                </w:p>
              </w:tc>
              <w:tc>
                <w:tcPr/>
                <w:p>
                  <w:pPr>
                    <w:pStyle w:val="Compact"/>
                    <w:jc w:val="center"/>
                  </w:pPr>
                  <w:r>
                    <w:t xml:space="preserve">3.82</w:t>
                  </w:r>
                </w:p>
              </w:tc>
              <w:tc>
                <w:tcPr/>
                <w:p>
                  <w:pPr>
                    <w:pStyle w:val="Compact"/>
                    <w:jc w:val="center"/>
                  </w:pPr>
                  <w:r>
                    <w:t xml:space="preserve">25.2</w:t>
                  </w:r>
                </w:p>
              </w:tc>
              <w:tc>
                <w:tcPr/>
                <w:p>
                  <w:pPr>
                    <w:pStyle w:val="Compact"/>
                    <w:jc w:val="center"/>
                  </w:pPr>
                  <w:r>
                    <w:t xml:space="preserve">6.10</w:t>
                  </w:r>
                </w:p>
              </w:tc>
              <w:tc>
                <w:tcPr/>
                <w:p>
                  <w:pPr>
                    <w:pStyle w:val="Compact"/>
                    <w:jc w:val="center"/>
                  </w:pPr>
                  <w:r>
                    <w:t xml:space="preserve">18.4</w:t>
                  </w:r>
                </w:p>
              </w:tc>
              <w:tc>
                <w:tcPr/>
                <w:p>
                  <w:pPr>
                    <w:pStyle w:val="Compact"/>
                    <w:jc w:val="center"/>
                  </w:pPr>
                  <w:r>
                    <w:t xml:space="preserve">1.80</w:t>
                  </w:r>
                </w:p>
              </w:tc>
            </w:tr>
            <w:tr>
              <w:tc>
                <w:tcPr/>
                <w:p>
                  <w:pPr>
                    <w:pStyle w:val="Compact"/>
                    <w:jc w:val="center"/>
                  </w:pPr>
                  <w:r>
                    <w:t xml:space="preserve">16</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160</w:t>
                  </w:r>
                </w:p>
              </w:tc>
              <w:tc>
                <w:tcPr/>
                <w:p>
                  <w:pPr>
                    <w:pStyle w:val="Compact"/>
                    <w:jc w:val="center"/>
                  </w:pPr>
                  <w:r>
                    <w:t xml:space="preserve">440</w:t>
                  </w:r>
                </w:p>
              </w:tc>
              <w:tc>
                <w:tcPr/>
                <w:p>
                  <w:pPr>
                    <w:pStyle w:val="Compact"/>
                    <w:jc w:val="center"/>
                  </w:pPr>
                  <w:r>
                    <w:t xml:space="preserve">19</w:t>
                  </w:r>
                </w:p>
              </w:tc>
              <w:tc>
                <w:tcPr/>
                <w:p>
                  <w:pPr>
                    <w:pStyle w:val="Compact"/>
                    <w:jc w:val="center"/>
                  </w:pPr>
                  <w:r>
                    <w:t xml:space="preserve">3.08</w:t>
                  </w:r>
                </w:p>
              </w:tc>
              <w:tc>
                <w:tcPr/>
                <w:p>
                  <w:pPr>
                    <w:pStyle w:val="Compact"/>
                    <w:jc w:val="center"/>
                  </w:pPr>
                  <w:r>
                    <w:t xml:space="preserve">29.1</w:t>
                  </w:r>
                </w:p>
              </w:tc>
              <w:tc>
                <w:tcPr/>
                <w:p>
                  <w:pPr>
                    <w:pStyle w:val="Compact"/>
                    <w:jc w:val="center"/>
                  </w:pPr>
                  <w:r>
                    <w:t xml:space="preserve">6.15</w:t>
                  </w:r>
                </w:p>
              </w:tc>
              <w:tc>
                <w:tcPr/>
                <w:p>
                  <w:pPr>
                    <w:pStyle w:val="Compact"/>
                    <w:jc w:val="center"/>
                  </w:pPr>
                  <w:r>
                    <w:t xml:space="preserve">15.8</w:t>
                  </w:r>
                </w:p>
              </w:tc>
              <w:tc>
                <w:tcPr/>
                <w:p>
                  <w:pPr>
                    <w:pStyle w:val="Compact"/>
                    <w:jc w:val="center"/>
                  </w:pPr>
                  <w:r>
                    <w:t xml:space="preserve">2.05</w:t>
                  </w:r>
                </w:p>
              </w:tc>
            </w:tr>
            <w:tr>
              <w:tc>
                <w:tcPr/>
                <w:p>
                  <w:pPr>
                    <w:pStyle w:val="Compact"/>
                    <w:jc w:val="center"/>
                  </w:pPr>
                  <w:r>
                    <w:t xml:space="preserve">17</w:t>
                  </w:r>
                </w:p>
              </w:tc>
              <w:tc>
                <w:tcPr>
                  <w:vMerge w:val="restart"/>
                </w:tcPr>
                <w:p>
                  <w:pPr>
                    <w:pStyle w:val="Compact"/>
                    <w:jc w:val="center"/>
                  </w:pPr>
                  <w:r>
                    <w:t xml:space="preserve">center</w:t>
                  </w: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100</w:t>
                  </w:r>
                </w:p>
              </w:tc>
              <w:tc>
                <w:tcPr/>
                <w:p>
                  <w:pPr>
                    <w:pStyle w:val="Compact"/>
                    <w:jc w:val="center"/>
                  </w:pPr>
                  <w:r>
                    <w:t xml:space="preserve">400</w:t>
                  </w:r>
                </w:p>
              </w:tc>
              <w:tc>
                <w:tcPr/>
                <w:p>
                  <w:pPr>
                    <w:pStyle w:val="Compact"/>
                    <w:jc w:val="center"/>
                  </w:pPr>
                  <w:r>
                    <w:t xml:space="preserve">17</w:t>
                  </w:r>
                </w:p>
              </w:tc>
              <w:tc>
                <w:tcPr/>
                <w:p>
                  <w:pPr>
                    <w:pStyle w:val="Compact"/>
                    <w:jc w:val="center"/>
                  </w:pPr>
                  <w:r>
                    <w:t xml:space="preserve">7.80</w:t>
                  </w:r>
                </w:p>
              </w:tc>
              <w:tc>
                <w:tcPr/>
                <w:p>
                  <w:pPr>
                    <w:pStyle w:val="Compact"/>
                    <w:jc w:val="center"/>
                  </w:pPr>
                  <w:r>
                    <w:t xml:space="preserve">26.4</w:t>
                  </w:r>
                </w:p>
              </w:tc>
              <w:tc>
                <w:tcPr/>
                <w:p>
                  <w:pPr>
                    <w:pStyle w:val="Compact"/>
                    <w:jc w:val="center"/>
                  </w:pPr>
                  <w:r>
                    <w:t xml:space="preserve">5.88</w:t>
                  </w:r>
                </w:p>
              </w:tc>
              <w:tc>
                <w:tcPr/>
                <w:p>
                  <w:pPr>
                    <w:pStyle w:val="Compact"/>
                    <w:jc w:val="center"/>
                  </w:pPr>
                  <w:r>
                    <w:t xml:space="preserve">21.9</w:t>
                  </w:r>
                </w:p>
              </w:tc>
              <w:tc>
                <w:tcPr/>
                <w:p>
                  <w:pPr>
                    <w:pStyle w:val="Compact"/>
                    <w:jc w:val="center"/>
                  </w:pPr>
                  <w:r>
                    <w:t xml:space="preserve">1.64</w:t>
                  </w:r>
                </w:p>
              </w:tc>
            </w:tr>
            <w:tr>
              <w:tc>
                <w:tcPr/>
                <w:p>
                  <w:pPr>
                    <w:pStyle w:val="Compact"/>
                    <w:jc w:val="center"/>
                  </w:pPr>
                  <w:r>
                    <w:t xml:space="preserve">18</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100</w:t>
                  </w:r>
                </w:p>
              </w:tc>
              <w:tc>
                <w:tcPr/>
                <w:p>
                  <w:pPr>
                    <w:pStyle w:val="Compact"/>
                    <w:jc w:val="center"/>
                  </w:pPr>
                  <w:r>
                    <w:t xml:space="preserve">400</w:t>
                  </w:r>
                </w:p>
              </w:tc>
              <w:tc>
                <w:tcPr/>
                <w:p>
                  <w:pPr>
                    <w:pStyle w:val="Compact"/>
                    <w:jc w:val="center"/>
                  </w:pPr>
                  <w:r>
                    <w:t xml:space="preserve">17</w:t>
                  </w:r>
                </w:p>
              </w:tc>
              <w:tc>
                <w:tcPr/>
                <w:p>
                  <w:pPr>
                    <w:pStyle w:val="Compact"/>
                    <w:jc w:val="center"/>
                  </w:pPr>
                  <w:r>
                    <w:t xml:space="preserve">7.51</w:t>
                  </w:r>
                </w:p>
              </w:tc>
              <w:tc>
                <w:tcPr/>
                <w:p>
                  <w:pPr>
                    <w:pStyle w:val="Compact"/>
                    <w:jc w:val="center"/>
                  </w:pPr>
                  <w:r>
                    <w:t xml:space="preserve">27.4</w:t>
                  </w:r>
                </w:p>
              </w:tc>
              <w:tc>
                <w:tcPr/>
                <w:p>
                  <w:pPr>
                    <w:pStyle w:val="Compact"/>
                    <w:jc w:val="center"/>
                  </w:pPr>
                  <w:r>
                    <w:t xml:space="preserve">5.84</w:t>
                  </w:r>
                </w:p>
              </w:tc>
              <w:tc>
                <w:tcPr/>
                <w:p>
                  <w:pPr>
                    <w:pStyle w:val="Compact"/>
                    <w:jc w:val="center"/>
                  </w:pPr>
                  <w:r>
                    <w:t xml:space="preserve">20.0</w:t>
                  </w:r>
                </w:p>
              </w:tc>
              <w:tc>
                <w:tcPr/>
                <w:p>
                  <w:pPr>
                    <w:pStyle w:val="Compact"/>
                    <w:jc w:val="center"/>
                  </w:pPr>
                  <w:r>
                    <w:t xml:space="preserve">1.63</w:t>
                  </w:r>
                </w:p>
              </w:tc>
            </w:tr>
            <w:tr>
              <w:tc>
                <w:tcPr/>
                <w:p>
                  <w:pPr>
                    <w:pStyle w:val="Compact"/>
                    <w:jc w:val="center"/>
                  </w:pPr>
                  <w:r>
                    <w:t xml:space="preserve">19</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100</w:t>
                  </w:r>
                </w:p>
              </w:tc>
              <w:tc>
                <w:tcPr/>
                <w:p>
                  <w:pPr>
                    <w:pStyle w:val="Compact"/>
                    <w:jc w:val="center"/>
                  </w:pPr>
                  <w:r>
                    <w:t xml:space="preserve">400</w:t>
                  </w:r>
                </w:p>
              </w:tc>
              <w:tc>
                <w:tcPr/>
                <w:p>
                  <w:pPr>
                    <w:pStyle w:val="Compact"/>
                    <w:jc w:val="center"/>
                  </w:pPr>
                  <w:r>
                    <w:t xml:space="preserve">17</w:t>
                  </w:r>
                </w:p>
              </w:tc>
              <w:tc>
                <w:tcPr/>
                <w:p>
                  <w:pPr>
                    <w:pStyle w:val="Compact"/>
                    <w:jc w:val="center"/>
                  </w:pPr>
                  <w:r>
                    <w:t xml:space="preserve">8.48</w:t>
                  </w:r>
                </w:p>
              </w:tc>
              <w:tc>
                <w:tcPr/>
                <w:p>
                  <w:pPr>
                    <w:pStyle w:val="Compact"/>
                    <w:jc w:val="center"/>
                  </w:pPr>
                  <w:r>
                    <w:t xml:space="preserve">27.0</w:t>
                  </w:r>
                </w:p>
              </w:tc>
              <w:tc>
                <w:tcPr/>
                <w:p>
                  <w:pPr>
                    <w:pStyle w:val="Compact"/>
                    <w:jc w:val="center"/>
                  </w:pPr>
                  <w:r>
                    <w:t xml:space="preserve">7.11</w:t>
                  </w:r>
                </w:p>
              </w:tc>
              <w:tc>
                <w:tcPr/>
                <w:p>
                  <w:pPr>
                    <w:pStyle w:val="Compact"/>
                    <w:jc w:val="center"/>
                  </w:pPr>
                  <w:r>
                    <w:t xml:space="preserve">21.8</w:t>
                  </w:r>
                </w:p>
              </w:tc>
              <w:tc>
                <w:tcPr/>
                <w:p>
                  <w:pPr>
                    <w:pStyle w:val="Compact"/>
                    <w:jc w:val="center"/>
                  </w:pPr>
                  <w:r>
                    <w:t xml:space="preserve">1.50</w:t>
                  </w:r>
                </w:p>
              </w:tc>
            </w:tr>
            <w:tr>
              <w:tc>
                <w:tcPr>
                  <w:gridSpan w:val="12"/>
                </w:tcPr>
                <w:p>
                  <w:pPr>
                    <w:pStyle w:val="Compact"/>
                    <w:jc w:val="center"/>
                  </w:pPr>
                  <w:r>
                    <w:rPr>
                      <w:vertAlign w:val="superscript"/>
                    </w:rPr>
                    <w:t xml:space="preserve">a)</w:t>
                  </w:r>
                  <w:r>
                    <w:t xml:space="preserve"> </w:t>
                  </w:r>
                  <w:r>
                    <w:t xml:space="preserve">DEV-003-01: pCO2 probe read high against the offline reference during screening run 4. Run retained, and analysed at the recorded CO2 partial pressure (pCO2) of 153.5 mmHg in Version 2.0.</w:t>
                  </w:r>
                </w:p>
              </w:tc>
            </w:tr>
            <w:tr>
              <w:tc>
                <w:tcPr>
                  <w:gridSpan w:val="12"/>
                </w:tcPr>
                <w:p>
                  <w:pPr>
                    <w:pStyle w:val="Compact"/>
                    <w:jc w:val="center"/>
                  </w:pPr>
                  <w:r>
                    <w:t xml:space="preserve">Factors: A, culture pH. B, culture temperature. C, CO2 partial pressure (pCO2). D, osmolality. E, culture duration.</w:t>
                  </w:r>
                </w:p>
              </w:tc>
            </w:tr>
          </w:tbl>
          <w:bookmarkEnd w:id="160"/>
          <w:p/>
        </w:tc>
      </w:tr>
    </w:tbl>
    <w:bookmarkEnd w:id="161"/>
    <w:bookmarkStart w:id="164" w:name="sec-app-b"/>
    <w:p>
      <w:pPr>
        <w:pStyle w:val="Heading1"/>
      </w:pPr>
      <w:r>
        <w:t xml:space="preserve">Appendix B. Response-surface design matrix and responses</w:t>
      </w:r>
    </w:p>
    <w:p>
      <w:pPr>
        <w:pStyle w:val="FirstParagraph"/>
      </w:pPr>
      <w:hyperlink w:anchor="tbl-doe-bioreactor-rsm">
        <w:r>
          <w:rPr>
            <w:rStyle w:val="Hyperlink"/>
          </w:rPr>
          <w:t xml:space="preserve">Table 29</w:t>
        </w:r>
      </w:hyperlink>
      <w:r>
        <w:t xml:space="preserve"> </w:t>
      </w:r>
      <w:r>
        <w:t xml:space="preserve">gives the settings and the results of the 28 planned runs of the response-surface study S-BRX-RSM, and</w:t>
      </w:r>
      <w:r>
        <w:t xml:space="preserve"> </w:t>
      </w:r>
      <w:hyperlink w:anchor="tbl-doe-bioreactor-aug">
        <w:r>
          <w:rPr>
            <w:rStyle w:val="Hyperlink"/>
          </w:rPr>
          <w:t xml:space="preserve">Table 30</w:t>
        </w:r>
      </w:hyperlink>
      <w:r>
        <w:t xml:space="preserve"> </w:t>
      </w:r>
      <w:r>
        <w:t xml:space="preserve">those of the 16 runs of the augmentation S-BRX-AUG, as measured in the scale-down model.</w:t>
      </w:r>
    </w:p>
    <w:tbl>
      <w:tblPr>
        <w:tblStyle w:val="Table"/>
        <w:tblW w:type="pct" w:w="5000"/>
        <w:tblLayout w:type="fixed"/>
        <w:tblLook w:firstRow="0" w:lastRow="0" w:firstColumn="0" w:lastColumn="0" w:noHBand="0" w:noVBand="0" w:val="0000"/>
      </w:tblPr>
      <w:tblGrid>
        <w:gridCol w:w="7920"/>
      </w:tblGrid>
      <w:tr>
        <w:tc>
          <w:tcPr/>
          <w:bookmarkStart w:id="162" w:name="tbl-doe-bioreactor-rsm"/>
          <w:p>
            <w:pPr>
              <w:jc w:val="center"/>
            </w:pPr>
            <w:pPr>
              <w:jc w:val="start"/>
              <w:spacing w:before="200"/>
              <w:pStyle w:val="ImageCaption"/>
            </w:pPr>
            <w:r>
              <w:t xml:space="preserve">Table 29: Production bioreactor response-surface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5"/>
                </w:tcPr>
                <w:p>
                  <w:pPr>
                    <w:pStyle w:val="Compact"/>
                    <w:jc w:val="center"/>
                  </w:pPr>
                  <w:r>
                    <w:t xml:space="preserve">Responses</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E</w:t>
                  </w:r>
                </w:p>
              </w:tc>
              <w:tc>
                <w:tcPr/>
                <w:p>
                  <w:pPr>
                    <w:pStyle w:val="Compact"/>
                    <w:jc w:val="center"/>
                  </w:pPr>
                  <w:r>
                    <w:t xml:space="preserve">C</w:t>
                  </w:r>
                </w:p>
              </w:tc>
              <w:tc>
                <w:tcPr/>
                <w:p>
                  <w:pPr>
                    <w:pStyle w:val="Compact"/>
                    <w:jc w:val="center"/>
                  </w:pPr>
                  <w:r>
                    <w:t xml:space="preserve">Afuc.</w:t>
                  </w:r>
                </w:p>
              </w:tc>
              <w:tc>
                <w:tcPr/>
                <w:p>
                  <w:pPr>
                    <w:pStyle w:val="Compact"/>
                    <w:jc w:val="center"/>
                  </w:pPr>
                  <w:r>
                    <w:t xml:space="preserve">Gal.</w:t>
                  </w:r>
                </w:p>
              </w:tc>
              <w:tc>
                <w:tcPr/>
                <w:p>
                  <w:pPr>
                    <w:pStyle w:val="Compact"/>
                    <w:jc w:val="center"/>
                  </w:pPr>
                  <w:r>
                    <w:t xml:space="preserve">High mannose</w:t>
                  </w:r>
                </w:p>
              </w:tc>
              <w:tc>
                <w:tcPr/>
                <w:p>
                  <w:pPr>
                    <w:pStyle w:val="Compact"/>
                    <w:jc w:val="center"/>
                  </w:pPr>
                  <w:r>
                    <w:t xml:space="preserve">Acidic</w:t>
                  </w:r>
                </w:p>
              </w:tc>
              <w:tc>
                <w:tcPr/>
                <w:p>
                  <w:pPr>
                    <w:pStyle w:val="Compact"/>
                    <w:jc w:val="center"/>
                  </w:pPr>
                  <w:r>
                    <w:t xml:space="preserve">HMW</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°C</w:t>
                  </w:r>
                </w:p>
              </w:tc>
              <w:tc>
                <w:tcPr/>
                <w:p>
                  <w:pPr>
                    <w:pStyle w:val="Compact"/>
                    <w:jc w:val="center"/>
                  </w:pPr>
                  <w:r>
                    <w:t xml:space="preserve">days</w:t>
                  </w:r>
                </w:p>
              </w:tc>
              <w:tc>
                <w:tcPr/>
                <w:p>
                  <w:pPr>
                    <w:pStyle w:val="Compact"/>
                    <w:jc w:val="center"/>
                  </w:pPr>
                  <w:r>
                    <w:t xml:space="preserve">mmHg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9.43</w:t>
                  </w:r>
                </w:p>
              </w:tc>
              <w:tc>
                <w:tcPr/>
                <w:p>
                  <w:pPr>
                    <w:pStyle w:val="Compact"/>
                    <w:jc w:val="center"/>
                  </w:pPr>
                  <w:r>
                    <w:t xml:space="preserve">38.8</w:t>
                  </w:r>
                </w:p>
              </w:tc>
              <w:tc>
                <w:tcPr/>
                <w:p>
                  <w:pPr>
                    <w:pStyle w:val="Compact"/>
                    <w:jc w:val="center"/>
                  </w:pPr>
                  <w:r>
                    <w:t xml:space="preserve">5.44</w:t>
                  </w:r>
                </w:p>
              </w:tc>
              <w:tc>
                <w:tcPr/>
                <w:p>
                  <w:pPr>
                    <w:pStyle w:val="Compact"/>
                    <w:jc w:val="center"/>
                  </w:pPr>
                  <w:r>
                    <w:t xml:space="preserve">29.8</w:t>
                  </w:r>
                </w:p>
              </w:tc>
              <w:tc>
                <w:tcPr/>
                <w:p>
                  <w:pPr>
                    <w:pStyle w:val="Compact"/>
                    <w:jc w:val="center"/>
                  </w:pPr>
                  <w:r>
                    <w:t xml:space="preserve">0.83</w:t>
                  </w:r>
                </w:p>
              </w:tc>
            </w:tr>
            <w:tr>
              <w:tc>
                <w:tcPr/>
                <w:p>
                  <w:pPr>
                    <w:pStyle w:val="Compact"/>
                    <w:jc w:val="center"/>
                  </w:pPr>
                  <w:r>
                    <w:t xml:space="preserve">2</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11.8</w:t>
                  </w:r>
                </w:p>
              </w:tc>
              <w:tc>
                <w:tcPr/>
                <w:p>
                  <w:pPr>
                    <w:pStyle w:val="Compact"/>
                    <w:jc w:val="center"/>
                  </w:pPr>
                  <w:r>
                    <w:t xml:space="preserve">29.0</w:t>
                  </w:r>
                </w:p>
              </w:tc>
              <w:tc>
                <w:tcPr/>
                <w:p>
                  <w:pPr>
                    <w:pStyle w:val="Compact"/>
                    <w:jc w:val="center"/>
                  </w:pPr>
                  <w:r>
                    <w:t xml:space="preserve">5.55</w:t>
                  </w:r>
                </w:p>
              </w:tc>
              <w:tc>
                <w:tcPr/>
                <w:p>
                  <w:pPr>
                    <w:pStyle w:val="Compact"/>
                    <w:jc w:val="center"/>
                  </w:pPr>
                  <w:r>
                    <w:t xml:space="preserve">17.6</w:t>
                  </w:r>
                </w:p>
              </w:tc>
              <w:tc>
                <w:tcPr/>
                <w:p>
                  <w:pPr>
                    <w:pStyle w:val="Compact"/>
                    <w:jc w:val="center"/>
                  </w:pPr>
                  <w:r>
                    <w:t xml:space="preserve">0.79</w:t>
                  </w:r>
                </w:p>
              </w:tc>
            </w:tr>
            <w:tr>
              <w:tc>
                <w:tcPr/>
                <w:p>
                  <w:pPr>
                    <w:pStyle w:val="Compact"/>
                    <w:jc w:val="center"/>
                  </w:pPr>
                  <w:r>
                    <w:t xml:space="preserve">3</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4.50</w:t>
                  </w:r>
                </w:p>
              </w:tc>
              <w:tc>
                <w:tcPr/>
                <w:p>
                  <w:pPr>
                    <w:pStyle w:val="Compact"/>
                    <w:jc w:val="center"/>
                  </w:pPr>
                  <w:r>
                    <w:t xml:space="preserve">25.9</w:t>
                  </w:r>
                </w:p>
              </w:tc>
              <w:tc>
                <w:tcPr/>
                <w:p>
                  <w:pPr>
                    <w:pStyle w:val="Compact"/>
                    <w:jc w:val="center"/>
                  </w:pPr>
                  <w:r>
                    <w:t xml:space="preserve">5.65</w:t>
                  </w:r>
                </w:p>
              </w:tc>
              <w:tc>
                <w:tcPr/>
                <w:p>
                  <w:pPr>
                    <w:pStyle w:val="Compact"/>
                    <w:jc w:val="center"/>
                  </w:pPr>
                  <w:r>
                    <w:t xml:space="preserve">25.1</w:t>
                  </w:r>
                </w:p>
              </w:tc>
              <w:tc>
                <w:tcPr/>
                <w:p>
                  <w:pPr>
                    <w:pStyle w:val="Compact"/>
                    <w:jc w:val="center"/>
                  </w:pPr>
                  <w:r>
                    <w:t xml:space="preserve">1.33</w:t>
                  </w:r>
                </w:p>
              </w:tc>
            </w:tr>
            <w:tr>
              <w:tc>
                <w:tcPr/>
                <w:p>
                  <w:pPr>
                    <w:pStyle w:val="Compact"/>
                    <w:jc w:val="center"/>
                  </w:pPr>
                  <w:r>
                    <w:t xml:space="preserve">4</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5.38</w:t>
                  </w:r>
                </w:p>
              </w:tc>
              <w:tc>
                <w:tcPr/>
                <w:p>
                  <w:pPr>
                    <w:pStyle w:val="Compact"/>
                    <w:jc w:val="center"/>
                  </w:pPr>
                  <w:r>
                    <w:t xml:space="preserve">16.6</w:t>
                  </w:r>
                </w:p>
              </w:tc>
              <w:tc>
                <w:tcPr/>
                <w:p>
                  <w:pPr>
                    <w:pStyle w:val="Compact"/>
                    <w:jc w:val="center"/>
                  </w:pPr>
                  <w:r>
                    <w:t xml:space="preserve">5.38</w:t>
                  </w:r>
                </w:p>
              </w:tc>
              <w:tc>
                <w:tcPr/>
                <w:p>
                  <w:pPr>
                    <w:pStyle w:val="Compact"/>
                    <w:jc w:val="center"/>
                  </w:pPr>
                  <w:r>
                    <w:t xml:space="preserve">20.0</w:t>
                  </w:r>
                </w:p>
              </w:tc>
              <w:tc>
                <w:tcPr/>
                <w:p>
                  <w:pPr>
                    <w:pStyle w:val="Compact"/>
                    <w:jc w:val="center"/>
                  </w:pPr>
                  <w:r>
                    <w:t xml:space="preserve">1.37</w:t>
                  </w:r>
                </w:p>
              </w:tc>
            </w:tr>
            <w:tr>
              <w:tc>
                <w:tcPr/>
                <w:p>
                  <w:pPr>
                    <w:pStyle w:val="Compact"/>
                    <w:jc w:val="center"/>
                  </w:pPr>
                  <w:r>
                    <w:t xml:space="preserve">5</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10.4</w:t>
                  </w:r>
                </w:p>
              </w:tc>
              <w:tc>
                <w:tcPr/>
                <w:p>
                  <w:pPr>
                    <w:pStyle w:val="Compact"/>
                    <w:jc w:val="center"/>
                  </w:pPr>
                  <w:r>
                    <w:t xml:space="preserve">40.5</w:t>
                  </w:r>
                </w:p>
              </w:tc>
              <w:tc>
                <w:tcPr/>
                <w:p>
                  <w:pPr>
                    <w:pStyle w:val="Compact"/>
                    <w:jc w:val="center"/>
                  </w:pPr>
                  <w:r>
                    <w:t xml:space="preserve">4.23</w:t>
                  </w:r>
                </w:p>
              </w:tc>
              <w:tc>
                <w:tcPr/>
                <w:p>
                  <w:pPr>
                    <w:pStyle w:val="Compact"/>
                    <w:jc w:val="center"/>
                  </w:pPr>
                  <w:r>
                    <w:t xml:space="preserve">25.6</w:t>
                  </w:r>
                </w:p>
              </w:tc>
              <w:tc>
                <w:tcPr/>
                <w:p>
                  <w:pPr>
                    <w:pStyle w:val="Compact"/>
                    <w:jc w:val="center"/>
                  </w:pPr>
                  <w:r>
                    <w:t xml:space="preserve">0.80</w:t>
                  </w:r>
                </w:p>
              </w:tc>
            </w:tr>
            <w:tr>
              <w:tc>
                <w:tcPr/>
                <w:p>
                  <w:pPr>
                    <w:pStyle w:val="Compact"/>
                    <w:jc w:val="center"/>
                  </w:pPr>
                  <w:r>
                    <w:t xml:space="preserve">6</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10.1</w:t>
                  </w:r>
                </w:p>
              </w:tc>
              <w:tc>
                <w:tcPr/>
                <w:p>
                  <w:pPr>
                    <w:pStyle w:val="Compact"/>
                    <w:jc w:val="center"/>
                  </w:pPr>
                  <w:r>
                    <w:t xml:space="preserve">30.7</w:t>
                  </w:r>
                </w:p>
              </w:tc>
              <w:tc>
                <w:tcPr/>
                <w:p>
                  <w:pPr>
                    <w:pStyle w:val="Compact"/>
                    <w:jc w:val="center"/>
                  </w:pPr>
                  <w:r>
                    <w:t xml:space="preserve">4.17</w:t>
                  </w:r>
                </w:p>
              </w:tc>
              <w:tc>
                <w:tcPr/>
                <w:p>
                  <w:pPr>
                    <w:pStyle w:val="Compact"/>
                    <w:jc w:val="center"/>
                  </w:pPr>
                  <w:r>
                    <w:t xml:space="preserve">19.8</w:t>
                  </w:r>
                </w:p>
              </w:tc>
              <w:tc>
                <w:tcPr/>
                <w:p>
                  <w:pPr>
                    <w:pStyle w:val="Compact"/>
                    <w:jc w:val="center"/>
                  </w:pPr>
                  <w:r>
                    <w:t xml:space="preserve">0.71</w:t>
                  </w:r>
                </w:p>
              </w:tc>
            </w:tr>
            <w:tr>
              <w:tc>
                <w:tcPr/>
                <w:p>
                  <w:pPr>
                    <w:pStyle w:val="Compact"/>
                    <w:jc w:val="center"/>
                  </w:pPr>
                  <w:r>
                    <w:t xml:space="preserve">7</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5.12</w:t>
                  </w:r>
                </w:p>
              </w:tc>
              <w:tc>
                <w:tcPr/>
                <w:p>
                  <w:pPr>
                    <w:pStyle w:val="Compact"/>
                    <w:jc w:val="center"/>
                  </w:pPr>
                  <w:r>
                    <w:t xml:space="preserve">27.1</w:t>
                  </w:r>
                </w:p>
              </w:tc>
              <w:tc>
                <w:tcPr/>
                <w:p>
                  <w:pPr>
                    <w:pStyle w:val="Compact"/>
                    <w:jc w:val="center"/>
                  </w:pPr>
                  <w:r>
                    <w:t xml:space="preserve">4.63</w:t>
                  </w:r>
                </w:p>
              </w:tc>
              <w:tc>
                <w:tcPr/>
                <w:p>
                  <w:pPr>
                    <w:pStyle w:val="Compact"/>
                    <w:jc w:val="center"/>
                  </w:pPr>
                  <w:r>
                    <w:t xml:space="preserve">30.3</w:t>
                  </w:r>
                </w:p>
              </w:tc>
              <w:tc>
                <w:tcPr/>
                <w:p>
                  <w:pPr>
                    <w:pStyle w:val="Compact"/>
                    <w:jc w:val="center"/>
                  </w:pPr>
                  <w:r>
                    <w:t xml:space="preserve">1.24</w:t>
                  </w:r>
                </w:p>
              </w:tc>
            </w:tr>
            <w:tr>
              <w:tc>
                <w:tcPr/>
                <w:p>
                  <w:pPr>
                    <w:pStyle w:val="Compact"/>
                    <w:jc w:val="center"/>
                  </w:pPr>
                  <w:r>
                    <w:t xml:space="preserve">8</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6.13</w:t>
                  </w:r>
                </w:p>
              </w:tc>
              <w:tc>
                <w:tcPr/>
                <w:p>
                  <w:pPr>
                    <w:pStyle w:val="Compact"/>
                    <w:jc w:val="center"/>
                  </w:pPr>
                  <w:r>
                    <w:t xml:space="preserve">17.4</w:t>
                  </w:r>
                </w:p>
              </w:tc>
              <w:tc>
                <w:tcPr/>
                <w:p>
                  <w:pPr>
                    <w:pStyle w:val="Compact"/>
                    <w:jc w:val="center"/>
                  </w:pPr>
                  <w:r>
                    <w:t xml:space="preserve">4.64</w:t>
                  </w:r>
                </w:p>
              </w:tc>
              <w:tc>
                <w:tcPr/>
                <w:p>
                  <w:pPr>
                    <w:pStyle w:val="Compact"/>
                    <w:jc w:val="center"/>
                  </w:pPr>
                  <w:r>
                    <w:t xml:space="preserve">21.8</w:t>
                  </w:r>
                </w:p>
              </w:tc>
              <w:tc>
                <w:tcPr/>
                <w:p>
                  <w:pPr>
                    <w:pStyle w:val="Compact"/>
                    <w:jc w:val="center"/>
                  </w:pPr>
                  <w:r>
                    <w:t xml:space="preserve">1.41</w:t>
                  </w:r>
                </w:p>
              </w:tc>
            </w:tr>
            <w:tr>
              <w:tc>
                <w:tcPr/>
                <w:p>
                  <w:pPr>
                    <w:pStyle w:val="Compact"/>
                    <w:jc w:val="center"/>
                  </w:pPr>
                  <w:r>
                    <w:t xml:space="preserve">9</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8.92</w:t>
                  </w:r>
                </w:p>
              </w:tc>
              <w:tc>
                <w:tcPr/>
                <w:p>
                  <w:pPr>
                    <w:pStyle w:val="Compact"/>
                    <w:jc w:val="center"/>
                  </w:pPr>
                  <w:r>
                    <w:t xml:space="preserve">22.0</w:t>
                  </w:r>
                </w:p>
              </w:tc>
              <w:tc>
                <w:tcPr/>
                <w:p>
                  <w:pPr>
                    <w:pStyle w:val="Compact"/>
                    <w:jc w:val="center"/>
                  </w:pPr>
                  <w:r>
                    <w:t xml:space="preserve">6.79</w:t>
                  </w:r>
                </w:p>
              </w:tc>
              <w:tc>
                <w:tcPr/>
                <w:p>
                  <w:pPr>
                    <w:pStyle w:val="Compact"/>
                    <w:jc w:val="center"/>
                  </w:pPr>
                  <w:r>
                    <w:t xml:space="preserve">22.9</w:t>
                  </w:r>
                </w:p>
              </w:tc>
              <w:tc>
                <w:tcPr/>
                <w:p>
                  <w:pPr>
                    <w:pStyle w:val="Compact"/>
                    <w:jc w:val="center"/>
                  </w:pPr>
                  <w:r>
                    <w:t xml:space="preserve">1.50</w:t>
                  </w:r>
                </w:p>
              </w:tc>
            </w:tr>
            <w:tr>
              <w:tc>
                <w:tcPr/>
                <w:p>
                  <w:pPr>
                    <w:pStyle w:val="Compact"/>
                    <w:jc w:val="center"/>
                  </w:pPr>
                  <w:r>
                    <w:t xml:space="preserve">10</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5.89</w:t>
                  </w:r>
                </w:p>
              </w:tc>
              <w:tc>
                <w:tcPr/>
                <w:p>
                  <w:pPr>
                    <w:pStyle w:val="Compact"/>
                    <w:jc w:val="center"/>
                  </w:pPr>
                  <w:r>
                    <w:t xml:space="preserve">18.7</w:t>
                  </w:r>
                </w:p>
              </w:tc>
              <w:tc>
                <w:tcPr/>
                <w:p>
                  <w:pPr>
                    <w:pStyle w:val="Compact"/>
                    <w:jc w:val="center"/>
                  </w:pPr>
                  <w:r>
                    <w:t xml:space="preserve">8.81</w:t>
                  </w:r>
                </w:p>
              </w:tc>
              <w:tc>
                <w:tcPr/>
                <w:p>
                  <w:pPr>
                    <w:pStyle w:val="Compact"/>
                    <w:jc w:val="center"/>
                  </w:pPr>
                  <w:r>
                    <w:t xml:space="preserve">13.6</w:t>
                  </w:r>
                </w:p>
              </w:tc>
              <w:tc>
                <w:tcPr/>
                <w:p>
                  <w:pPr>
                    <w:pStyle w:val="Compact"/>
                    <w:jc w:val="center"/>
                  </w:pPr>
                  <w:r>
                    <w:t xml:space="preserve">1.53</w:t>
                  </w:r>
                </w:p>
              </w:tc>
            </w:tr>
            <w:tr>
              <w:tc>
                <w:tcPr/>
                <w:p>
                  <w:pPr>
                    <w:pStyle w:val="Compact"/>
                    <w:jc w:val="center"/>
                  </w:pPr>
                  <w:r>
                    <w:t xml:space="preserve">11</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8.05</w:t>
                  </w:r>
                </w:p>
              </w:tc>
              <w:tc>
                <w:tcPr/>
                <w:p>
                  <w:pPr>
                    <w:pStyle w:val="Compact"/>
                    <w:jc w:val="center"/>
                  </w:pPr>
                  <w:r>
                    <w:t xml:space="preserve">18.7</w:t>
                  </w:r>
                </w:p>
              </w:tc>
              <w:tc>
                <w:tcPr/>
                <w:p>
                  <w:pPr>
                    <w:pStyle w:val="Compact"/>
                    <w:jc w:val="center"/>
                  </w:pPr>
                  <w:r>
                    <w:t xml:space="preserve">6.11</w:t>
                  </w:r>
                </w:p>
              </w:tc>
              <w:tc>
                <w:tcPr/>
                <w:p>
                  <w:pPr>
                    <w:pStyle w:val="Compact"/>
                    <w:jc w:val="center"/>
                  </w:pPr>
                  <w:r>
                    <w:t xml:space="preserve">19.3</w:t>
                  </w:r>
                </w:p>
              </w:tc>
              <w:tc>
                <w:tcPr/>
                <w:p>
                  <w:pPr>
                    <w:pStyle w:val="Compact"/>
                    <w:jc w:val="center"/>
                  </w:pPr>
                  <w:r>
                    <w:t xml:space="preserve">1.99</w:t>
                  </w:r>
                </w:p>
              </w:tc>
            </w:tr>
            <w:tr>
              <w:tc>
                <w:tcPr/>
                <w:p>
                  <w:pPr>
                    <w:pStyle w:val="Compact"/>
                    <w:jc w:val="center"/>
                  </w:pPr>
                  <w:r>
                    <w:t xml:space="preserve">12</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5.17</w:t>
                  </w:r>
                </w:p>
              </w:tc>
              <w:tc>
                <w:tcPr/>
                <w:p>
                  <w:pPr>
                    <w:pStyle w:val="Compact"/>
                    <w:jc w:val="center"/>
                  </w:pPr>
                  <w:r>
                    <w:t xml:space="preserve">18.7</w:t>
                  </w:r>
                </w:p>
              </w:tc>
              <w:tc>
                <w:tcPr/>
                <w:p>
                  <w:pPr>
                    <w:pStyle w:val="Compact"/>
                    <w:jc w:val="center"/>
                  </w:pPr>
                  <w:r>
                    <w:t xml:space="preserve">7.34</w:t>
                  </w:r>
                </w:p>
              </w:tc>
              <w:tc>
                <w:tcPr/>
                <w:p>
                  <w:pPr>
                    <w:pStyle w:val="Compact"/>
                    <w:jc w:val="center"/>
                  </w:pPr>
                  <w:r>
                    <w:t xml:space="preserve">12.3</w:t>
                  </w:r>
                </w:p>
              </w:tc>
              <w:tc>
                <w:tcPr/>
                <w:p>
                  <w:pPr>
                    <w:pStyle w:val="Compact"/>
                    <w:jc w:val="center"/>
                  </w:pPr>
                  <w:r>
                    <w:t xml:space="preserve">2.15</w:t>
                  </w:r>
                </w:p>
              </w:tc>
            </w:tr>
            <w:tr>
              <w:tc>
                <w:tcPr/>
                <w:p>
                  <w:pPr>
                    <w:pStyle w:val="Compact"/>
                    <w:jc w:val="center"/>
                  </w:pPr>
                  <w:r>
                    <w:t xml:space="preserve">13</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5.41</w:t>
                  </w:r>
                </w:p>
              </w:tc>
              <w:tc>
                <w:tcPr/>
                <w:p>
                  <w:pPr>
                    <w:pStyle w:val="Compact"/>
                    <w:jc w:val="center"/>
                  </w:pPr>
                  <w:r>
                    <w:t xml:space="preserve">28.7</w:t>
                  </w:r>
                </w:p>
              </w:tc>
              <w:tc>
                <w:tcPr/>
                <w:p>
                  <w:pPr>
                    <w:pStyle w:val="Compact"/>
                    <w:jc w:val="center"/>
                  </w:pPr>
                  <w:r>
                    <w:t xml:space="preserve">6.97</w:t>
                  </w:r>
                </w:p>
              </w:tc>
              <w:tc>
                <w:tcPr/>
                <w:p>
                  <w:pPr>
                    <w:pStyle w:val="Compact"/>
                    <w:jc w:val="center"/>
                  </w:pPr>
                  <w:r>
                    <w:t xml:space="preserve">28.5</w:t>
                  </w:r>
                </w:p>
              </w:tc>
              <w:tc>
                <w:tcPr/>
                <w:p>
                  <w:pPr>
                    <w:pStyle w:val="Compact"/>
                    <w:jc w:val="center"/>
                  </w:pPr>
                  <w:r>
                    <w:t xml:space="preserve">1.45</w:t>
                  </w:r>
                </w:p>
              </w:tc>
            </w:tr>
            <w:tr>
              <w:tc>
                <w:tcPr/>
                <w:p>
                  <w:pPr>
                    <w:pStyle w:val="Compact"/>
                    <w:jc w:val="center"/>
                  </w:pPr>
                  <w:r>
                    <w:t xml:space="preserve">14</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2.84</w:t>
                  </w:r>
                </w:p>
              </w:tc>
              <w:tc>
                <w:tcPr/>
                <w:p>
                  <w:pPr>
                    <w:pStyle w:val="Compact"/>
                    <w:jc w:val="center"/>
                  </w:pPr>
                  <w:r>
                    <w:t xml:space="preserve">29.1</w:t>
                  </w:r>
                </w:p>
              </w:tc>
              <w:tc>
                <w:tcPr/>
                <w:p>
                  <w:pPr>
                    <w:pStyle w:val="Compact"/>
                    <w:jc w:val="center"/>
                  </w:pPr>
                  <w:r>
                    <w:t xml:space="preserve">7.36</w:t>
                  </w:r>
                </w:p>
              </w:tc>
              <w:tc>
                <w:tcPr/>
                <w:p>
                  <w:pPr>
                    <w:pStyle w:val="Compact"/>
                    <w:jc w:val="center"/>
                  </w:pPr>
                  <w:r>
                    <w:t xml:space="preserve">18.5</w:t>
                  </w:r>
                </w:p>
              </w:tc>
              <w:tc>
                <w:tcPr/>
                <w:p>
                  <w:pPr>
                    <w:pStyle w:val="Compact"/>
                    <w:jc w:val="center"/>
                  </w:pPr>
                  <w:r>
                    <w:t xml:space="preserve">1.70</w:t>
                  </w:r>
                </w:p>
              </w:tc>
            </w:tr>
            <w:tr>
              <w:tc>
                <w:tcPr/>
                <w:p>
                  <w:pPr>
                    <w:pStyle w:val="Compact"/>
                    <w:jc w:val="center"/>
                  </w:pPr>
                  <w:r>
                    <w:t xml:space="preserve">15</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6.20</w:t>
                  </w:r>
                </w:p>
              </w:tc>
              <w:tc>
                <w:tcPr/>
                <w:p>
                  <w:pPr>
                    <w:pStyle w:val="Compact"/>
                    <w:jc w:val="center"/>
                  </w:pPr>
                  <w:r>
                    <w:t xml:space="preserve">25.4</w:t>
                  </w:r>
                </w:p>
              </w:tc>
              <w:tc>
                <w:tcPr/>
                <w:p>
                  <w:pPr>
                    <w:pStyle w:val="Compact"/>
                    <w:jc w:val="center"/>
                  </w:pPr>
                  <w:r>
                    <w:t xml:space="preserve">5.95</w:t>
                  </w:r>
                </w:p>
              </w:tc>
              <w:tc>
                <w:tcPr/>
                <w:p>
                  <w:pPr>
                    <w:pStyle w:val="Compact"/>
                    <w:jc w:val="center"/>
                  </w:pPr>
                  <w:r>
                    <w:t xml:space="preserve">26.5</w:t>
                  </w:r>
                </w:p>
              </w:tc>
              <w:tc>
                <w:tcPr/>
                <w:p>
                  <w:pPr>
                    <w:pStyle w:val="Compact"/>
                    <w:jc w:val="center"/>
                  </w:pPr>
                  <w:r>
                    <w:t xml:space="preserve">2.08</w:t>
                  </w:r>
                </w:p>
              </w:tc>
            </w:tr>
            <w:tr>
              <w:tc>
                <w:tcPr/>
                <w:p>
                  <w:pPr>
                    <w:pStyle w:val="Compact"/>
                    <w:jc w:val="center"/>
                  </w:pPr>
                  <w:r>
                    <w:t xml:space="preserve">16</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4.19</w:t>
                  </w:r>
                </w:p>
              </w:tc>
              <w:tc>
                <w:tcPr/>
                <w:p>
                  <w:pPr>
                    <w:pStyle w:val="Compact"/>
                    <w:jc w:val="center"/>
                  </w:pPr>
                  <w:r>
                    <w:t xml:space="preserve">27.2</w:t>
                  </w:r>
                </w:p>
              </w:tc>
              <w:tc>
                <w:tcPr/>
                <w:p>
                  <w:pPr>
                    <w:pStyle w:val="Compact"/>
                    <w:jc w:val="center"/>
                  </w:pPr>
                  <w:r>
                    <w:t xml:space="preserve">6.80</w:t>
                  </w:r>
                </w:p>
              </w:tc>
              <w:tc>
                <w:tcPr/>
                <w:p>
                  <w:pPr>
                    <w:pStyle w:val="Compact"/>
                    <w:jc w:val="center"/>
                  </w:pPr>
                  <w:r>
                    <w:t xml:space="preserve">17.2</w:t>
                  </w:r>
                </w:p>
              </w:tc>
              <w:tc>
                <w:tcPr/>
                <w:p>
                  <w:pPr>
                    <w:pStyle w:val="Compact"/>
                    <w:jc w:val="center"/>
                  </w:pPr>
                  <w:r>
                    <w:t xml:space="preserve">2.01</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6.6</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7.82</w:t>
                  </w:r>
                </w:p>
              </w:tc>
              <w:tc>
                <w:tcPr/>
                <w:p>
                  <w:pPr>
                    <w:pStyle w:val="Compact"/>
                    <w:jc w:val="center"/>
                  </w:pPr>
                  <w:r>
                    <w:t xml:space="preserve">26.1</w:t>
                  </w:r>
                </w:p>
              </w:tc>
              <w:tc>
                <w:tcPr/>
                <w:p>
                  <w:pPr>
                    <w:pStyle w:val="Compact"/>
                    <w:jc w:val="center"/>
                  </w:pPr>
                  <w:r>
                    <w:t xml:space="preserve">4.59</w:t>
                  </w:r>
                </w:p>
              </w:tc>
              <w:tc>
                <w:tcPr/>
                <w:p>
                  <w:pPr>
                    <w:pStyle w:val="Compact"/>
                    <w:jc w:val="center"/>
                  </w:pPr>
                  <w:r>
                    <w:t xml:space="preserve">24.2</w:t>
                  </w:r>
                </w:p>
              </w:tc>
              <w:tc>
                <w:tcPr/>
                <w:p>
                  <w:pPr>
                    <w:pStyle w:val="Compact"/>
                    <w:jc w:val="center"/>
                  </w:pPr>
                  <w:r>
                    <w:t xml:space="preserve">1.15</w:t>
                  </w:r>
                </w:p>
              </w:tc>
            </w:tr>
            <w:tr>
              <w:tc>
                <w:tcPr/>
                <w:p>
                  <w:pPr>
                    <w:pStyle w:val="Compact"/>
                    <w:jc w:val="center"/>
                  </w:pPr>
                  <w:r>
                    <w:t xml:space="preserve">18</w:t>
                  </w:r>
                </w:p>
              </w:tc>
              <w:tc>
                <w:tcPr>
                  <w:gridSpan w:val="1"/>
                  <w:vMerge w:val="continue"/>
                </w:tcPr>
                <w:p>
                  <w:pPr/>
                </w:p>
              </w:tc>
              <w:tc>
                <w:tcPr/>
                <w:p>
                  <w:pPr>
                    <w:pStyle w:val="Compact"/>
                    <w:jc w:val="center"/>
                  </w:pPr>
                  <w:r>
                    <w:t xml:space="preserve">7.1</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6.07</w:t>
                  </w:r>
                </w:p>
              </w:tc>
              <w:tc>
                <w:tcPr/>
                <w:p>
                  <w:pPr>
                    <w:pStyle w:val="Compact"/>
                    <w:jc w:val="center"/>
                  </w:pPr>
                  <w:r>
                    <w:t xml:space="preserve">23.7</w:t>
                  </w:r>
                </w:p>
              </w:tc>
              <w:tc>
                <w:tcPr/>
                <w:p>
                  <w:pPr>
                    <w:pStyle w:val="Compact"/>
                    <w:jc w:val="center"/>
                  </w:pPr>
                  <w:r>
                    <w:t xml:space="preserve">7.72</w:t>
                  </w:r>
                </w:p>
              </w:tc>
              <w:tc>
                <w:tcPr/>
                <w:p>
                  <w:pPr>
                    <w:pStyle w:val="Compact"/>
                    <w:jc w:val="center"/>
                  </w:pPr>
                  <w:r>
                    <w:t xml:space="preserve">19.3</w:t>
                  </w:r>
                </w:p>
              </w:tc>
              <w:tc>
                <w:tcPr/>
                <w:p>
                  <w:pPr>
                    <w:pStyle w:val="Compact"/>
                    <w:jc w:val="center"/>
                  </w:pPr>
                  <w:r>
                    <w:t xml:space="preserve">1.82</w:t>
                  </w:r>
                </w:p>
              </w:tc>
            </w:tr>
            <w:tr>
              <w:tc>
                <w:tcPr/>
                <w:p>
                  <w:pPr>
                    <w:pStyle w:val="Compact"/>
                    <w:jc w:val="center"/>
                  </w:pPr>
                  <w:r>
                    <w:t xml:space="preserve">19</w:t>
                  </w:r>
                </w:p>
              </w:tc>
              <w:tc>
                <w:tcPr>
                  <w:gridSpan w:val="1"/>
                  <w:vMerge w:val="continue"/>
                </w:tcPr>
                <w:p>
                  <w:pPr/>
                </w:p>
              </w:tc>
              <w:tc>
                <w:tcPr/>
                <w:p>
                  <w:pPr>
                    <w:pStyle w:val="Compact"/>
                    <w:jc w:val="center"/>
                  </w:pPr>
                  <w:r>
                    <w:t xml:space="preserve">6.85</w:t>
                  </w:r>
                </w:p>
              </w:tc>
              <w:tc>
                <w:tcPr/>
                <w:p>
                  <w:pPr>
                    <w:pStyle w:val="Compact"/>
                    <w:jc w:val="center"/>
                  </w:pPr>
                  <w:r>
                    <w:t xml:space="preserve">34</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8.77</w:t>
                  </w:r>
                </w:p>
              </w:tc>
              <w:tc>
                <w:tcPr/>
                <w:p>
                  <w:pPr>
                    <w:pStyle w:val="Compact"/>
                    <w:jc w:val="center"/>
                  </w:pPr>
                  <w:r>
                    <w:t xml:space="preserve">24.3</w:t>
                  </w:r>
                </w:p>
              </w:tc>
              <w:tc>
                <w:tcPr/>
                <w:p>
                  <w:pPr>
                    <w:pStyle w:val="Compact"/>
                    <w:jc w:val="center"/>
                  </w:pPr>
                  <w:r>
                    <w:t xml:space="preserve">6.75</w:t>
                  </w:r>
                </w:p>
              </w:tc>
              <w:tc>
                <w:tcPr/>
                <w:p>
                  <w:pPr>
                    <w:pStyle w:val="Compact"/>
                    <w:jc w:val="center"/>
                  </w:pPr>
                  <w:r>
                    <w:t xml:space="preserve">19.9</w:t>
                  </w:r>
                </w:p>
              </w:tc>
              <w:tc>
                <w:tcPr/>
                <w:p>
                  <w:pPr>
                    <w:pStyle w:val="Compact"/>
                    <w:jc w:val="center"/>
                  </w:pPr>
                  <w:r>
                    <w:t xml:space="preserve">1.51</w:t>
                  </w:r>
                </w:p>
              </w:tc>
            </w:tr>
            <w:tr>
              <w:tc>
                <w:tcPr/>
                <w:p>
                  <w:pPr>
                    <w:pStyle w:val="Compact"/>
                    <w:jc w:val="center"/>
                  </w:pPr>
                  <w:r>
                    <w:t xml:space="preserve">20</w:t>
                  </w:r>
                </w:p>
              </w:tc>
              <w:tc>
                <w:tcPr>
                  <w:gridSpan w:val="1"/>
                  <w:vMerge w:val="continue"/>
                </w:tcPr>
                <w:p>
                  <w:pPr/>
                </w:p>
              </w:tc>
              <w:tc>
                <w:tcPr/>
                <w:p>
                  <w:pPr>
                    <w:pStyle w:val="Compact"/>
                    <w:jc w:val="center"/>
                  </w:pPr>
                  <w:r>
                    <w:t xml:space="preserve">6.85</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7.55</w:t>
                  </w:r>
                </w:p>
              </w:tc>
              <w:tc>
                <w:tcPr/>
                <w:p>
                  <w:pPr>
                    <w:pStyle w:val="Compact"/>
                    <w:jc w:val="center"/>
                  </w:pPr>
                  <w:r>
                    <w:t xml:space="preserve">27.9</w:t>
                  </w:r>
                </w:p>
              </w:tc>
              <w:tc>
                <w:tcPr/>
                <w:p>
                  <w:pPr>
                    <w:pStyle w:val="Compact"/>
                    <w:jc w:val="center"/>
                  </w:pPr>
                  <w:r>
                    <w:t xml:space="preserve">5.51</w:t>
                  </w:r>
                </w:p>
              </w:tc>
              <w:tc>
                <w:tcPr/>
                <w:p>
                  <w:pPr>
                    <w:pStyle w:val="Compact"/>
                    <w:jc w:val="center"/>
                  </w:pPr>
                  <w:r>
                    <w:t xml:space="preserve">26.8</w:t>
                  </w:r>
                </w:p>
              </w:tc>
              <w:tc>
                <w:tcPr/>
                <w:p>
                  <w:pPr>
                    <w:pStyle w:val="Compact"/>
                    <w:jc w:val="center"/>
                  </w:pPr>
                  <w:r>
                    <w:t xml:space="preserve">1.32</w:t>
                  </w:r>
                </w:p>
              </w:tc>
            </w:tr>
            <w:tr>
              <w:tc>
                <w:tcPr/>
                <w:p>
                  <w:pPr>
                    <w:pStyle w:val="Compact"/>
                    <w:jc w:val="center"/>
                  </w:pPr>
                  <w:r>
                    <w:t xml:space="preserve">21</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100</w:t>
                  </w:r>
                </w:p>
              </w:tc>
              <w:tc>
                <w:tcPr/>
                <w:p>
                  <w:pPr>
                    <w:pStyle w:val="Compact"/>
                    <w:jc w:val="center"/>
                  </w:pPr>
                  <w:r>
                    <w:t xml:space="preserve">10.3</w:t>
                  </w:r>
                </w:p>
              </w:tc>
              <w:tc>
                <w:tcPr/>
                <w:p>
                  <w:pPr>
                    <w:pStyle w:val="Compact"/>
                    <w:jc w:val="center"/>
                  </w:pPr>
                  <w:r>
                    <w:t xml:space="preserve">30.8</w:t>
                  </w:r>
                </w:p>
              </w:tc>
              <w:tc>
                <w:tcPr/>
                <w:p>
                  <w:pPr>
                    <w:pStyle w:val="Compact"/>
                    <w:jc w:val="center"/>
                  </w:pPr>
                  <w:r>
                    <w:t xml:space="preserve">6.11</w:t>
                  </w:r>
                </w:p>
              </w:tc>
              <w:tc>
                <w:tcPr/>
                <w:p>
                  <w:pPr>
                    <w:pStyle w:val="Compact"/>
                    <w:jc w:val="center"/>
                  </w:pPr>
                  <w:r>
                    <w:t xml:space="preserve">20.8</w:t>
                  </w:r>
                </w:p>
              </w:tc>
              <w:tc>
                <w:tcPr/>
                <w:p>
                  <w:pPr>
                    <w:pStyle w:val="Compact"/>
                    <w:jc w:val="center"/>
                  </w:pPr>
                  <w:r>
                    <w:t xml:space="preserve">1.30</w:t>
                  </w:r>
                </w:p>
              </w:tc>
            </w:tr>
            <w:tr>
              <w:tc>
                <w:tcPr/>
                <w:p>
                  <w:pPr>
                    <w:pStyle w:val="Compact"/>
                    <w:jc w:val="center"/>
                  </w:pPr>
                  <w:r>
                    <w:t xml:space="preserve">22</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19</w:t>
                  </w:r>
                </w:p>
              </w:tc>
              <w:tc>
                <w:tcPr/>
                <w:p>
                  <w:pPr>
                    <w:pStyle w:val="Compact"/>
                    <w:jc w:val="center"/>
                  </w:pPr>
                  <w:r>
                    <w:t xml:space="preserve">100</w:t>
                  </w:r>
                </w:p>
              </w:tc>
              <w:tc>
                <w:tcPr/>
                <w:p>
                  <w:pPr>
                    <w:pStyle w:val="Compact"/>
                    <w:jc w:val="center"/>
                  </w:pPr>
                  <w:r>
                    <w:t xml:space="preserve">6.89</w:t>
                  </w:r>
                </w:p>
              </w:tc>
              <w:tc>
                <w:tcPr/>
                <w:p>
                  <w:pPr>
                    <w:pStyle w:val="Compact"/>
                    <w:jc w:val="center"/>
                  </w:pPr>
                  <w:r>
                    <w:t xml:space="preserve">22.5</w:t>
                  </w:r>
                </w:p>
              </w:tc>
              <w:tc>
                <w:tcPr/>
                <w:p>
                  <w:pPr>
                    <w:pStyle w:val="Compact"/>
                    <w:jc w:val="center"/>
                  </w:pPr>
                  <w:r>
                    <w:t xml:space="preserve">5.54</w:t>
                  </w:r>
                </w:p>
              </w:tc>
              <w:tc>
                <w:tcPr/>
                <w:p>
                  <w:pPr>
                    <w:pStyle w:val="Compact"/>
                    <w:jc w:val="center"/>
                  </w:pPr>
                  <w:r>
                    <w:t xml:space="preserve">22.4</w:t>
                  </w:r>
                </w:p>
              </w:tc>
              <w:tc>
                <w:tcPr/>
                <w:p>
                  <w:pPr>
                    <w:pStyle w:val="Compact"/>
                    <w:jc w:val="center"/>
                  </w:pPr>
                  <w:r>
                    <w:t xml:space="preserve">2.06</w:t>
                  </w:r>
                </w:p>
              </w:tc>
            </w:tr>
            <w:tr>
              <w:tc>
                <w:tcPr/>
                <w:p>
                  <w:pPr>
                    <w:pStyle w:val="Compact"/>
                    <w:jc w:val="center"/>
                  </w:pPr>
                  <w:r>
                    <w:t xml:space="preserve">23</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40</w:t>
                  </w:r>
                </w:p>
              </w:tc>
              <w:tc>
                <w:tcPr/>
                <w:p>
                  <w:pPr>
                    <w:pStyle w:val="Compact"/>
                    <w:jc w:val="center"/>
                  </w:pPr>
                  <w:r>
                    <w:t xml:space="preserve">8.48</w:t>
                  </w:r>
                </w:p>
              </w:tc>
              <w:tc>
                <w:tcPr/>
                <w:p>
                  <w:pPr>
                    <w:pStyle w:val="Compact"/>
                    <w:jc w:val="center"/>
                  </w:pPr>
                  <w:r>
                    <w:t xml:space="preserve">27.1</w:t>
                  </w:r>
                </w:p>
              </w:tc>
              <w:tc>
                <w:tcPr/>
                <w:p>
                  <w:pPr>
                    <w:pStyle w:val="Compact"/>
                    <w:jc w:val="center"/>
                  </w:pPr>
                  <w:r>
                    <w:t xml:space="preserve">6.39</w:t>
                  </w:r>
                </w:p>
              </w:tc>
              <w:tc>
                <w:tcPr/>
                <w:p>
                  <w:pPr>
                    <w:pStyle w:val="Compact"/>
                    <w:jc w:val="center"/>
                  </w:pPr>
                  <w:r>
                    <w:t xml:space="preserve">25.7</w:t>
                  </w:r>
                </w:p>
              </w:tc>
              <w:tc>
                <w:tcPr/>
                <w:p>
                  <w:pPr>
                    <w:pStyle w:val="Compact"/>
                    <w:jc w:val="center"/>
                  </w:pPr>
                  <w:r>
                    <w:t xml:space="preserve">1.50</w:t>
                  </w:r>
                </w:p>
              </w:tc>
            </w:tr>
            <w:tr>
              <w:tc>
                <w:tcPr/>
                <w:p>
                  <w:pPr>
                    <w:pStyle w:val="Compact"/>
                    <w:jc w:val="center"/>
                  </w:pPr>
                  <w:r>
                    <w:t xml:space="preserve">24</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160</w:t>
                  </w:r>
                </w:p>
              </w:tc>
              <w:tc>
                <w:tcPr/>
                <w:p>
                  <w:pPr>
                    <w:pStyle w:val="Compact"/>
                    <w:jc w:val="center"/>
                  </w:pPr>
                  <w:r>
                    <w:t xml:space="preserve">8.39</w:t>
                  </w:r>
                </w:p>
              </w:tc>
              <w:tc>
                <w:tcPr/>
                <w:p>
                  <w:pPr>
                    <w:pStyle w:val="Compact"/>
                    <w:jc w:val="center"/>
                  </w:pPr>
                  <w:r>
                    <w:t xml:space="preserve">23.5</w:t>
                  </w:r>
                </w:p>
              </w:tc>
              <w:tc>
                <w:tcPr/>
                <w:p>
                  <w:pPr>
                    <w:pStyle w:val="Compact"/>
                    <w:jc w:val="center"/>
                  </w:pPr>
                  <w:r>
                    <w:t xml:space="preserve">5.94</w:t>
                  </w:r>
                </w:p>
              </w:tc>
              <w:tc>
                <w:tcPr/>
                <w:p>
                  <w:pPr>
                    <w:pStyle w:val="Compact"/>
                    <w:jc w:val="center"/>
                  </w:pPr>
                  <w:r>
                    <w:t xml:space="preserve">19.2</w:t>
                  </w:r>
                </w:p>
              </w:tc>
              <w:tc>
                <w:tcPr/>
                <w:p>
                  <w:pPr>
                    <w:pStyle w:val="Compact"/>
                    <w:jc w:val="center"/>
                  </w:pPr>
                  <w:r>
                    <w:t xml:space="preserve">1.45</w:t>
                  </w:r>
                </w:p>
              </w:tc>
            </w:tr>
            <w:tr>
              <w:tc>
                <w:tcPr/>
                <w:p>
                  <w:pPr>
                    <w:pStyle w:val="Compact"/>
                    <w:jc w:val="center"/>
                  </w:pPr>
                  <w:r>
                    <w:t xml:space="preserve">25</w:t>
                  </w:r>
                </w:p>
              </w:tc>
              <w:tc>
                <w:tcPr>
                  <w:vMerge w:val="restart"/>
                </w:tcPr>
                <w:p>
                  <w:pPr>
                    <w:pStyle w:val="Compact"/>
                    <w:jc w:val="center"/>
                  </w:pPr>
                  <w:r>
                    <w:t xml:space="preserve">center</w:t>
                  </w: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7.88</w:t>
                  </w:r>
                </w:p>
              </w:tc>
              <w:tc>
                <w:tcPr/>
                <w:p>
                  <w:pPr>
                    <w:pStyle w:val="Compact"/>
                    <w:jc w:val="center"/>
                  </w:pPr>
                  <w:r>
                    <w:t xml:space="preserve">23.0</w:t>
                  </w:r>
                </w:p>
              </w:tc>
              <w:tc>
                <w:tcPr/>
                <w:p>
                  <w:pPr>
                    <w:pStyle w:val="Compact"/>
                    <w:jc w:val="center"/>
                  </w:pPr>
                  <w:r>
                    <w:t xml:space="preserve">5.75</w:t>
                  </w:r>
                </w:p>
              </w:tc>
              <w:tc>
                <w:tcPr/>
                <w:p>
                  <w:pPr>
                    <w:pStyle w:val="Compact"/>
                    <w:jc w:val="center"/>
                  </w:pPr>
                  <w:r>
                    <w:t xml:space="preserve">20.5</w:t>
                  </w:r>
                </w:p>
              </w:tc>
              <w:tc>
                <w:tcPr/>
                <w:p>
                  <w:pPr>
                    <w:pStyle w:val="Compact"/>
                    <w:jc w:val="center"/>
                  </w:pPr>
                  <w:r>
                    <w:t xml:space="preserve">1.52</w:t>
                  </w:r>
                </w:p>
              </w:tc>
            </w:tr>
            <w:tr>
              <w:tc>
                <w:tcPr/>
                <w:p>
                  <w:pPr>
                    <w:pStyle w:val="Compact"/>
                    <w:jc w:val="center"/>
                  </w:pPr>
                  <w:r>
                    <w:t xml:space="preserve">26</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7.95</w:t>
                  </w:r>
                </w:p>
              </w:tc>
              <w:tc>
                <w:tcPr/>
                <w:p>
                  <w:pPr>
                    <w:pStyle w:val="Compact"/>
                    <w:jc w:val="center"/>
                  </w:pPr>
                  <w:r>
                    <w:t xml:space="preserve">27.3</w:t>
                  </w:r>
                </w:p>
              </w:tc>
              <w:tc>
                <w:tcPr/>
                <w:p>
                  <w:pPr>
                    <w:pStyle w:val="Compact"/>
                    <w:jc w:val="center"/>
                  </w:pPr>
                  <w:r>
                    <w:t xml:space="preserve">6.32</w:t>
                  </w:r>
                </w:p>
              </w:tc>
              <w:tc>
                <w:tcPr/>
                <w:p>
                  <w:pPr>
                    <w:pStyle w:val="Compact"/>
                    <w:jc w:val="center"/>
                  </w:pPr>
                  <w:r>
                    <w:t xml:space="preserve">22.0</w:t>
                  </w:r>
                </w:p>
              </w:tc>
              <w:tc>
                <w:tcPr/>
                <w:p>
                  <w:pPr>
                    <w:pStyle w:val="Compact"/>
                    <w:jc w:val="center"/>
                  </w:pPr>
                  <w:r>
                    <w:t xml:space="preserve">1.60</w:t>
                  </w:r>
                </w:p>
              </w:tc>
            </w:tr>
            <w:tr>
              <w:tc>
                <w:tcPr/>
                <w:p>
                  <w:pPr>
                    <w:pStyle w:val="Compact"/>
                    <w:jc w:val="center"/>
                  </w:pPr>
                  <w:r>
                    <w:t xml:space="preserve">27</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7.35</w:t>
                  </w:r>
                </w:p>
              </w:tc>
              <w:tc>
                <w:tcPr/>
                <w:p>
                  <w:pPr>
                    <w:pStyle w:val="Compact"/>
                    <w:jc w:val="center"/>
                  </w:pPr>
                  <w:r>
                    <w:t xml:space="preserve">25.0</w:t>
                  </w:r>
                </w:p>
              </w:tc>
              <w:tc>
                <w:tcPr/>
                <w:p>
                  <w:pPr>
                    <w:pStyle w:val="Compact"/>
                    <w:jc w:val="center"/>
                  </w:pPr>
                  <w:r>
                    <w:t xml:space="preserve">5.60</w:t>
                  </w:r>
                </w:p>
              </w:tc>
              <w:tc>
                <w:tcPr/>
                <w:p>
                  <w:pPr>
                    <w:pStyle w:val="Compact"/>
                    <w:jc w:val="center"/>
                  </w:pPr>
                  <w:r>
                    <w:t xml:space="preserve">22.4</w:t>
                  </w:r>
                </w:p>
              </w:tc>
              <w:tc>
                <w:tcPr/>
                <w:p>
                  <w:pPr>
                    <w:pStyle w:val="Compact"/>
                    <w:jc w:val="center"/>
                  </w:pPr>
                  <w:r>
                    <w:t xml:space="preserve">1.55</w:t>
                  </w:r>
                </w:p>
              </w:tc>
            </w:tr>
            <w:tr>
              <w:tc>
                <w:tcPr/>
                <w:p>
                  <w:pPr>
                    <w:pStyle w:val="Compact"/>
                    <w:jc w:val="center"/>
                  </w:pPr>
                  <w:r>
                    <w:t xml:space="preserve">28</w:t>
                  </w:r>
                </w:p>
              </w:tc>
              <w:tc>
                <w:tcPr>
                  <w:gridSpan w:val="1"/>
                  <w:vMerge w:val="continue"/>
                </w:tcPr>
                <w:p>
                  <w:pPr/>
                </w:p>
              </w:tc>
              <w:tc>
                <w:tcPr/>
                <w:p>
                  <w:pPr>
                    <w:pStyle w:val="Compact"/>
                    <w:jc w:val="center"/>
                  </w:pPr>
                  <w:r>
                    <w:t xml:space="preserve">6.85</w:t>
                  </w:r>
                </w:p>
              </w:tc>
              <w:tc>
                <w:tcPr/>
                <w:p>
                  <w:pPr>
                    <w:pStyle w:val="Compact"/>
                    <w:jc w:val="center"/>
                  </w:pPr>
                  <w:r>
                    <w:t xml:space="preserve">35</w:t>
                  </w:r>
                </w:p>
              </w:tc>
              <w:tc>
                <w:tcPr/>
                <w:p>
                  <w:pPr>
                    <w:pStyle w:val="Compact"/>
                    <w:jc w:val="center"/>
                  </w:pPr>
                  <w:r>
                    <w:t xml:space="preserve">17</w:t>
                  </w:r>
                </w:p>
              </w:tc>
              <w:tc>
                <w:tcPr/>
                <w:p>
                  <w:pPr>
                    <w:pStyle w:val="Compact"/>
                    <w:jc w:val="center"/>
                  </w:pPr>
                  <w:r>
                    <w:t xml:space="preserve">100</w:t>
                  </w:r>
                </w:p>
              </w:tc>
              <w:tc>
                <w:tcPr/>
                <w:p>
                  <w:pPr>
                    <w:pStyle w:val="Compact"/>
                    <w:jc w:val="center"/>
                  </w:pPr>
                  <w:r>
                    <w:t xml:space="preserve">7.27</w:t>
                  </w:r>
                </w:p>
              </w:tc>
              <w:tc>
                <w:tcPr/>
                <w:p>
                  <w:pPr>
                    <w:pStyle w:val="Compact"/>
                    <w:jc w:val="center"/>
                  </w:pPr>
                  <w:r>
                    <w:t xml:space="preserve">28.2</w:t>
                  </w:r>
                </w:p>
              </w:tc>
              <w:tc>
                <w:tcPr/>
                <w:p>
                  <w:pPr>
                    <w:pStyle w:val="Compact"/>
                    <w:jc w:val="center"/>
                  </w:pPr>
                  <w:r>
                    <w:t xml:space="preserve">4.96</w:t>
                  </w:r>
                </w:p>
              </w:tc>
              <w:tc>
                <w:tcPr/>
                <w:p>
                  <w:pPr>
                    <w:pStyle w:val="Compact"/>
                    <w:jc w:val="center"/>
                  </w:pPr>
                  <w:r>
                    <w:t xml:space="preserve">21.1</w:t>
                  </w:r>
                </w:p>
              </w:tc>
              <w:tc>
                <w:tcPr/>
                <w:p>
                  <w:pPr>
                    <w:pStyle w:val="Compact"/>
                    <w:jc w:val="center"/>
                  </w:pPr>
                  <w:r>
                    <w:t xml:space="preserve">1.37</w:t>
                  </w:r>
                </w:p>
              </w:tc>
            </w:tr>
            <w:tr>
              <w:tc>
                <w:tcPr>
                  <w:gridSpan w:val="11"/>
                </w:tcPr>
                <w:p>
                  <w:pPr>
                    <w:pStyle w:val="Compact"/>
                    <w:jc w:val="center"/>
                  </w:pPr>
                  <w:r>
                    <w:t xml:space="preserve">Factors: A, culture pH. B, culture temperature. E, culture duration. C, CO2 partial pressure (pCO2).</w:t>
                  </w:r>
                </w:p>
              </w:tc>
            </w:tr>
          </w:tbl>
          <w:bookmarkEnd w:id="1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tbl-doe-bioreactor-aug"/>
          <w:p>
            <w:pPr>
              <w:jc w:val="center"/>
            </w:pPr>
            <w:pPr>
              <w:jc w:val="start"/>
              <w:spacing w:before="200"/>
              <w:pStyle w:val="ImageCaption"/>
            </w:pPr>
            <w:r>
              <w:t xml:space="preserve">Table 30: Production bioreactor augmentation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5"/>
                </w:tcPr>
                <w:p>
                  <w:pPr>
                    <w:pStyle w:val="Compact"/>
                    <w:jc w:val="center"/>
                  </w:pPr>
                  <w:r>
                    <w:t xml:space="preserve">Responses</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E</w:t>
                  </w:r>
                </w:p>
              </w:tc>
              <w:tc>
                <w:tcPr/>
                <w:p>
                  <w:pPr>
                    <w:pStyle w:val="Compact"/>
                    <w:jc w:val="center"/>
                  </w:pPr>
                  <w:r>
                    <w:t xml:space="preserve">C</w:t>
                  </w:r>
                </w:p>
              </w:tc>
              <w:tc>
                <w:tcPr/>
                <w:p>
                  <w:pPr>
                    <w:pStyle w:val="Compact"/>
                    <w:jc w:val="center"/>
                  </w:pPr>
                  <w:r>
                    <w:t xml:space="preserve">Afuc.</w:t>
                  </w:r>
                </w:p>
              </w:tc>
              <w:tc>
                <w:tcPr/>
                <w:p>
                  <w:pPr>
                    <w:pStyle w:val="Compact"/>
                    <w:jc w:val="center"/>
                  </w:pPr>
                  <w:r>
                    <w:t xml:space="preserve">Gal.</w:t>
                  </w:r>
                </w:p>
              </w:tc>
              <w:tc>
                <w:tcPr/>
                <w:p>
                  <w:pPr>
                    <w:pStyle w:val="Compact"/>
                    <w:jc w:val="center"/>
                  </w:pPr>
                  <w:r>
                    <w:t xml:space="preserve">High mannose</w:t>
                  </w:r>
                </w:p>
              </w:tc>
              <w:tc>
                <w:tcPr/>
                <w:p>
                  <w:pPr>
                    <w:pStyle w:val="Compact"/>
                    <w:jc w:val="center"/>
                  </w:pPr>
                  <w:r>
                    <w:t xml:space="preserve">Acidic</w:t>
                  </w:r>
                </w:p>
              </w:tc>
              <w:tc>
                <w:tcPr/>
                <w:p>
                  <w:pPr>
                    <w:pStyle w:val="Compact"/>
                    <w:jc w:val="center"/>
                  </w:pPr>
                  <w:r>
                    <w:t xml:space="preserve">HMW</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°C</w:t>
                  </w:r>
                </w:p>
              </w:tc>
              <w:tc>
                <w:tcPr/>
                <w:p>
                  <w:pPr>
                    <w:pStyle w:val="Compact"/>
                    <w:jc w:val="center"/>
                  </w:pPr>
                  <w:r>
                    <w:t xml:space="preserve">days</w:t>
                  </w:r>
                </w:p>
              </w:tc>
              <w:tc>
                <w:tcPr/>
                <w:p>
                  <w:pPr>
                    <w:pStyle w:val="Compact"/>
                    <w:jc w:val="center"/>
                  </w:pPr>
                  <w:r>
                    <w:t xml:space="preserve">mmHg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29</w:t>
                  </w:r>
                </w:p>
              </w:tc>
              <w:tc>
                <w:tcPr>
                  <w:vMerge w:val="restart"/>
                </w:tcPr>
                <w:p>
                  <w:pPr>
                    <w:pStyle w:val="Compact"/>
                    <w:jc w:val="center"/>
                  </w:pPr>
                  <w:r>
                    <w:t xml:space="preserve">augmentation</w:t>
                  </w: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11.7</w:t>
                  </w:r>
                </w:p>
              </w:tc>
              <w:tc>
                <w:tcPr/>
                <w:p>
                  <w:pPr>
                    <w:pStyle w:val="Compact"/>
                    <w:jc w:val="center"/>
                  </w:pPr>
                  <w:r>
                    <w:t xml:space="preserve">31.6</w:t>
                  </w:r>
                </w:p>
              </w:tc>
              <w:tc>
                <w:tcPr/>
                <w:p>
                  <w:pPr>
                    <w:pStyle w:val="Compact"/>
                    <w:jc w:val="center"/>
                  </w:pPr>
                  <w:r>
                    <w:t xml:space="preserve">5.92</w:t>
                  </w:r>
                </w:p>
              </w:tc>
              <w:tc>
                <w:tcPr/>
                <w:p>
                  <w:pPr>
                    <w:pStyle w:val="Compact"/>
                    <w:jc w:val="center"/>
                  </w:pPr>
                  <w:r>
                    <w:t xml:space="preserve">18.8</w:t>
                  </w:r>
                </w:p>
              </w:tc>
              <w:tc>
                <w:tcPr/>
                <w:p>
                  <w:pPr>
                    <w:pStyle w:val="Compact"/>
                    <w:jc w:val="center"/>
                  </w:pPr>
                  <w:r>
                    <w:t xml:space="preserve">0.68</w:t>
                  </w:r>
                </w:p>
              </w:tc>
            </w:tr>
            <w:tr>
              <w:tc>
                <w:tcPr/>
                <w:p>
                  <w:pPr>
                    <w:pStyle w:val="Compact"/>
                    <w:jc w:val="center"/>
                  </w:pPr>
                  <w:r>
                    <w:t xml:space="preserve">30</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17</w:t>
                  </w:r>
                </w:p>
              </w:tc>
              <w:tc>
                <w:tcPr/>
                <w:p>
                  <w:pPr>
                    <w:pStyle w:val="Compact"/>
                    <w:jc w:val="center"/>
                  </w:pPr>
                  <w:r>
                    <w:t xml:space="preserve">40</w:t>
                  </w:r>
                </w:p>
              </w:tc>
              <w:tc>
                <w:tcPr/>
                <w:p>
                  <w:pPr>
                    <w:pStyle w:val="Compact"/>
                    <w:jc w:val="center"/>
                  </w:pPr>
                  <w:r>
                    <w:t xml:space="preserve">8.07</w:t>
                  </w:r>
                </w:p>
              </w:tc>
              <w:tc>
                <w:tcPr/>
                <w:p>
                  <w:pPr>
                    <w:pStyle w:val="Compact"/>
                    <w:jc w:val="center"/>
                  </w:pPr>
                  <w:r>
                    <w:t xml:space="preserve">32.1</w:t>
                  </w:r>
                </w:p>
              </w:tc>
              <w:tc>
                <w:tcPr/>
                <w:p>
                  <w:pPr>
                    <w:pStyle w:val="Compact"/>
                    <w:jc w:val="center"/>
                  </w:pPr>
                  <w:r>
                    <w:t xml:space="preserve">5.23</w:t>
                  </w:r>
                </w:p>
              </w:tc>
              <w:tc>
                <w:tcPr/>
                <w:p>
                  <w:pPr>
                    <w:pStyle w:val="Compact"/>
                    <w:jc w:val="center"/>
                  </w:pPr>
                  <w:r>
                    <w:t xml:space="preserve">31.5</w:t>
                  </w:r>
                </w:p>
              </w:tc>
              <w:tc>
                <w:tcPr/>
                <w:p>
                  <w:pPr>
                    <w:pStyle w:val="Compact"/>
                    <w:jc w:val="center"/>
                  </w:pPr>
                  <w:r>
                    <w:t xml:space="preserve">1.00</w:t>
                  </w:r>
                </w:p>
              </w:tc>
            </w:tr>
            <w:tr>
              <w:tc>
                <w:tcPr/>
                <w:p>
                  <w:pPr>
                    <w:pStyle w:val="Compact"/>
                    <w:jc w:val="center"/>
                  </w:pPr>
                  <w:r>
                    <w:t xml:space="preserve">31</w:t>
                  </w:r>
                </w:p>
              </w:tc>
              <w:tc>
                <w:tcPr>
                  <w:gridSpan w:val="1"/>
                  <w:vMerge w:val="continue"/>
                </w:tcPr>
                <w:p>
                  <w:pPr/>
                </w:p>
              </w:tc>
              <w:tc>
                <w:tcPr/>
                <w:p>
                  <w:pPr>
                    <w:pStyle w:val="Compact"/>
                    <w:jc w:val="center"/>
                  </w:pPr>
                  <w:r>
                    <w:t xml:space="preserve">6.6</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100</w:t>
                  </w:r>
                </w:p>
              </w:tc>
              <w:tc>
                <w:tcPr/>
                <w:p>
                  <w:pPr>
                    <w:pStyle w:val="Compact"/>
                    <w:jc w:val="center"/>
                  </w:pPr>
                  <w:r>
                    <w:t xml:space="preserve">4.55</w:t>
                  </w:r>
                </w:p>
              </w:tc>
              <w:tc>
                <w:tcPr/>
                <w:p>
                  <w:pPr>
                    <w:pStyle w:val="Compact"/>
                    <w:jc w:val="center"/>
                  </w:pPr>
                  <w:r>
                    <w:t xml:space="preserve">22.0</w:t>
                  </w:r>
                </w:p>
              </w:tc>
              <w:tc>
                <w:tcPr/>
                <w:p>
                  <w:pPr>
                    <w:pStyle w:val="Compact"/>
                    <w:jc w:val="center"/>
                  </w:pPr>
                  <w:r>
                    <w:t xml:space="preserve">5.34</w:t>
                  </w:r>
                </w:p>
              </w:tc>
              <w:tc>
                <w:tcPr/>
                <w:p>
                  <w:pPr>
                    <w:pStyle w:val="Compact"/>
                    <w:jc w:val="center"/>
                  </w:pPr>
                  <w:r>
                    <w:t xml:space="preserve">23.5</w:t>
                  </w:r>
                </w:p>
              </w:tc>
              <w:tc>
                <w:tcPr/>
                <w:p>
                  <w:pPr>
                    <w:pStyle w:val="Compact"/>
                    <w:jc w:val="center"/>
                  </w:pPr>
                  <w:r>
                    <w:t xml:space="preserve">1.52</w:t>
                  </w:r>
                </w:p>
              </w:tc>
            </w:tr>
            <w:tr>
              <w:tc>
                <w:tcPr/>
                <w:p>
                  <w:pPr>
                    <w:pStyle w:val="Compact"/>
                    <w:jc w:val="center"/>
                  </w:pPr>
                  <w:r>
                    <w:t xml:space="preserve">32</w:t>
                  </w:r>
                </w:p>
              </w:tc>
              <w:tc>
                <w:tcPr>
                  <w:gridSpan w:val="1"/>
                  <w:vMerge w:val="continue"/>
                </w:tcPr>
                <w:p>
                  <w:pPr/>
                </w:p>
              </w:tc>
              <w:tc>
                <w:tcPr/>
                <w:p>
                  <w:pPr>
                    <w:pStyle w:val="Compact"/>
                    <w:jc w:val="center"/>
                  </w:pPr>
                  <w:r>
                    <w:t xml:space="preserve">6.6</w:t>
                  </w:r>
                </w:p>
              </w:tc>
              <w:tc>
                <w:tcPr/>
                <w:p>
                  <w:pPr>
                    <w:pStyle w:val="Compact"/>
                    <w:jc w:val="center"/>
                  </w:pPr>
                  <w:r>
                    <w:t xml:space="preserve">35</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5.69</w:t>
                  </w:r>
                </w:p>
              </w:tc>
              <w:tc>
                <w:tcPr/>
                <w:p>
                  <w:pPr>
                    <w:pStyle w:val="Compact"/>
                    <w:jc w:val="center"/>
                  </w:pPr>
                  <w:r>
                    <w:t xml:space="preserve">17.2</w:t>
                  </w:r>
                </w:p>
              </w:tc>
              <w:tc>
                <w:tcPr/>
                <w:p>
                  <w:pPr>
                    <w:pStyle w:val="Compact"/>
                    <w:jc w:val="center"/>
                  </w:pPr>
                  <w:r>
                    <w:t xml:space="preserve">4.76</w:t>
                  </w:r>
                </w:p>
              </w:tc>
              <w:tc>
                <w:tcPr/>
                <w:p>
                  <w:pPr>
                    <w:pStyle w:val="Compact"/>
                    <w:jc w:val="center"/>
                  </w:pPr>
                  <w:r>
                    <w:t xml:space="preserve">19.5</w:t>
                  </w:r>
                </w:p>
              </w:tc>
              <w:tc>
                <w:tcPr/>
                <w:p>
                  <w:pPr>
                    <w:pStyle w:val="Compact"/>
                    <w:jc w:val="center"/>
                  </w:pPr>
                  <w:r>
                    <w:t xml:space="preserve">1.23</w:t>
                  </w:r>
                </w:p>
              </w:tc>
            </w:tr>
            <w:tr>
              <w:tc>
                <w:tcPr/>
                <w:p>
                  <w:pPr>
                    <w:pStyle w:val="Compact"/>
                    <w:jc w:val="center"/>
                  </w:pPr>
                  <w:r>
                    <w:t xml:space="preserve">33</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9.47</w:t>
                  </w:r>
                </w:p>
              </w:tc>
              <w:tc>
                <w:tcPr/>
                <w:p>
                  <w:pPr>
                    <w:pStyle w:val="Compact"/>
                    <w:jc w:val="center"/>
                  </w:pPr>
                  <w:r>
                    <w:t xml:space="preserve">36.2</w:t>
                  </w:r>
                </w:p>
              </w:tc>
              <w:tc>
                <w:tcPr/>
                <w:p>
                  <w:pPr>
                    <w:pStyle w:val="Compact"/>
                    <w:jc w:val="center"/>
                  </w:pPr>
                  <w:r>
                    <w:t xml:space="preserve">4.71</w:t>
                  </w:r>
                </w:p>
              </w:tc>
              <w:tc>
                <w:tcPr/>
                <w:p>
                  <w:pPr>
                    <w:pStyle w:val="Compact"/>
                    <w:jc w:val="center"/>
                  </w:pPr>
                  <w:r>
                    <w:t xml:space="preserve">28.5</w:t>
                  </w:r>
                </w:p>
              </w:tc>
              <w:tc>
                <w:tcPr/>
                <w:p>
                  <w:pPr>
                    <w:pStyle w:val="Compact"/>
                    <w:jc w:val="center"/>
                  </w:pPr>
                  <w:r>
                    <w:t xml:space="preserve">0.75</w:t>
                  </w:r>
                </w:p>
              </w:tc>
            </w:tr>
            <w:tr>
              <w:tc>
                <w:tcPr/>
                <w:p>
                  <w:pPr>
                    <w:pStyle w:val="Compact"/>
                    <w:jc w:val="center"/>
                  </w:pPr>
                  <w:r>
                    <w:t xml:space="preserve">34</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160</w:t>
                  </w:r>
                </w:p>
              </w:tc>
              <w:tc>
                <w:tcPr/>
                <w:p>
                  <w:pPr>
                    <w:pStyle w:val="Compact"/>
                    <w:jc w:val="center"/>
                  </w:pPr>
                  <w:r>
                    <w:t xml:space="preserve">8.59</w:t>
                  </w:r>
                </w:p>
              </w:tc>
              <w:tc>
                <w:tcPr/>
                <w:p>
                  <w:pPr>
                    <w:pStyle w:val="Compact"/>
                    <w:jc w:val="center"/>
                  </w:pPr>
                  <w:r>
                    <w:t xml:space="preserve">23.3</w:t>
                  </w:r>
                </w:p>
              </w:tc>
              <w:tc>
                <w:tcPr/>
                <w:p>
                  <w:pPr>
                    <w:pStyle w:val="Compact"/>
                    <w:jc w:val="center"/>
                  </w:pPr>
                  <w:r>
                    <w:t xml:space="preserve">5.29</w:t>
                  </w:r>
                </w:p>
              </w:tc>
              <w:tc>
                <w:tcPr/>
                <w:p>
                  <w:pPr>
                    <w:pStyle w:val="Compact"/>
                    <w:jc w:val="center"/>
                  </w:pPr>
                  <w:r>
                    <w:t xml:space="preserve">20.5</w:t>
                  </w:r>
                </w:p>
              </w:tc>
              <w:tc>
                <w:tcPr/>
                <w:p>
                  <w:pPr>
                    <w:pStyle w:val="Compact"/>
                    <w:jc w:val="center"/>
                  </w:pPr>
                  <w:r>
                    <w:t xml:space="preserve">1.09</w:t>
                  </w:r>
                </w:p>
              </w:tc>
            </w:tr>
            <w:tr>
              <w:tc>
                <w:tcPr/>
                <w:p>
                  <w:pPr>
                    <w:pStyle w:val="Compact"/>
                    <w:jc w:val="center"/>
                  </w:pPr>
                  <w:r>
                    <w:t xml:space="preserve">35</w:t>
                  </w:r>
                </w:p>
              </w:tc>
              <w:tc>
                <w:tcPr>
                  <w:gridSpan w:val="1"/>
                  <w:vMerge w:val="continue"/>
                </w:tcPr>
                <w:p>
                  <w:pPr/>
                </w:p>
              </w:tc>
              <w:tc>
                <w:tcPr/>
                <w:p>
                  <w:pPr>
                    <w:pStyle w:val="Compact"/>
                    <w:jc w:val="center"/>
                  </w:pPr>
                  <w:r>
                    <w:t xml:space="preserve">6.6</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4.56</w:t>
                  </w:r>
                </w:p>
              </w:tc>
              <w:tc>
                <w:tcPr/>
                <w:p>
                  <w:pPr>
                    <w:pStyle w:val="Compact"/>
                    <w:jc w:val="center"/>
                  </w:pPr>
                  <w:r>
                    <w:t xml:space="preserve">26.4</w:t>
                  </w:r>
                </w:p>
              </w:tc>
              <w:tc>
                <w:tcPr/>
                <w:p>
                  <w:pPr>
                    <w:pStyle w:val="Compact"/>
                    <w:jc w:val="center"/>
                  </w:pPr>
                  <w:r>
                    <w:t xml:space="preserve">4.56</w:t>
                  </w:r>
                </w:p>
              </w:tc>
              <w:tc>
                <w:tcPr/>
                <w:p>
                  <w:pPr>
                    <w:pStyle w:val="Compact"/>
                    <w:jc w:val="center"/>
                  </w:pPr>
                  <w:r>
                    <w:t xml:space="preserve">29.0</w:t>
                  </w:r>
                </w:p>
              </w:tc>
              <w:tc>
                <w:tcPr/>
                <w:p>
                  <w:pPr>
                    <w:pStyle w:val="Compact"/>
                    <w:jc w:val="center"/>
                  </w:pPr>
                  <w:r>
                    <w:t xml:space="preserve">1.56</w:t>
                  </w:r>
                </w:p>
              </w:tc>
            </w:tr>
            <w:tr>
              <w:tc>
                <w:tcPr/>
                <w:p>
                  <w:pPr>
                    <w:pStyle w:val="Compact"/>
                    <w:jc w:val="center"/>
                  </w:pPr>
                  <w:r>
                    <w:t xml:space="preserve">36</w:t>
                  </w:r>
                </w:p>
              </w:tc>
              <w:tc>
                <w:tcPr>
                  <w:gridSpan w:val="1"/>
                  <w:vMerge w:val="continue"/>
                </w:tcPr>
                <w:p>
                  <w:pPr/>
                </w:p>
              </w:tc>
              <w:tc>
                <w:tcPr/>
                <w:p>
                  <w:pPr>
                    <w:pStyle w:val="Compact"/>
                    <w:jc w:val="center"/>
                  </w:pPr>
                  <w:r>
                    <w:t xml:space="preserve">6.85</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40</w:t>
                  </w:r>
                </w:p>
              </w:tc>
              <w:tc>
                <w:tcPr/>
                <w:p>
                  <w:pPr>
                    <w:pStyle w:val="Compact"/>
                    <w:jc w:val="center"/>
                  </w:pPr>
                  <w:r>
                    <w:t xml:space="preserve">12.6</w:t>
                  </w:r>
                </w:p>
              </w:tc>
              <w:tc>
                <w:tcPr/>
                <w:p>
                  <w:pPr>
                    <w:pStyle w:val="Compact"/>
                    <w:jc w:val="center"/>
                  </w:pPr>
                  <w:r>
                    <w:t xml:space="preserve">30.9</w:t>
                  </w:r>
                </w:p>
              </w:tc>
              <w:tc>
                <w:tcPr/>
                <w:p>
                  <w:pPr>
                    <w:pStyle w:val="Compact"/>
                    <w:jc w:val="center"/>
                  </w:pPr>
                  <w:r>
                    <w:t xml:space="preserve">6.61</w:t>
                  </w:r>
                </w:p>
              </w:tc>
              <w:tc>
                <w:tcPr/>
                <w:p>
                  <w:pPr>
                    <w:pStyle w:val="Compact"/>
                    <w:jc w:val="center"/>
                  </w:pPr>
                  <w:r>
                    <w:t xml:space="preserve">23.6</w:t>
                  </w:r>
                </w:p>
              </w:tc>
              <w:tc>
                <w:tcPr/>
                <w:p>
                  <w:pPr>
                    <w:pStyle w:val="Compact"/>
                    <w:jc w:val="center"/>
                  </w:pPr>
                  <w:r>
                    <w:t xml:space="preserve">1.13</w:t>
                  </w:r>
                </w:p>
              </w:tc>
            </w:tr>
            <w:tr>
              <w:tc>
                <w:tcPr/>
                <w:p>
                  <w:pPr>
                    <w:pStyle w:val="Compact"/>
                    <w:jc w:val="center"/>
                  </w:pPr>
                  <w:r>
                    <w:t xml:space="preserve">37</w:t>
                  </w:r>
                </w:p>
              </w:tc>
              <w:tc>
                <w:tcPr>
                  <w:gridSpan w:val="1"/>
                  <w:vMerge w:val="continue"/>
                </w:tcPr>
                <w:p>
                  <w:pPr/>
                </w:p>
              </w:tc>
              <w:tc>
                <w:tcPr/>
                <w:p>
                  <w:pPr>
                    <w:pStyle w:val="Compact"/>
                    <w:jc w:val="center"/>
                  </w:pPr>
                  <w:r>
                    <w:t xml:space="preserve">6.85</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7.22</w:t>
                  </w:r>
                </w:p>
              </w:tc>
              <w:tc>
                <w:tcPr/>
                <w:p>
                  <w:pPr>
                    <w:pStyle w:val="Compact"/>
                    <w:jc w:val="center"/>
                  </w:pPr>
                  <w:r>
                    <w:t xml:space="preserve">19.0</w:t>
                  </w:r>
                </w:p>
              </w:tc>
              <w:tc>
                <w:tcPr/>
                <w:p>
                  <w:pPr>
                    <w:pStyle w:val="Compact"/>
                    <w:jc w:val="center"/>
                  </w:pPr>
                  <w:r>
                    <w:t xml:space="preserve">6.44</w:t>
                  </w:r>
                </w:p>
              </w:tc>
              <w:tc>
                <w:tcPr/>
                <w:p>
                  <w:pPr>
                    <w:pStyle w:val="Compact"/>
                    <w:jc w:val="center"/>
                  </w:pPr>
                  <w:r>
                    <w:t xml:space="preserve">17.6</w:t>
                  </w:r>
                </w:p>
              </w:tc>
              <w:tc>
                <w:tcPr/>
                <w:p>
                  <w:pPr>
                    <w:pStyle w:val="Compact"/>
                    <w:jc w:val="center"/>
                  </w:pPr>
                  <w:r>
                    <w:t xml:space="preserve">1.83</w:t>
                  </w:r>
                </w:p>
              </w:tc>
            </w:tr>
            <w:tr>
              <w:tc>
                <w:tcPr/>
                <w:p>
                  <w:pPr>
                    <w:pStyle w:val="Compact"/>
                    <w:jc w:val="center"/>
                  </w:pPr>
                  <w:r>
                    <w:t xml:space="preserve">38</w:t>
                  </w:r>
                </w:p>
              </w:tc>
              <w:tc>
                <w:tcPr>
                  <w:gridSpan w:val="1"/>
                  <w:vMerge w:val="continue"/>
                </w:tcPr>
                <w:p>
                  <w:pPr/>
                </w:p>
              </w:tc>
              <w:tc>
                <w:tcPr/>
                <w:p>
                  <w:pPr>
                    <w:pStyle w:val="Compact"/>
                    <w:jc w:val="center"/>
                  </w:pPr>
                  <w:r>
                    <w:t xml:space="preserve">6.85</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7.49</w:t>
                  </w:r>
                </w:p>
              </w:tc>
              <w:tc>
                <w:tcPr/>
                <w:p>
                  <w:pPr>
                    <w:pStyle w:val="Compact"/>
                    <w:jc w:val="center"/>
                  </w:pPr>
                  <w:r>
                    <w:t xml:space="preserve">29.5</w:t>
                  </w:r>
                </w:p>
              </w:tc>
              <w:tc>
                <w:tcPr/>
                <w:p>
                  <w:pPr>
                    <w:pStyle w:val="Compact"/>
                    <w:jc w:val="center"/>
                  </w:pPr>
                  <w:r>
                    <w:t xml:space="preserve">5.51</w:t>
                  </w:r>
                </w:p>
              </w:tc>
              <w:tc>
                <w:tcPr/>
                <w:p>
                  <w:pPr>
                    <w:pStyle w:val="Compact"/>
                    <w:jc w:val="center"/>
                  </w:pPr>
                  <w:r>
                    <w:t xml:space="preserve">21.5</w:t>
                  </w:r>
                </w:p>
              </w:tc>
              <w:tc>
                <w:tcPr/>
                <w:p>
                  <w:pPr>
                    <w:pStyle w:val="Compact"/>
                    <w:jc w:val="center"/>
                  </w:pPr>
                  <w:r>
                    <w:t xml:space="preserve">1.20</w:t>
                  </w:r>
                </w:p>
              </w:tc>
            </w:tr>
            <w:tr>
              <w:tc>
                <w:tcPr/>
                <w:p>
                  <w:pPr>
                    <w:pStyle w:val="Compact"/>
                    <w:jc w:val="center"/>
                  </w:pPr>
                  <w:r>
                    <w:t xml:space="preserve">39</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100</w:t>
                  </w:r>
                </w:p>
              </w:tc>
              <w:tc>
                <w:tcPr/>
                <w:p>
                  <w:pPr>
                    <w:pStyle w:val="Compact"/>
                    <w:jc w:val="center"/>
                  </w:pPr>
                  <w:r>
                    <w:t xml:space="preserve">7.55</w:t>
                  </w:r>
                </w:p>
              </w:tc>
              <w:tc>
                <w:tcPr/>
                <w:p>
                  <w:pPr>
                    <w:pStyle w:val="Compact"/>
                    <w:jc w:val="center"/>
                  </w:pPr>
                  <w:r>
                    <w:t xml:space="preserve">22.4</w:t>
                  </w:r>
                </w:p>
              </w:tc>
              <w:tc>
                <w:tcPr/>
                <w:p>
                  <w:pPr>
                    <w:pStyle w:val="Compact"/>
                    <w:jc w:val="center"/>
                  </w:pPr>
                  <w:r>
                    <w:t xml:space="preserve">6.61</w:t>
                  </w:r>
                </w:p>
              </w:tc>
              <w:tc>
                <w:tcPr/>
                <w:p>
                  <w:pPr>
                    <w:pStyle w:val="Compact"/>
                    <w:jc w:val="center"/>
                  </w:pPr>
                  <w:r>
                    <w:t xml:space="preserve">18.1</w:t>
                  </w:r>
                </w:p>
              </w:tc>
              <w:tc>
                <w:tcPr/>
                <w:p>
                  <w:pPr>
                    <w:pStyle w:val="Compact"/>
                    <w:jc w:val="center"/>
                  </w:pPr>
                  <w:r>
                    <w:t xml:space="preserve">1.61</w:t>
                  </w:r>
                </w:p>
              </w:tc>
            </w:tr>
            <w:tr>
              <w:tc>
                <w:tcPr/>
                <w:p>
                  <w:pPr>
                    <w:pStyle w:val="Compact"/>
                    <w:jc w:val="center"/>
                  </w:pPr>
                  <w:r>
                    <w:t xml:space="preserve">40</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17</w:t>
                  </w:r>
                </w:p>
              </w:tc>
              <w:tc>
                <w:tcPr/>
                <w:p>
                  <w:pPr>
                    <w:pStyle w:val="Compact"/>
                    <w:jc w:val="center"/>
                  </w:pPr>
                  <w:r>
                    <w:t xml:space="preserve">160</w:t>
                  </w:r>
                </w:p>
              </w:tc>
              <w:tc>
                <w:tcPr/>
                <w:p>
                  <w:pPr>
                    <w:pStyle w:val="Compact"/>
                    <w:jc w:val="center"/>
                  </w:pPr>
                  <w:r>
                    <w:t xml:space="preserve">6.17</w:t>
                  </w:r>
                </w:p>
              </w:tc>
              <w:tc>
                <w:tcPr/>
                <w:p>
                  <w:pPr>
                    <w:pStyle w:val="Compact"/>
                    <w:jc w:val="center"/>
                  </w:pPr>
                  <w:r>
                    <w:t xml:space="preserve">20.0</w:t>
                  </w:r>
                </w:p>
              </w:tc>
              <w:tc>
                <w:tcPr/>
                <w:p>
                  <w:pPr>
                    <w:pStyle w:val="Compact"/>
                    <w:jc w:val="center"/>
                  </w:pPr>
                  <w:r>
                    <w:t xml:space="preserve">7.21</w:t>
                  </w:r>
                </w:p>
              </w:tc>
              <w:tc>
                <w:tcPr/>
                <w:p>
                  <w:pPr>
                    <w:pStyle w:val="Compact"/>
                    <w:jc w:val="center"/>
                  </w:pPr>
                  <w:r>
                    <w:t xml:space="preserve">13.4</w:t>
                  </w:r>
                </w:p>
              </w:tc>
              <w:tc>
                <w:tcPr/>
                <w:p>
                  <w:pPr>
                    <w:pStyle w:val="Compact"/>
                    <w:jc w:val="center"/>
                  </w:pPr>
                  <w:r>
                    <w:t xml:space="preserve">1.97</w:t>
                  </w:r>
                </w:p>
              </w:tc>
            </w:tr>
            <w:tr>
              <w:tc>
                <w:tcPr/>
                <w:p>
                  <w:pPr>
                    <w:pStyle w:val="Compact"/>
                    <w:jc w:val="center"/>
                  </w:pPr>
                  <w:r>
                    <w:t xml:space="preserve">41</w:t>
                  </w:r>
                </w:p>
              </w:tc>
              <w:tc>
                <w:tcPr>
                  <w:gridSpan w:val="1"/>
                  <w:vMerge w:val="continue"/>
                </w:tcPr>
                <w:p>
                  <w:pPr/>
                </w:p>
              </w:tc>
              <w:tc>
                <w:tcPr/>
                <w:p>
                  <w:pPr>
                    <w:pStyle w:val="Compact"/>
                    <w:jc w:val="center"/>
                  </w:pPr>
                  <w:r>
                    <w:t xml:space="preserve">7.1</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40</w:t>
                  </w:r>
                </w:p>
              </w:tc>
              <w:tc>
                <w:tcPr/>
                <w:p>
                  <w:pPr>
                    <w:pStyle w:val="Compact"/>
                    <w:jc w:val="center"/>
                  </w:pPr>
                  <w:r>
                    <w:t xml:space="preserve">7.71</w:t>
                  </w:r>
                </w:p>
              </w:tc>
              <w:tc>
                <w:tcPr/>
                <w:p>
                  <w:pPr>
                    <w:pStyle w:val="Compact"/>
                    <w:jc w:val="center"/>
                  </w:pPr>
                  <w:r>
                    <w:t xml:space="preserve">19.7</w:t>
                  </w:r>
                </w:p>
              </w:tc>
              <w:tc>
                <w:tcPr/>
                <w:p>
                  <w:pPr>
                    <w:pStyle w:val="Compact"/>
                    <w:jc w:val="center"/>
                  </w:pPr>
                  <w:r>
                    <w:t xml:space="preserve">7.83</w:t>
                  </w:r>
                </w:p>
              </w:tc>
              <w:tc>
                <w:tcPr/>
                <w:p>
                  <w:pPr>
                    <w:pStyle w:val="Compact"/>
                    <w:jc w:val="center"/>
                  </w:pPr>
                  <w:r>
                    <w:t xml:space="preserve">21.6</w:t>
                  </w:r>
                </w:p>
              </w:tc>
              <w:tc>
                <w:tcPr/>
                <w:p>
                  <w:pPr>
                    <w:pStyle w:val="Compact"/>
                    <w:jc w:val="center"/>
                  </w:pPr>
                  <w:r>
                    <w:t xml:space="preserve">2.29</w:t>
                  </w:r>
                </w:p>
              </w:tc>
            </w:tr>
            <w:tr>
              <w:tc>
                <w:tcPr/>
                <w:p>
                  <w:pPr>
                    <w:pStyle w:val="Compact"/>
                    <w:jc w:val="center"/>
                  </w:pPr>
                  <w:r>
                    <w:t xml:space="preserve">42</w:t>
                  </w:r>
                </w:p>
              </w:tc>
              <w:tc>
                <w:tcPr>
                  <w:gridSpan w:val="1"/>
                  <w:vMerge w:val="continue"/>
                </w:tcPr>
                <w:p>
                  <w:pPr/>
                </w:p>
              </w:tc>
              <w:tc>
                <w:tcPr/>
                <w:p>
                  <w:pPr>
                    <w:pStyle w:val="Compact"/>
                    <w:jc w:val="center"/>
                  </w:pPr>
                  <w:r>
                    <w:t xml:space="preserve">7.1</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160</w:t>
                  </w:r>
                </w:p>
              </w:tc>
              <w:tc>
                <w:tcPr/>
                <w:p>
                  <w:pPr>
                    <w:pStyle w:val="Compact"/>
                    <w:jc w:val="center"/>
                  </w:pPr>
                  <w:r>
                    <w:t xml:space="preserve">4.34</w:t>
                  </w:r>
                </w:p>
              </w:tc>
              <w:tc>
                <w:tcPr/>
                <w:p>
                  <w:pPr>
                    <w:pStyle w:val="Compact"/>
                    <w:jc w:val="center"/>
                  </w:pPr>
                  <w:r>
                    <w:t xml:space="preserve">24.0</w:t>
                  </w:r>
                </w:p>
              </w:tc>
              <w:tc>
                <w:tcPr/>
                <w:p>
                  <w:pPr>
                    <w:pStyle w:val="Compact"/>
                    <w:jc w:val="center"/>
                  </w:pPr>
                  <w:r>
                    <w:t xml:space="preserve">6.83</w:t>
                  </w:r>
                </w:p>
              </w:tc>
              <w:tc>
                <w:tcPr/>
                <w:p>
                  <w:pPr>
                    <w:pStyle w:val="Compact"/>
                    <w:jc w:val="center"/>
                  </w:pPr>
                  <w:r>
                    <w:t xml:space="preserve">15.9</w:t>
                  </w:r>
                </w:p>
              </w:tc>
              <w:tc>
                <w:tcPr/>
                <w:p>
                  <w:pPr>
                    <w:pStyle w:val="Compact"/>
                    <w:jc w:val="center"/>
                  </w:pPr>
                  <w:r>
                    <w:t xml:space="preserve">1.52</w:t>
                  </w:r>
                </w:p>
              </w:tc>
            </w:tr>
            <w:tr>
              <w:tc>
                <w:tcPr/>
                <w:p>
                  <w:pPr>
                    <w:pStyle w:val="Compact"/>
                    <w:jc w:val="center"/>
                  </w:pPr>
                  <w:r>
                    <w:t xml:space="preserve">43</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40</w:t>
                  </w:r>
                </w:p>
              </w:tc>
              <w:tc>
                <w:tcPr/>
                <w:p>
                  <w:pPr>
                    <w:pStyle w:val="Compact"/>
                    <w:jc w:val="center"/>
                  </w:pPr>
                  <w:r>
                    <w:t xml:space="preserve">7.03</w:t>
                  </w:r>
                </w:p>
              </w:tc>
              <w:tc>
                <w:tcPr/>
                <w:p>
                  <w:pPr>
                    <w:pStyle w:val="Compact"/>
                    <w:jc w:val="center"/>
                  </w:pPr>
                  <w:r>
                    <w:t xml:space="preserve">28.6</w:t>
                  </w:r>
                </w:p>
              </w:tc>
              <w:tc>
                <w:tcPr/>
                <w:p>
                  <w:pPr>
                    <w:pStyle w:val="Compact"/>
                    <w:jc w:val="center"/>
                  </w:pPr>
                  <w:r>
                    <w:t xml:space="preserve">6.74</w:t>
                  </w:r>
                </w:p>
              </w:tc>
              <w:tc>
                <w:tcPr/>
                <w:p>
                  <w:pPr>
                    <w:pStyle w:val="Compact"/>
                    <w:jc w:val="center"/>
                  </w:pPr>
                  <w:r>
                    <w:t xml:space="preserve">25.6</w:t>
                  </w:r>
                </w:p>
              </w:tc>
              <w:tc>
                <w:tcPr/>
                <w:p>
                  <w:pPr>
                    <w:pStyle w:val="Compact"/>
                    <w:jc w:val="center"/>
                  </w:pPr>
                  <w:r>
                    <w:t xml:space="preserve">2.05</w:t>
                  </w:r>
                </w:p>
              </w:tc>
            </w:tr>
            <w:tr>
              <w:tc>
                <w:tcPr/>
                <w:p>
                  <w:pPr>
                    <w:pStyle w:val="Compact"/>
                    <w:jc w:val="center"/>
                  </w:pPr>
                  <w:r>
                    <w:t xml:space="preserve">44</w:t>
                  </w:r>
                </w:p>
              </w:tc>
              <w:tc>
                <w:tcPr>
                  <w:gridSpan w:val="1"/>
                  <w:vMerge w:val="continue"/>
                </w:tcPr>
                <w:p>
                  <w:pPr/>
                </w:p>
              </w:tc>
              <w:tc>
                <w:tcPr/>
                <w:p>
                  <w:pPr>
                    <w:pStyle w:val="Compact"/>
                    <w:jc w:val="center"/>
                  </w:pPr>
                  <w:r>
                    <w:t xml:space="preserve">7.1</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160</w:t>
                  </w:r>
                </w:p>
              </w:tc>
              <w:tc>
                <w:tcPr/>
                <w:p>
                  <w:pPr>
                    <w:pStyle w:val="Compact"/>
                    <w:jc w:val="center"/>
                  </w:pPr>
                  <w:r>
                    <w:t xml:space="preserve">3.57</w:t>
                  </w:r>
                </w:p>
              </w:tc>
              <w:tc>
                <w:tcPr/>
                <w:p>
                  <w:pPr>
                    <w:pStyle w:val="Compact"/>
                    <w:jc w:val="center"/>
                  </w:pPr>
                  <w:r>
                    <w:t xml:space="preserve">26.1</w:t>
                  </w:r>
                </w:p>
              </w:tc>
              <w:tc>
                <w:tcPr/>
                <w:p>
                  <w:pPr>
                    <w:pStyle w:val="Compact"/>
                    <w:jc w:val="center"/>
                  </w:pPr>
                  <w:r>
                    <w:t xml:space="preserve">7.45</w:t>
                  </w:r>
                </w:p>
              </w:tc>
              <w:tc>
                <w:tcPr/>
                <w:p>
                  <w:pPr>
                    <w:pStyle w:val="Compact"/>
                    <w:jc w:val="center"/>
                  </w:pPr>
                  <w:r>
                    <w:t xml:space="preserve">17.4</w:t>
                  </w:r>
                </w:p>
              </w:tc>
              <w:tc>
                <w:tcPr/>
                <w:p>
                  <w:pPr>
                    <w:pStyle w:val="Compact"/>
                    <w:jc w:val="center"/>
                  </w:pPr>
                  <w:r>
                    <w:t xml:space="preserve">2.38</w:t>
                  </w:r>
                </w:p>
              </w:tc>
            </w:tr>
            <w:tr>
              <w:tc>
                <w:tcPr>
                  <w:gridSpan w:val="11"/>
                </w:tcPr>
                <w:p>
                  <w:pPr>
                    <w:pStyle w:val="Compact"/>
                    <w:jc w:val="center"/>
                  </w:pPr>
                  <w:r>
                    <w:t xml:space="preserve">Factors: A, culture pH. B, culture temperature. E, culture duration. C, CO2 partial pressure (pCO2).</w:t>
                  </w:r>
                </w:p>
              </w:tc>
            </w:tr>
          </w:tbl>
          <w:bookmarkEnd w:id="163"/>
          <w:p/>
        </w:tc>
      </w:tr>
    </w:tbl>
    <w:bookmarkEnd w:id="164"/>
    <w:bookmarkStart w:id="178" w:name="sec-app-c"/>
    <w:p>
      <w:pPr>
        <w:pStyle w:val="Heading1"/>
      </w:pPr>
      <w:r>
        <w:t xml:space="preserve">Appendix C. Full effect and coefficient tables</w:t>
      </w:r>
    </w:p>
    <w:p>
      <w:pPr>
        <w:pStyle w:val="FirstParagraph"/>
      </w:pPr>
      <w:hyperlink w:anchor="tbl-scr-afucosylation">
        <w:r>
          <w:rPr>
            <w:rStyle w:val="Hyperlink"/>
          </w:rPr>
          <w:t xml:space="preserve">Table 31</w:t>
        </w:r>
      </w:hyperlink>
      <w:r>
        <w:t xml:space="preserve"> </w:t>
      </w:r>
      <w:r>
        <w:t xml:space="preserve">to</w:t>
      </w:r>
      <w:r>
        <w:t xml:space="preserve"> </w:t>
      </w:r>
      <w:hyperlink w:anchor="tbl-scr-aggregates">
        <w:r>
          <w:rPr>
            <w:rStyle w:val="Hyperlink"/>
          </w:rPr>
          <w:t xml:space="preserve">Table 35</w:t>
        </w:r>
      </w:hyperlink>
      <w:r>
        <w:t xml:space="preserve"> </w:t>
      </w:r>
      <w:r>
        <w:t xml:space="preserve">give every effect of the screening models, in the factor codes of</w:t>
      </w:r>
      <w:r>
        <w:t xml:space="preserve"> </w:t>
      </w:r>
      <w:hyperlink w:anchor="tbl-factors">
        <w:r>
          <w:rPr>
            <w:rStyle w:val="Hyperlink"/>
          </w:rPr>
          <w:t xml:space="preserve">Table 8</w:t>
        </w:r>
      </w:hyperlink>
      <w:r>
        <w:t xml:space="preserve">.</w:t>
      </w:r>
      <w:r>
        <w:t xml:space="preserve"> </w:t>
      </w:r>
      <w:hyperlink w:anchor="tbl-coef-afucosylation">
        <w:r>
          <w:rPr>
            <w:rStyle w:val="Hyperlink"/>
          </w:rPr>
          <w:t xml:space="preserve">Table 36</w:t>
        </w:r>
      </w:hyperlink>
      <w:r>
        <w:t xml:space="preserve"> </w:t>
      </w:r>
      <w:r>
        <w:t xml:space="preserve">to</w:t>
      </w:r>
      <w:r>
        <w:t xml:space="preserve"> </w:t>
      </w:r>
      <w:hyperlink w:anchor="tbl-anova-aggregates">
        <w:r>
          <w:rPr>
            <w:rStyle w:val="Hyperlink"/>
          </w:rPr>
          <w:t xml:space="preserve">Table 43</w:t>
        </w:r>
      </w:hyperlink>
      <w:r>
        <w:t xml:space="preserve"> </w:t>
      </w:r>
      <w:r>
        <w:t xml:space="preserve">give the coefficients and the analysis of variance of the selected response-surface models of the attributes other than acidic variants, whose tables are in</w:t>
      </w:r>
      <w:r>
        <w:t xml:space="preserve"> </w:t>
      </w:r>
      <w:hyperlink w:anchor="sec-effects">
        <w:r>
          <w:rPr>
            <w:rStyle w:val="Hyperlink"/>
          </w:rPr>
          <w:t xml:space="preserve">Section 5.3.3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5" w:name="tbl-scr-afucosylation"/>
          <w:p>
            <w:pPr>
              <w:jc w:val="center"/>
            </w:pPr>
            <w:pPr>
              <w:jc w:val="start"/>
              <w:spacing w:before="200"/>
              <w:pStyle w:val="ImageCaption"/>
            </w:pPr>
            <w:r>
              <w:t xml:space="preserve">Table 31: Effects of the screening model of afucosylation, as measured in the scale-down model.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AE</w:t>
                  </w:r>
                </w:p>
              </w:tc>
              <w:tc>
                <w:tcPr/>
                <w:p>
                  <w:pPr>
                    <w:pStyle w:val="Compact"/>
                    <w:jc w:val="right"/>
                    <w:jc w:val="center"/>
                  </w:pPr>
                  <w:r>
                    <w:t xml:space="preserve">2.4500</w:t>
                  </w:r>
                </w:p>
              </w:tc>
              <w:tc>
                <w:tcPr/>
                <w:p>
                  <w:pPr>
                    <w:pStyle w:val="Compact"/>
                    <w:jc w:val="right"/>
                    <w:jc w:val="center"/>
                  </w:pPr>
                  <w:r>
                    <w:t xml:space="preserve">1.2250</w:t>
                  </w:r>
                </w:p>
              </w:tc>
              <w:tc>
                <w:tcPr/>
                <w:p>
                  <w:pPr>
                    <w:pStyle w:val="Compact"/>
                    <w:jc w:val="right"/>
                    <w:jc w:val="center"/>
                  </w:pPr>
                  <w:r>
                    <w:t xml:space="preserve">0.2651</w:t>
                  </w:r>
                </w:p>
              </w:tc>
              <w:tc>
                <w:tcPr/>
                <w:p>
                  <w:pPr>
                    <w:pStyle w:val="Compact"/>
                    <w:jc w:val="right"/>
                    <w:jc w:val="center"/>
                  </w:pPr>
                  <w:r>
                    <w:t xml:space="preserve">4.6202</w:t>
                  </w:r>
                </w:p>
              </w:tc>
              <w:tc>
                <w:tcPr/>
                <w:p>
                  <w:pPr>
                    <w:pStyle w:val="Compact"/>
                    <w:jc w:val="right"/>
                    <w:jc w:val="center"/>
                  </w:pPr>
                  <w:r>
                    <w:t xml:space="preserve">0.019</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−2.3662</w:t>
                  </w:r>
                </w:p>
              </w:tc>
              <w:tc>
                <w:tcPr/>
                <w:p>
                  <w:pPr>
                    <w:pStyle w:val="Compact"/>
                    <w:jc w:val="right"/>
                    <w:jc w:val="center"/>
                  </w:pPr>
                  <w:r>
                    <w:t xml:space="preserve">−1.1831</w:t>
                  </w:r>
                </w:p>
              </w:tc>
              <w:tc>
                <w:tcPr/>
                <w:p>
                  <w:pPr>
                    <w:pStyle w:val="Compact"/>
                    <w:jc w:val="right"/>
                    <w:jc w:val="center"/>
                  </w:pPr>
                  <w:r>
                    <w:t xml:space="preserve">0.2651</w:t>
                  </w:r>
                </w:p>
              </w:tc>
              <w:tc>
                <w:tcPr/>
                <w:p>
                  <w:pPr>
                    <w:pStyle w:val="Compact"/>
                    <w:jc w:val="right"/>
                    <w:jc w:val="center"/>
                  </w:pPr>
                  <w:r>
                    <w:t xml:space="preserve">−4.4623</w:t>
                  </w:r>
                </w:p>
              </w:tc>
              <w:tc>
                <w:tcPr/>
                <w:p>
                  <w:pPr>
                    <w:pStyle w:val="Compact"/>
                    <w:jc w:val="right"/>
                    <w:jc w:val="center"/>
                  </w:pPr>
                  <w:r>
                    <w:t xml:space="preserve">0.021</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−1.7692</w:t>
                  </w:r>
                </w:p>
              </w:tc>
              <w:tc>
                <w:tcPr/>
                <w:p>
                  <w:pPr>
                    <w:pStyle w:val="Compact"/>
                    <w:jc w:val="right"/>
                    <w:jc w:val="center"/>
                  </w:pPr>
                  <w:r>
                    <w:t xml:space="preserve">−0.8846</w:t>
                  </w:r>
                </w:p>
              </w:tc>
              <w:tc>
                <w:tcPr/>
                <w:p>
                  <w:pPr>
                    <w:pStyle w:val="Compact"/>
                    <w:jc w:val="right"/>
                    <w:jc w:val="center"/>
                  </w:pPr>
                  <w:r>
                    <w:t xml:space="preserve">0.2670</w:t>
                  </w:r>
                </w:p>
              </w:tc>
              <w:tc>
                <w:tcPr/>
                <w:p>
                  <w:pPr>
                    <w:pStyle w:val="Compact"/>
                    <w:jc w:val="right"/>
                    <w:jc w:val="center"/>
                  </w:pPr>
                  <w:r>
                    <w:t xml:space="preserve">−3.3133</w:t>
                  </w:r>
                </w:p>
              </w:tc>
              <w:tc>
                <w:tcPr/>
                <w:p>
                  <w:pPr>
                    <w:pStyle w:val="Compact"/>
                    <w:jc w:val="right"/>
                    <w:jc w:val="center"/>
                  </w:pPr>
                  <w:r>
                    <w:t xml:space="preserve">0.045</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−1.5770</w:t>
                  </w:r>
                </w:p>
              </w:tc>
              <w:tc>
                <w:tcPr/>
                <w:p>
                  <w:pPr>
                    <w:pStyle w:val="Compact"/>
                    <w:jc w:val="right"/>
                    <w:jc w:val="center"/>
                  </w:pPr>
                  <w:r>
                    <w:t xml:space="preserve">−0.7885</w:t>
                  </w:r>
                </w:p>
              </w:tc>
              <w:tc>
                <w:tcPr/>
                <w:p>
                  <w:pPr>
                    <w:pStyle w:val="Compact"/>
                    <w:jc w:val="right"/>
                    <w:jc w:val="center"/>
                  </w:pPr>
                  <w:r>
                    <w:t xml:space="preserve">0.2651</w:t>
                  </w:r>
                </w:p>
              </w:tc>
              <w:tc>
                <w:tcPr/>
                <w:p>
                  <w:pPr>
                    <w:pStyle w:val="Compact"/>
                    <w:jc w:val="right"/>
                    <w:jc w:val="center"/>
                  </w:pPr>
                  <w:r>
                    <w:t xml:space="preserve">−2.9739</w:t>
                  </w:r>
                </w:p>
              </w:tc>
              <w:tc>
                <w:tcPr/>
                <w:p>
                  <w:pPr>
                    <w:pStyle w:val="Compact"/>
                    <w:jc w:val="right"/>
                    <w:jc w:val="center"/>
                  </w:pPr>
                  <w:r>
                    <w:t xml:space="preserve">0.059</w:t>
                  </w:r>
                </w:p>
              </w:tc>
              <w:tc>
                <w:tcPr/>
                <w:p>
                  <w:pPr>
                    <w:pStyle w:val="Compact"/>
                  </w:pPr>
                </w:p>
              </w:tc>
            </w:tr>
            <w:tr>
              <w:tc>
                <w:tcPr/>
                <w:p>
                  <w:pPr>
                    <w:pStyle w:val="Compact"/>
                    <w:jc w:val="left"/>
                    <w:jc w:val="center"/>
                  </w:pPr>
                  <w:r>
                    <w:t xml:space="preserve">B</w:t>
                  </w:r>
                </w:p>
              </w:tc>
              <w:tc>
                <w:tcPr/>
                <w:p>
                  <w:pPr>
                    <w:pStyle w:val="Compact"/>
                    <w:jc w:val="right"/>
                    <w:jc w:val="center"/>
                  </w:pPr>
                  <w:r>
                    <w:t xml:space="preserve">−1.3505</w:t>
                  </w:r>
                </w:p>
              </w:tc>
              <w:tc>
                <w:tcPr/>
                <w:p>
                  <w:pPr>
                    <w:pStyle w:val="Compact"/>
                    <w:jc w:val="right"/>
                    <w:jc w:val="center"/>
                  </w:pPr>
                  <w:r>
                    <w:t xml:space="preserve">−0.6752</w:t>
                  </w:r>
                </w:p>
              </w:tc>
              <w:tc>
                <w:tcPr/>
                <w:p>
                  <w:pPr>
                    <w:pStyle w:val="Compact"/>
                    <w:jc w:val="right"/>
                    <w:jc w:val="center"/>
                  </w:pPr>
                  <w:r>
                    <w:t xml:space="preserve">0.2651</w:t>
                  </w:r>
                </w:p>
              </w:tc>
              <w:tc>
                <w:tcPr/>
                <w:p>
                  <w:pPr>
                    <w:pStyle w:val="Compact"/>
                    <w:jc w:val="right"/>
                    <w:jc w:val="center"/>
                  </w:pPr>
                  <w:r>
                    <w:t xml:space="preserve">−2.5468</w:t>
                  </w:r>
                </w:p>
              </w:tc>
              <w:tc>
                <w:tcPr/>
                <w:p>
                  <w:pPr>
                    <w:pStyle w:val="Compact"/>
                    <w:jc w:val="right"/>
                    <w:jc w:val="center"/>
                  </w:pPr>
                  <w:r>
                    <w:t xml:space="preserve">0.084</w:t>
                  </w:r>
                </w:p>
              </w:tc>
              <w:tc>
                <w:tcPr/>
                <w:p>
                  <w:pPr>
                    <w:pStyle w:val="Compact"/>
                  </w:pPr>
                </w:p>
              </w:tc>
            </w:tr>
            <w:tr>
              <w:tc>
                <w:tcPr/>
                <w:p>
                  <w:pPr>
                    <w:pStyle w:val="Compact"/>
                    <w:jc w:val="left"/>
                    <w:jc w:val="center"/>
                  </w:pPr>
                  <w:r>
                    <w:t xml:space="preserve">D</w:t>
                  </w:r>
                </w:p>
              </w:tc>
              <w:tc>
                <w:tcPr/>
                <w:p>
                  <w:pPr>
                    <w:pStyle w:val="Compact"/>
                    <w:jc w:val="right"/>
                    <w:jc w:val="center"/>
                  </w:pPr>
                  <w:r>
                    <w:t xml:space="preserve">−1.3211</w:t>
                  </w:r>
                </w:p>
              </w:tc>
              <w:tc>
                <w:tcPr/>
                <w:p>
                  <w:pPr>
                    <w:pStyle w:val="Compact"/>
                    <w:jc w:val="right"/>
                    <w:jc w:val="center"/>
                  </w:pPr>
                  <w:r>
                    <w:t xml:space="preserve">−0.6605</w:t>
                  </w:r>
                </w:p>
              </w:tc>
              <w:tc>
                <w:tcPr/>
                <w:p>
                  <w:pPr>
                    <w:pStyle w:val="Compact"/>
                    <w:jc w:val="right"/>
                    <w:jc w:val="center"/>
                  </w:pPr>
                  <w:r>
                    <w:t xml:space="preserve">0.2651</w:t>
                  </w:r>
                </w:p>
              </w:tc>
              <w:tc>
                <w:tcPr/>
                <w:p>
                  <w:pPr>
                    <w:pStyle w:val="Compact"/>
                    <w:jc w:val="right"/>
                    <w:jc w:val="center"/>
                  </w:pPr>
                  <w:r>
                    <w:t xml:space="preserve">−2.4913</w:t>
                  </w:r>
                </w:p>
              </w:tc>
              <w:tc>
                <w:tcPr/>
                <w:p>
                  <w:pPr>
                    <w:pStyle w:val="Compact"/>
                    <w:jc w:val="right"/>
                    <w:jc w:val="center"/>
                  </w:pPr>
                  <w:r>
                    <w:t xml:space="preserve">0.088</w:t>
                  </w:r>
                </w:p>
              </w:tc>
              <w:tc>
                <w:tcPr/>
                <w:p>
                  <w:pPr>
                    <w:pStyle w:val="Compact"/>
                  </w:pPr>
                </w:p>
              </w:tc>
            </w:tr>
            <w:tr>
              <w:tc>
                <w:tcPr/>
                <w:p>
                  <w:pPr>
                    <w:pStyle w:val="Compact"/>
                    <w:jc w:val="left"/>
                    <w:jc w:val="center"/>
                  </w:pPr>
                  <w:r>
                    <w:t xml:space="preserve">AB</w:t>
                  </w:r>
                </w:p>
              </w:tc>
              <w:tc>
                <w:tcPr/>
                <w:p>
                  <w:pPr>
                    <w:pStyle w:val="Compact"/>
                    <w:jc w:val="right"/>
                    <w:jc w:val="center"/>
                  </w:pPr>
                  <w:r>
                    <w:t xml:space="preserve">−1.2728</w:t>
                  </w:r>
                </w:p>
              </w:tc>
              <w:tc>
                <w:tcPr/>
                <w:p>
                  <w:pPr>
                    <w:pStyle w:val="Compact"/>
                    <w:jc w:val="right"/>
                    <w:jc w:val="center"/>
                  </w:pPr>
                  <w:r>
                    <w:t xml:space="preserve">−0.6364</w:t>
                  </w:r>
                </w:p>
              </w:tc>
              <w:tc>
                <w:tcPr/>
                <w:p>
                  <w:pPr>
                    <w:pStyle w:val="Compact"/>
                    <w:jc w:val="right"/>
                    <w:jc w:val="center"/>
                  </w:pPr>
                  <w:r>
                    <w:t xml:space="preserve">0.2651</w:t>
                  </w:r>
                </w:p>
              </w:tc>
              <w:tc>
                <w:tcPr/>
                <w:p>
                  <w:pPr>
                    <w:pStyle w:val="Compact"/>
                    <w:jc w:val="right"/>
                    <w:jc w:val="center"/>
                  </w:pPr>
                  <w:r>
                    <w:t xml:space="preserve">−2.4003</w:t>
                  </w:r>
                </w:p>
              </w:tc>
              <w:tc>
                <w:tcPr/>
                <w:p>
                  <w:pPr>
                    <w:pStyle w:val="Compact"/>
                    <w:jc w:val="right"/>
                    <w:jc w:val="center"/>
                  </w:pPr>
                  <w:r>
                    <w:t xml:space="preserve">0.096</w:t>
                  </w:r>
                </w:p>
              </w:tc>
              <w:tc>
                <w:tcPr/>
                <w:p>
                  <w:pPr>
                    <w:pStyle w:val="Compact"/>
                  </w:pPr>
                </w:p>
              </w:tc>
            </w:tr>
            <w:tr>
              <w:tc>
                <w:tcPr/>
                <w:p>
                  <w:pPr>
                    <w:pStyle w:val="Compact"/>
                    <w:jc w:val="left"/>
                    <w:jc w:val="center"/>
                  </w:pPr>
                  <w:r>
                    <w:t xml:space="preserve">C</w:t>
                  </w:r>
                </w:p>
              </w:tc>
              <w:tc>
                <w:tcPr/>
                <w:p>
                  <w:pPr>
                    <w:pStyle w:val="Compact"/>
                    <w:jc w:val="right"/>
                    <w:jc w:val="center"/>
                  </w:pPr>
                  <w:r>
                    <w:t xml:space="preserve">−0.7197</w:t>
                  </w:r>
                </w:p>
              </w:tc>
              <w:tc>
                <w:tcPr/>
                <w:p>
                  <w:pPr>
                    <w:pStyle w:val="Compact"/>
                    <w:jc w:val="right"/>
                    <w:jc w:val="center"/>
                  </w:pPr>
                  <w:r>
                    <w:t xml:space="preserve">−0.3598</w:t>
                  </w:r>
                </w:p>
              </w:tc>
              <w:tc>
                <w:tcPr/>
                <w:p>
                  <w:pPr>
                    <w:pStyle w:val="Compact"/>
                    <w:jc w:val="right"/>
                    <w:jc w:val="center"/>
                  </w:pPr>
                  <w:r>
                    <w:t xml:space="preserve">0.2670</w:t>
                  </w:r>
                </w:p>
              </w:tc>
              <w:tc>
                <w:tcPr/>
                <w:p>
                  <w:pPr>
                    <w:pStyle w:val="Compact"/>
                    <w:jc w:val="right"/>
                    <w:jc w:val="center"/>
                  </w:pPr>
                  <w:r>
                    <w:t xml:space="preserve">−1.3478</w:t>
                  </w:r>
                </w:p>
              </w:tc>
              <w:tc>
                <w:tcPr/>
                <w:p>
                  <w:pPr>
                    <w:pStyle w:val="Compact"/>
                    <w:jc w:val="right"/>
                    <w:jc w:val="center"/>
                  </w:pPr>
                  <w:r>
                    <w:t xml:space="preserve">0.270</w:t>
                  </w:r>
                </w:p>
              </w:tc>
              <w:tc>
                <w:tcPr/>
                <w:p>
                  <w:pPr>
                    <w:pStyle w:val="Compact"/>
                  </w:pPr>
                </w:p>
              </w:tc>
            </w:tr>
            <w:tr>
              <w:tc>
                <w:tcPr/>
                <w:p>
                  <w:pPr>
                    <w:pStyle w:val="Compact"/>
                    <w:jc w:val="left"/>
                    <w:jc w:val="center"/>
                  </w:pPr>
                  <w:r>
                    <w:t xml:space="preserve">BD</w:t>
                  </w:r>
                </w:p>
              </w:tc>
              <w:tc>
                <w:tcPr/>
                <w:p>
                  <w:pPr>
                    <w:pStyle w:val="Compact"/>
                    <w:jc w:val="right"/>
                    <w:jc w:val="center"/>
                  </w:pPr>
                  <w:r>
                    <w:t xml:space="preserve">0.4446</w:t>
                  </w:r>
                </w:p>
              </w:tc>
              <w:tc>
                <w:tcPr/>
                <w:p>
                  <w:pPr>
                    <w:pStyle w:val="Compact"/>
                    <w:jc w:val="right"/>
                    <w:jc w:val="center"/>
                  </w:pPr>
                  <w:r>
                    <w:t xml:space="preserve">0.2223</w:t>
                  </w:r>
                </w:p>
              </w:tc>
              <w:tc>
                <w:tcPr/>
                <w:p>
                  <w:pPr>
                    <w:pStyle w:val="Compact"/>
                    <w:jc w:val="right"/>
                    <w:jc w:val="center"/>
                  </w:pPr>
                  <w:r>
                    <w:t xml:space="preserve">0.2651</w:t>
                  </w:r>
                </w:p>
              </w:tc>
              <w:tc>
                <w:tcPr/>
                <w:p>
                  <w:pPr>
                    <w:pStyle w:val="Compact"/>
                    <w:jc w:val="right"/>
                    <w:jc w:val="center"/>
                  </w:pPr>
                  <w:r>
                    <w:t xml:space="preserve">0.8384</w:t>
                  </w:r>
                </w:p>
              </w:tc>
              <w:tc>
                <w:tcPr/>
                <w:p>
                  <w:pPr>
                    <w:pStyle w:val="Compact"/>
                    <w:jc w:val="right"/>
                    <w:jc w:val="center"/>
                  </w:pPr>
                  <w:r>
                    <w:t xml:space="preserve">0.463</w:t>
                  </w:r>
                </w:p>
              </w:tc>
              <w:tc>
                <w:tcPr/>
                <w:p>
                  <w:pPr>
                    <w:pStyle w:val="Compact"/>
                  </w:pPr>
                </w:p>
              </w:tc>
            </w:tr>
            <w:tr>
              <w:tc>
                <w:tcPr/>
                <w:p>
                  <w:pPr>
                    <w:pStyle w:val="Compact"/>
                    <w:jc w:val="left"/>
                    <w:jc w:val="center"/>
                  </w:pPr>
                  <w:r>
                    <w:t xml:space="preserve">BE</w:t>
                  </w:r>
                </w:p>
              </w:tc>
              <w:tc>
                <w:tcPr/>
                <w:p>
                  <w:pPr>
                    <w:pStyle w:val="Compact"/>
                    <w:jc w:val="right"/>
                    <w:jc w:val="center"/>
                  </w:pPr>
                  <w:r>
                    <w:t xml:space="preserve">0.3545</w:t>
                  </w:r>
                </w:p>
              </w:tc>
              <w:tc>
                <w:tcPr/>
                <w:p>
                  <w:pPr>
                    <w:pStyle w:val="Compact"/>
                    <w:jc w:val="right"/>
                    <w:jc w:val="center"/>
                  </w:pPr>
                  <w:r>
                    <w:t xml:space="preserve">0.1772</w:t>
                  </w:r>
                </w:p>
              </w:tc>
              <w:tc>
                <w:tcPr/>
                <w:p>
                  <w:pPr>
                    <w:pStyle w:val="Compact"/>
                    <w:jc w:val="right"/>
                    <w:jc w:val="center"/>
                  </w:pPr>
                  <w:r>
                    <w:t xml:space="preserve">0.2651</w:t>
                  </w:r>
                </w:p>
              </w:tc>
              <w:tc>
                <w:tcPr/>
                <w:p>
                  <w:pPr>
                    <w:pStyle w:val="Compact"/>
                    <w:jc w:val="right"/>
                    <w:jc w:val="center"/>
                  </w:pPr>
                  <w:r>
                    <w:t xml:space="preserve">0.6684</w:t>
                  </w:r>
                </w:p>
              </w:tc>
              <w:tc>
                <w:tcPr/>
                <w:p>
                  <w:pPr>
                    <w:pStyle w:val="Compact"/>
                    <w:jc w:val="right"/>
                    <w:jc w:val="center"/>
                  </w:pPr>
                  <w:r>
                    <w:t xml:space="preserve">0.552</w:t>
                  </w:r>
                </w:p>
              </w:tc>
              <w:tc>
                <w:tcPr/>
                <w:p>
                  <w:pPr>
                    <w:pStyle w:val="Compact"/>
                  </w:pPr>
                </w:p>
              </w:tc>
            </w:tr>
            <w:tr>
              <w:tc>
                <w:tcPr/>
                <w:p>
                  <w:pPr>
                    <w:pStyle w:val="Compact"/>
                    <w:jc w:val="left"/>
                    <w:jc w:val="center"/>
                  </w:pPr>
                  <w:r>
                    <w:t xml:space="preserve">AD</w:t>
                  </w:r>
                </w:p>
              </w:tc>
              <w:tc>
                <w:tcPr/>
                <w:p>
                  <w:pPr>
                    <w:pStyle w:val="Compact"/>
                    <w:jc w:val="right"/>
                    <w:jc w:val="center"/>
                  </w:pPr>
                  <w:r>
                    <w:t xml:space="preserve">−0.1827</w:t>
                  </w:r>
                </w:p>
              </w:tc>
              <w:tc>
                <w:tcPr/>
                <w:p>
                  <w:pPr>
                    <w:pStyle w:val="Compact"/>
                    <w:jc w:val="right"/>
                    <w:jc w:val="center"/>
                  </w:pPr>
                  <w:r>
                    <w:t xml:space="preserve">−0.0913</w:t>
                  </w:r>
                </w:p>
              </w:tc>
              <w:tc>
                <w:tcPr/>
                <w:p>
                  <w:pPr>
                    <w:pStyle w:val="Compact"/>
                    <w:jc w:val="right"/>
                    <w:jc w:val="center"/>
                  </w:pPr>
                  <w:r>
                    <w:t xml:space="preserve">0.2651</w:t>
                  </w:r>
                </w:p>
              </w:tc>
              <w:tc>
                <w:tcPr/>
                <w:p>
                  <w:pPr>
                    <w:pStyle w:val="Compact"/>
                    <w:jc w:val="right"/>
                    <w:jc w:val="center"/>
                  </w:pPr>
                  <w:r>
                    <w:t xml:space="preserve">−0.3445</w:t>
                  </w:r>
                </w:p>
              </w:tc>
              <w:tc>
                <w:tcPr/>
                <w:p>
                  <w:pPr>
                    <w:pStyle w:val="Compact"/>
                    <w:jc w:val="right"/>
                    <w:jc w:val="center"/>
                  </w:pPr>
                  <w:r>
                    <w:t xml:space="preserve">0.753</w:t>
                  </w:r>
                </w:p>
              </w:tc>
              <w:tc>
                <w:tcPr/>
                <w:p>
                  <w:pPr>
                    <w:pStyle w:val="Compact"/>
                  </w:pPr>
                </w:p>
              </w:tc>
            </w:tr>
            <w:tr>
              <w:tc>
                <w:tcPr/>
                <w:p>
                  <w:pPr>
                    <w:pStyle w:val="Compact"/>
                    <w:jc w:val="left"/>
                    <w:jc w:val="center"/>
                  </w:pPr>
                  <w:r>
                    <w:t xml:space="preserve">BC</w:t>
                  </w:r>
                </w:p>
              </w:tc>
              <w:tc>
                <w:tcPr/>
                <w:p>
                  <w:pPr>
                    <w:pStyle w:val="Compact"/>
                    <w:jc w:val="right"/>
                    <w:jc w:val="center"/>
                  </w:pPr>
                  <w:r>
                    <w:t xml:space="preserve">−0.1812</w:t>
                  </w:r>
                </w:p>
              </w:tc>
              <w:tc>
                <w:tcPr/>
                <w:p>
                  <w:pPr>
                    <w:pStyle w:val="Compact"/>
                    <w:jc w:val="right"/>
                    <w:jc w:val="center"/>
                  </w:pPr>
                  <w:r>
                    <w:t xml:space="preserve">−0.0906</w:t>
                  </w:r>
                </w:p>
              </w:tc>
              <w:tc>
                <w:tcPr/>
                <w:p>
                  <w:pPr>
                    <w:pStyle w:val="Compact"/>
                    <w:jc w:val="right"/>
                    <w:jc w:val="center"/>
                  </w:pPr>
                  <w:r>
                    <w:t xml:space="preserve">0.2670</w:t>
                  </w:r>
                </w:p>
              </w:tc>
              <w:tc>
                <w:tcPr/>
                <w:p>
                  <w:pPr>
                    <w:pStyle w:val="Compact"/>
                    <w:jc w:val="right"/>
                    <w:jc w:val="center"/>
                  </w:pPr>
                  <w:r>
                    <w:t xml:space="preserve">−0.3393</w:t>
                  </w:r>
                </w:p>
              </w:tc>
              <w:tc>
                <w:tcPr/>
                <w:p>
                  <w:pPr>
                    <w:pStyle w:val="Compact"/>
                    <w:jc w:val="right"/>
                    <w:jc w:val="center"/>
                  </w:pPr>
                  <w:r>
                    <w:t xml:space="preserve">0.757</w:t>
                  </w:r>
                </w:p>
              </w:tc>
              <w:tc>
                <w:tcPr/>
                <w:p>
                  <w:pPr>
                    <w:pStyle w:val="Compact"/>
                  </w:pPr>
                </w:p>
              </w:tc>
            </w:tr>
            <w:tr>
              <w:tc>
                <w:tcPr/>
                <w:p>
                  <w:pPr>
                    <w:pStyle w:val="Compact"/>
                    <w:jc w:val="left"/>
                    <w:jc w:val="center"/>
                  </w:pPr>
                  <w:r>
                    <w:t xml:space="preserve">CD</w:t>
                  </w:r>
                </w:p>
              </w:tc>
              <w:tc>
                <w:tcPr/>
                <w:p>
                  <w:pPr>
                    <w:pStyle w:val="Compact"/>
                    <w:jc w:val="right"/>
                    <w:jc w:val="center"/>
                  </w:pPr>
                  <w:r>
                    <w:t xml:space="preserve">−0.1373</w:t>
                  </w:r>
                </w:p>
              </w:tc>
              <w:tc>
                <w:tcPr/>
                <w:p>
                  <w:pPr>
                    <w:pStyle w:val="Compact"/>
                    <w:jc w:val="right"/>
                    <w:jc w:val="center"/>
                  </w:pPr>
                  <w:r>
                    <w:t xml:space="preserve">−0.0686</w:t>
                  </w:r>
                </w:p>
              </w:tc>
              <w:tc>
                <w:tcPr/>
                <w:p>
                  <w:pPr>
                    <w:pStyle w:val="Compact"/>
                    <w:jc w:val="right"/>
                    <w:jc w:val="center"/>
                  </w:pPr>
                  <w:r>
                    <w:t xml:space="preserve">0.2670</w:t>
                  </w:r>
                </w:p>
              </w:tc>
              <w:tc>
                <w:tcPr/>
                <w:p>
                  <w:pPr>
                    <w:pStyle w:val="Compact"/>
                    <w:jc w:val="right"/>
                    <w:jc w:val="center"/>
                  </w:pPr>
                  <w:r>
                    <w:t xml:space="preserve">−0.2571</w:t>
                  </w:r>
                </w:p>
              </w:tc>
              <w:tc>
                <w:tcPr/>
                <w:p>
                  <w:pPr>
                    <w:pStyle w:val="Compact"/>
                    <w:jc w:val="right"/>
                    <w:jc w:val="center"/>
                  </w:pPr>
                  <w:r>
                    <w:t xml:space="preserve">0.814</w:t>
                  </w:r>
                </w:p>
              </w:tc>
              <w:tc>
                <w:tcPr/>
                <w:p>
                  <w:pPr>
                    <w:pStyle w:val="Compact"/>
                  </w:pPr>
                </w:p>
              </w:tc>
            </w:tr>
            <w:tr>
              <w:tc>
                <w:tcPr/>
                <w:p>
                  <w:pPr>
                    <w:pStyle w:val="Compact"/>
                    <w:jc w:val="left"/>
                    <w:jc w:val="center"/>
                  </w:pPr>
                  <w:r>
                    <w:t xml:space="preserve">DE</w:t>
                  </w:r>
                </w:p>
              </w:tc>
              <w:tc>
                <w:tcPr/>
                <w:p>
                  <w:pPr>
                    <w:pStyle w:val="Compact"/>
                    <w:jc w:val="right"/>
                    <w:jc w:val="center"/>
                  </w:pPr>
                  <w:r>
                    <w:t xml:space="preserve">0.0434</w:t>
                  </w:r>
                </w:p>
              </w:tc>
              <w:tc>
                <w:tcPr/>
                <w:p>
                  <w:pPr>
                    <w:pStyle w:val="Compact"/>
                    <w:jc w:val="right"/>
                    <w:jc w:val="center"/>
                  </w:pPr>
                  <w:r>
                    <w:t xml:space="preserve">0.0217</w:t>
                  </w:r>
                </w:p>
              </w:tc>
              <w:tc>
                <w:tcPr/>
                <w:p>
                  <w:pPr>
                    <w:pStyle w:val="Compact"/>
                    <w:jc w:val="right"/>
                    <w:jc w:val="center"/>
                  </w:pPr>
                  <w:r>
                    <w:t xml:space="preserve">0.2651</w:t>
                  </w:r>
                </w:p>
              </w:tc>
              <w:tc>
                <w:tcPr/>
                <w:p>
                  <w:pPr>
                    <w:pStyle w:val="Compact"/>
                    <w:jc w:val="right"/>
                    <w:jc w:val="center"/>
                  </w:pPr>
                  <w:r>
                    <w:t xml:space="preserve">0.0818</w:t>
                  </w:r>
                </w:p>
              </w:tc>
              <w:tc>
                <w:tcPr/>
                <w:p>
                  <w:pPr>
                    <w:pStyle w:val="Compact"/>
                    <w:jc w:val="right"/>
                    <w:jc w:val="center"/>
                  </w:pPr>
                  <w:r>
                    <w:t xml:space="preserve">0.940</w:t>
                  </w:r>
                </w:p>
              </w:tc>
              <w:tc>
                <w:tcPr/>
                <w:p>
                  <w:pPr>
                    <w:pStyle w:val="Compact"/>
                  </w:pPr>
                </w:p>
              </w:tc>
            </w:tr>
            <w:tr>
              <w:tc>
                <w:tcPr/>
                <w:p>
                  <w:pPr>
                    <w:pStyle w:val="Compact"/>
                    <w:jc w:val="left"/>
                    <w:jc w:val="center"/>
                  </w:pPr>
                  <w:r>
                    <w:t xml:space="preserve">CE</w:t>
                  </w:r>
                </w:p>
              </w:tc>
              <w:tc>
                <w:tcPr/>
                <w:p>
                  <w:pPr>
                    <w:pStyle w:val="Compact"/>
                    <w:jc w:val="right"/>
                    <w:jc w:val="center"/>
                  </w:pPr>
                  <w:r>
                    <w:t xml:space="preserve">0.0217</w:t>
                  </w:r>
                </w:p>
              </w:tc>
              <w:tc>
                <w:tcPr/>
                <w:p>
                  <w:pPr>
                    <w:pStyle w:val="Compact"/>
                    <w:jc w:val="right"/>
                    <w:jc w:val="center"/>
                  </w:pPr>
                  <w:r>
                    <w:t xml:space="preserve">0.0109</w:t>
                  </w:r>
                </w:p>
              </w:tc>
              <w:tc>
                <w:tcPr/>
                <w:p>
                  <w:pPr>
                    <w:pStyle w:val="Compact"/>
                    <w:jc w:val="right"/>
                    <w:jc w:val="center"/>
                  </w:pPr>
                  <w:r>
                    <w:t xml:space="preserve">0.2670</w:t>
                  </w:r>
                </w:p>
              </w:tc>
              <w:tc>
                <w:tcPr/>
                <w:p>
                  <w:pPr>
                    <w:pStyle w:val="Compact"/>
                    <w:jc w:val="right"/>
                    <w:jc w:val="center"/>
                  </w:pPr>
                  <w:r>
                    <w:t xml:space="preserve">0.0407</w:t>
                  </w:r>
                </w:p>
              </w:tc>
              <w:tc>
                <w:tcPr/>
                <w:p>
                  <w:pPr>
                    <w:pStyle w:val="Compact"/>
                    <w:jc w:val="right"/>
                    <w:jc w:val="center"/>
                  </w:pPr>
                  <w:r>
                    <w:t xml:space="preserve">0.970</w:t>
                  </w:r>
                </w:p>
              </w:tc>
              <w:tc>
                <w:tcPr/>
                <w:p>
                  <w:pPr>
                    <w:pStyle w:val="Compact"/>
                  </w:pPr>
                </w:p>
              </w:tc>
            </w:tr>
          </w:tbl>
          <w:bookmarkEnd w:id="1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6" w:name="tbl-scr-galactosylation"/>
          <w:p>
            <w:pPr>
              <w:jc w:val="center"/>
            </w:pPr>
            <w:pPr>
              <w:jc w:val="start"/>
              <w:spacing w:before="200"/>
              <w:pStyle w:val="ImageCaption"/>
            </w:pPr>
            <w:r>
              <w:t xml:space="preserve">Table 32: Effects of the screening model of galactosylation, as measured in the scale-down model.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E</w:t>
                  </w:r>
                </w:p>
              </w:tc>
              <w:tc>
                <w:tcPr/>
                <w:p>
                  <w:pPr>
                    <w:pStyle w:val="Compact"/>
                    <w:jc w:val="right"/>
                    <w:jc w:val="center"/>
                  </w:pPr>
                  <w:r>
                    <w:t xml:space="preserve">−7.8645</w:t>
                  </w:r>
                </w:p>
              </w:tc>
              <w:tc>
                <w:tcPr/>
                <w:p>
                  <w:pPr>
                    <w:pStyle w:val="Compact"/>
                    <w:jc w:val="right"/>
                    <w:jc w:val="center"/>
                  </w:pPr>
                  <w:r>
                    <w:t xml:space="preserve">−3.9322</w:t>
                  </w:r>
                </w:p>
              </w:tc>
              <w:tc>
                <w:tcPr/>
                <w:p>
                  <w:pPr>
                    <w:pStyle w:val="Compact"/>
                    <w:jc w:val="right"/>
                    <w:jc w:val="center"/>
                  </w:pPr>
                  <w:r>
                    <w:t xml:space="preserve">0.1980</w:t>
                  </w:r>
                </w:p>
              </w:tc>
              <w:tc>
                <w:tcPr/>
                <w:p>
                  <w:pPr>
                    <w:pStyle w:val="Compact"/>
                    <w:jc w:val="right"/>
                    <w:jc w:val="center"/>
                  </w:pPr>
                  <w:r>
                    <w:t xml:space="preserve">−19.8560</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AE</w:t>
                  </w:r>
                </w:p>
              </w:tc>
              <w:tc>
                <w:tcPr/>
                <w:p>
                  <w:pPr>
                    <w:pStyle w:val="Compact"/>
                    <w:jc w:val="right"/>
                    <w:jc w:val="center"/>
                  </w:pPr>
                  <w:r>
                    <w:t xml:space="preserve">6.9517</w:t>
                  </w:r>
                </w:p>
              </w:tc>
              <w:tc>
                <w:tcPr/>
                <w:p>
                  <w:pPr>
                    <w:pStyle w:val="Compact"/>
                    <w:jc w:val="right"/>
                    <w:jc w:val="center"/>
                  </w:pPr>
                  <w:r>
                    <w:t xml:space="preserve">3.4758</w:t>
                  </w:r>
                </w:p>
              </w:tc>
              <w:tc>
                <w:tcPr/>
                <w:p>
                  <w:pPr>
                    <w:pStyle w:val="Compact"/>
                    <w:jc w:val="right"/>
                    <w:jc w:val="center"/>
                  </w:pPr>
                  <w:r>
                    <w:t xml:space="preserve">0.1980</w:t>
                  </w:r>
                </w:p>
              </w:tc>
              <w:tc>
                <w:tcPr/>
                <w:p>
                  <w:pPr>
                    <w:pStyle w:val="Compact"/>
                    <w:jc w:val="right"/>
                    <w:jc w:val="center"/>
                  </w:pPr>
                  <w:r>
                    <w:t xml:space="preserve">17.5514</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C</w:t>
                  </w:r>
                </w:p>
              </w:tc>
              <w:tc>
                <w:tcPr/>
                <w:p>
                  <w:pPr>
                    <w:pStyle w:val="Compact"/>
                    <w:jc w:val="right"/>
                    <w:jc w:val="center"/>
                  </w:pPr>
                  <w:r>
                    <w:t xml:space="preserve">−5.8404</w:t>
                  </w:r>
                </w:p>
              </w:tc>
              <w:tc>
                <w:tcPr/>
                <w:p>
                  <w:pPr>
                    <w:pStyle w:val="Compact"/>
                    <w:jc w:val="right"/>
                    <w:jc w:val="center"/>
                  </w:pPr>
                  <w:r>
                    <w:t xml:space="preserve">−2.9202</w:t>
                  </w:r>
                </w:p>
              </w:tc>
              <w:tc>
                <w:tcPr/>
                <w:p>
                  <w:pPr>
                    <w:pStyle w:val="Compact"/>
                    <w:jc w:val="right"/>
                    <w:jc w:val="center"/>
                  </w:pPr>
                  <w:r>
                    <w:t xml:space="preserve">0.1994</w:t>
                  </w:r>
                </w:p>
              </w:tc>
              <w:tc>
                <w:tcPr/>
                <w:p>
                  <w:pPr>
                    <w:pStyle w:val="Compact"/>
                    <w:jc w:val="right"/>
                    <w:jc w:val="center"/>
                  </w:pPr>
                  <w:r>
                    <w:t xml:space="preserve">−14.6435</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−4.5069</w:t>
                  </w:r>
                </w:p>
              </w:tc>
              <w:tc>
                <w:tcPr/>
                <w:p>
                  <w:pPr>
                    <w:pStyle w:val="Compact"/>
                    <w:jc w:val="right"/>
                    <w:jc w:val="center"/>
                  </w:pPr>
                  <w:r>
                    <w:t xml:space="preserve">−2.2535</w:t>
                  </w:r>
                </w:p>
              </w:tc>
              <w:tc>
                <w:tcPr/>
                <w:p>
                  <w:pPr>
                    <w:pStyle w:val="Compact"/>
                    <w:jc w:val="right"/>
                    <w:jc w:val="center"/>
                  </w:pPr>
                  <w:r>
                    <w:t xml:space="preserve">0.1980</w:t>
                  </w:r>
                </w:p>
              </w:tc>
              <w:tc>
                <w:tcPr/>
                <w:p>
                  <w:pPr>
                    <w:pStyle w:val="Compact"/>
                    <w:jc w:val="right"/>
                    <w:jc w:val="center"/>
                  </w:pPr>
                  <w:r>
                    <w:t xml:space="preserve">−11.3789</w:t>
                  </w:r>
                </w:p>
              </w:tc>
              <w:tc>
                <w:tcPr/>
                <w:p>
                  <w:pPr>
                    <w:pStyle w:val="Compact"/>
                    <w:jc w:val="right"/>
                    <w:jc w:val="center"/>
                  </w:pPr>
                  <w:r>
                    <w:t xml:space="preserve">0.001</w:t>
                  </w:r>
                </w:p>
              </w:tc>
              <w:tc>
                <w:tcPr/>
                <w:p>
                  <w:pPr>
                    <w:pStyle w:val="Compact"/>
                    <w:jc w:val="left"/>
                    <w:jc w:val="center"/>
                  </w:pPr>
                  <w:r>
                    <w:t xml:space="preserve">**</w:t>
                  </w:r>
                </w:p>
              </w:tc>
            </w:tr>
            <w:tr>
              <w:tc>
                <w:tcPr/>
                <w:p>
                  <w:pPr>
                    <w:pStyle w:val="Compact"/>
                    <w:jc w:val="left"/>
                    <w:jc w:val="center"/>
                  </w:pPr>
                  <w:r>
                    <w:t xml:space="preserve">BD</w:t>
                  </w:r>
                </w:p>
              </w:tc>
              <w:tc>
                <w:tcPr/>
                <w:p>
                  <w:pPr>
                    <w:pStyle w:val="Compact"/>
                    <w:jc w:val="right"/>
                    <w:jc w:val="center"/>
                  </w:pPr>
                  <w:r>
                    <w:t xml:space="preserve">3.7451</w:t>
                  </w:r>
                </w:p>
              </w:tc>
              <w:tc>
                <w:tcPr/>
                <w:p>
                  <w:pPr>
                    <w:pStyle w:val="Compact"/>
                    <w:jc w:val="right"/>
                    <w:jc w:val="center"/>
                  </w:pPr>
                  <w:r>
                    <w:t xml:space="preserve">1.8725</w:t>
                  </w:r>
                </w:p>
              </w:tc>
              <w:tc>
                <w:tcPr/>
                <w:p>
                  <w:pPr>
                    <w:pStyle w:val="Compact"/>
                    <w:jc w:val="right"/>
                    <w:jc w:val="center"/>
                  </w:pPr>
                  <w:r>
                    <w:t xml:space="preserve">0.1980</w:t>
                  </w:r>
                </w:p>
              </w:tc>
              <w:tc>
                <w:tcPr/>
                <w:p>
                  <w:pPr>
                    <w:pStyle w:val="Compact"/>
                    <w:jc w:val="right"/>
                    <w:jc w:val="center"/>
                  </w:pPr>
                  <w:r>
                    <w:t xml:space="preserve">9.4554</w:t>
                  </w:r>
                </w:p>
              </w:tc>
              <w:tc>
                <w:tcPr/>
                <w:p>
                  <w:pPr>
                    <w:pStyle w:val="Compact"/>
                    <w:jc w:val="right"/>
                    <w:jc w:val="center"/>
                  </w:pPr>
                  <w:r>
                    <w:t xml:space="preserve">0.003</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3.6483</w:t>
                  </w:r>
                </w:p>
              </w:tc>
              <w:tc>
                <w:tcPr/>
                <w:p>
                  <w:pPr>
                    <w:pStyle w:val="Compact"/>
                    <w:jc w:val="right"/>
                    <w:jc w:val="center"/>
                  </w:pPr>
                  <w:r>
                    <w:t xml:space="preserve">1.8241</w:t>
                  </w:r>
                </w:p>
              </w:tc>
              <w:tc>
                <w:tcPr/>
                <w:p>
                  <w:pPr>
                    <w:pStyle w:val="Compact"/>
                    <w:jc w:val="right"/>
                    <w:jc w:val="center"/>
                  </w:pPr>
                  <w:r>
                    <w:t xml:space="preserve">0.1994</w:t>
                  </w:r>
                </w:p>
              </w:tc>
              <w:tc>
                <w:tcPr/>
                <w:p>
                  <w:pPr>
                    <w:pStyle w:val="Compact"/>
                    <w:jc w:val="right"/>
                    <w:jc w:val="center"/>
                  </w:pPr>
                  <w:r>
                    <w:t xml:space="preserve">9.1472</w:t>
                  </w:r>
                </w:p>
              </w:tc>
              <w:tc>
                <w:tcPr/>
                <w:p>
                  <w:pPr>
                    <w:pStyle w:val="Compact"/>
                    <w:jc w:val="right"/>
                    <w:jc w:val="center"/>
                  </w:pPr>
                  <w:r>
                    <w:t xml:space="preserve">0.003</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3.5929</w:t>
                  </w:r>
                </w:p>
              </w:tc>
              <w:tc>
                <w:tcPr/>
                <w:p>
                  <w:pPr>
                    <w:pStyle w:val="Compact"/>
                    <w:jc w:val="right"/>
                    <w:jc w:val="center"/>
                  </w:pPr>
                  <w:r>
                    <w:t xml:space="preserve">1.7964</w:t>
                  </w:r>
                </w:p>
              </w:tc>
              <w:tc>
                <w:tcPr/>
                <w:p>
                  <w:pPr>
                    <w:pStyle w:val="Compact"/>
                    <w:jc w:val="right"/>
                    <w:jc w:val="center"/>
                  </w:pPr>
                  <w:r>
                    <w:t xml:space="preserve">0.1980</w:t>
                  </w:r>
                </w:p>
              </w:tc>
              <w:tc>
                <w:tcPr/>
                <w:p>
                  <w:pPr>
                    <w:pStyle w:val="Compact"/>
                    <w:jc w:val="right"/>
                    <w:jc w:val="center"/>
                  </w:pPr>
                  <w:r>
                    <w:t xml:space="preserve">9.0712</w:t>
                  </w:r>
                </w:p>
              </w:tc>
              <w:tc>
                <w:tcPr/>
                <w:p>
                  <w:pPr>
                    <w:pStyle w:val="Compact"/>
                    <w:jc w:val="right"/>
                    <w:jc w:val="center"/>
                  </w:pPr>
                  <w:r>
                    <w:t xml:space="preserve">0.003</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3.2307</w:t>
                  </w:r>
                </w:p>
              </w:tc>
              <w:tc>
                <w:tcPr/>
                <w:p>
                  <w:pPr>
                    <w:pStyle w:val="Compact"/>
                    <w:jc w:val="right"/>
                    <w:jc w:val="center"/>
                  </w:pPr>
                  <w:r>
                    <w:t xml:space="preserve">1.6153</w:t>
                  </w:r>
                </w:p>
              </w:tc>
              <w:tc>
                <w:tcPr/>
                <w:p>
                  <w:pPr>
                    <w:pStyle w:val="Compact"/>
                    <w:jc w:val="right"/>
                    <w:jc w:val="center"/>
                  </w:pPr>
                  <w:r>
                    <w:t xml:space="preserve">0.1980</w:t>
                  </w:r>
                </w:p>
              </w:tc>
              <w:tc>
                <w:tcPr/>
                <w:p>
                  <w:pPr>
                    <w:pStyle w:val="Compact"/>
                    <w:jc w:val="right"/>
                    <w:jc w:val="center"/>
                  </w:pPr>
                  <w:r>
                    <w:t xml:space="preserve">8.1567</w:t>
                  </w:r>
                </w:p>
              </w:tc>
              <w:tc>
                <w:tcPr/>
                <w:p>
                  <w:pPr>
                    <w:pStyle w:val="Compact"/>
                    <w:jc w:val="right"/>
                    <w:jc w:val="center"/>
                  </w:pPr>
                  <w:r>
                    <w:t xml:space="preserve">0.004</w:t>
                  </w:r>
                </w:p>
              </w:tc>
              <w:tc>
                <w:tcPr/>
                <w:p>
                  <w:pPr>
                    <w:pStyle w:val="Compact"/>
                    <w:jc w:val="left"/>
                    <w:jc w:val="center"/>
                  </w:pPr>
                  <w:r>
                    <w:t xml:space="preserve">**</w:t>
                  </w:r>
                </w:p>
              </w:tc>
            </w:tr>
            <w:tr>
              <w:tc>
                <w:tcPr/>
                <w:p>
                  <w:pPr>
                    <w:pStyle w:val="Compact"/>
                    <w:jc w:val="left"/>
                    <w:jc w:val="center"/>
                  </w:pPr>
                  <w:r>
                    <w:t xml:space="preserve">D</w:t>
                  </w:r>
                </w:p>
              </w:tc>
              <w:tc>
                <w:tcPr/>
                <w:p>
                  <w:pPr>
                    <w:pStyle w:val="Compact"/>
                    <w:jc w:val="right"/>
                    <w:jc w:val="center"/>
                  </w:pPr>
                  <w:r>
                    <w:t xml:space="preserve">−2.5027</w:t>
                  </w:r>
                </w:p>
              </w:tc>
              <w:tc>
                <w:tcPr/>
                <w:p>
                  <w:pPr>
                    <w:pStyle w:val="Compact"/>
                    <w:jc w:val="right"/>
                    <w:jc w:val="center"/>
                  </w:pPr>
                  <w:r>
                    <w:t xml:space="preserve">−1.2514</w:t>
                  </w:r>
                </w:p>
              </w:tc>
              <w:tc>
                <w:tcPr/>
                <w:p>
                  <w:pPr>
                    <w:pStyle w:val="Compact"/>
                    <w:jc w:val="right"/>
                    <w:jc w:val="center"/>
                  </w:pPr>
                  <w:r>
                    <w:t xml:space="preserve">0.1980</w:t>
                  </w:r>
                </w:p>
              </w:tc>
              <w:tc>
                <w:tcPr/>
                <w:p>
                  <w:pPr>
                    <w:pStyle w:val="Compact"/>
                    <w:jc w:val="right"/>
                    <w:jc w:val="center"/>
                  </w:pPr>
                  <w:r>
                    <w:t xml:space="preserve">−6.3188</w:t>
                  </w:r>
                </w:p>
              </w:tc>
              <w:tc>
                <w:tcPr/>
                <w:p>
                  <w:pPr>
                    <w:pStyle w:val="Compact"/>
                    <w:jc w:val="right"/>
                    <w:jc w:val="center"/>
                  </w:pPr>
                  <w:r>
                    <w:t xml:space="preserve">0.008</w:t>
                  </w:r>
                </w:p>
              </w:tc>
              <w:tc>
                <w:tcPr/>
                <w:p>
                  <w:pPr>
                    <w:pStyle w:val="Compact"/>
                    <w:jc w:val="left"/>
                    <w:jc w:val="center"/>
                  </w:pPr>
                  <w:r>
                    <w:t xml:space="preserve">**</w:t>
                  </w:r>
                </w:p>
              </w:tc>
            </w:tr>
            <w:tr>
              <w:tc>
                <w:tcPr/>
                <w:p>
                  <w:pPr>
                    <w:pStyle w:val="Compact"/>
                    <w:jc w:val="left"/>
                    <w:jc w:val="center"/>
                  </w:pPr>
                  <w:r>
                    <w:t xml:space="preserve">CD</w:t>
                  </w:r>
                </w:p>
              </w:tc>
              <w:tc>
                <w:tcPr/>
                <w:p>
                  <w:pPr>
                    <w:pStyle w:val="Compact"/>
                    <w:jc w:val="right"/>
                    <w:jc w:val="center"/>
                  </w:pPr>
                  <w:r>
                    <w:t xml:space="preserve">2.1311</w:t>
                  </w:r>
                </w:p>
              </w:tc>
              <w:tc>
                <w:tcPr/>
                <w:p>
                  <w:pPr>
                    <w:pStyle w:val="Compact"/>
                    <w:jc w:val="right"/>
                    <w:jc w:val="center"/>
                  </w:pPr>
                  <w:r>
                    <w:t xml:space="preserve">1.0656</w:t>
                  </w:r>
                </w:p>
              </w:tc>
              <w:tc>
                <w:tcPr/>
                <w:p>
                  <w:pPr>
                    <w:pStyle w:val="Compact"/>
                    <w:jc w:val="right"/>
                    <w:jc w:val="center"/>
                  </w:pPr>
                  <w:r>
                    <w:t xml:space="preserve">0.1994</w:t>
                  </w:r>
                </w:p>
              </w:tc>
              <w:tc>
                <w:tcPr/>
                <w:p>
                  <w:pPr>
                    <w:pStyle w:val="Compact"/>
                    <w:jc w:val="right"/>
                    <w:jc w:val="center"/>
                  </w:pPr>
                  <w:r>
                    <w:t xml:space="preserve">5.3432</w:t>
                  </w:r>
                </w:p>
              </w:tc>
              <w:tc>
                <w:tcPr/>
                <w:p>
                  <w:pPr>
                    <w:pStyle w:val="Compact"/>
                    <w:jc w:val="right"/>
                    <w:jc w:val="center"/>
                  </w:pPr>
                  <w:r>
                    <w:t xml:space="preserve">0.013</w:t>
                  </w:r>
                </w:p>
              </w:tc>
              <w:tc>
                <w:tcPr/>
                <w:p>
                  <w:pPr>
                    <w:pStyle w:val="Compact"/>
                    <w:jc w:val="left"/>
                    <w:jc w:val="center"/>
                  </w:pPr>
                  <w:r>
                    <w:t xml:space="preserve">*</w:t>
                  </w:r>
                </w:p>
              </w:tc>
            </w:tr>
            <w:tr>
              <w:tc>
                <w:tcPr/>
                <w:p>
                  <w:pPr>
                    <w:pStyle w:val="Compact"/>
                    <w:jc w:val="left"/>
                    <w:jc w:val="center"/>
                  </w:pPr>
                  <w:r>
                    <w:t xml:space="preserve">DE</w:t>
                  </w:r>
                </w:p>
              </w:tc>
              <w:tc>
                <w:tcPr/>
                <w:p>
                  <w:pPr>
                    <w:pStyle w:val="Compact"/>
                    <w:jc w:val="right"/>
                    <w:jc w:val="center"/>
                  </w:pPr>
                  <w:r>
                    <w:t xml:space="preserve">1.8770</w:t>
                  </w:r>
                </w:p>
              </w:tc>
              <w:tc>
                <w:tcPr/>
                <w:p>
                  <w:pPr>
                    <w:pStyle w:val="Compact"/>
                    <w:jc w:val="right"/>
                    <w:jc w:val="center"/>
                  </w:pPr>
                  <w:r>
                    <w:t xml:space="preserve">0.9385</w:t>
                  </w:r>
                </w:p>
              </w:tc>
              <w:tc>
                <w:tcPr/>
                <w:p>
                  <w:pPr>
                    <w:pStyle w:val="Compact"/>
                    <w:jc w:val="right"/>
                    <w:jc w:val="center"/>
                  </w:pPr>
                  <w:r>
                    <w:t xml:space="preserve">0.1980</w:t>
                  </w:r>
                </w:p>
              </w:tc>
              <w:tc>
                <w:tcPr/>
                <w:p>
                  <w:pPr>
                    <w:pStyle w:val="Compact"/>
                    <w:jc w:val="right"/>
                    <w:jc w:val="center"/>
                  </w:pPr>
                  <w:r>
                    <w:t xml:space="preserve">4.7390</w:t>
                  </w:r>
                </w:p>
              </w:tc>
              <w:tc>
                <w:tcPr/>
                <w:p>
                  <w:pPr>
                    <w:pStyle w:val="Compact"/>
                    <w:jc w:val="right"/>
                    <w:jc w:val="center"/>
                  </w:pPr>
                  <w:r>
                    <w:t xml:space="preserve">0.018</w:t>
                  </w:r>
                </w:p>
              </w:tc>
              <w:tc>
                <w:tcPr/>
                <w:p>
                  <w:pPr>
                    <w:pStyle w:val="Compact"/>
                    <w:jc w:val="left"/>
                    <w:jc w:val="center"/>
                  </w:pPr>
                  <w:r>
                    <w:t xml:space="preserve">*</w:t>
                  </w:r>
                </w:p>
              </w:tc>
            </w:tr>
            <w:tr>
              <w:tc>
                <w:tcPr/>
                <w:p>
                  <w:pPr>
                    <w:pStyle w:val="Compact"/>
                    <w:jc w:val="left"/>
                    <w:jc w:val="center"/>
                  </w:pPr>
                  <w:r>
                    <w:t xml:space="preserve">BE</w:t>
                  </w:r>
                </w:p>
              </w:tc>
              <w:tc>
                <w:tcPr/>
                <w:p>
                  <w:pPr>
                    <w:pStyle w:val="Compact"/>
                    <w:jc w:val="right"/>
                    <w:jc w:val="center"/>
                  </w:pPr>
                  <w:r>
                    <w:t xml:space="preserve">1.5430</w:t>
                  </w:r>
                </w:p>
              </w:tc>
              <w:tc>
                <w:tcPr/>
                <w:p>
                  <w:pPr>
                    <w:pStyle w:val="Compact"/>
                    <w:jc w:val="right"/>
                    <w:jc w:val="center"/>
                  </w:pPr>
                  <w:r>
                    <w:t xml:space="preserve">0.7715</w:t>
                  </w:r>
                </w:p>
              </w:tc>
              <w:tc>
                <w:tcPr/>
                <w:p>
                  <w:pPr>
                    <w:pStyle w:val="Compact"/>
                    <w:jc w:val="right"/>
                    <w:jc w:val="center"/>
                  </w:pPr>
                  <w:r>
                    <w:t xml:space="preserve">0.1980</w:t>
                  </w:r>
                </w:p>
              </w:tc>
              <w:tc>
                <w:tcPr/>
                <w:p>
                  <w:pPr>
                    <w:pStyle w:val="Compact"/>
                    <w:jc w:val="right"/>
                    <w:jc w:val="center"/>
                  </w:pPr>
                  <w:r>
                    <w:t xml:space="preserve">3.8956</w:t>
                  </w:r>
                </w:p>
              </w:tc>
              <w:tc>
                <w:tcPr/>
                <w:p>
                  <w:pPr>
                    <w:pStyle w:val="Compact"/>
                    <w:jc w:val="right"/>
                    <w:jc w:val="center"/>
                  </w:pPr>
                  <w:r>
                    <w:t xml:space="preserve">0.030</w:t>
                  </w:r>
                </w:p>
              </w:tc>
              <w:tc>
                <w:tcPr/>
                <w:p>
                  <w:pPr>
                    <w:pStyle w:val="Compact"/>
                    <w:jc w:val="left"/>
                    <w:jc w:val="center"/>
                  </w:pPr>
                  <w:r>
                    <w:t xml:space="preserve">*</w:t>
                  </w:r>
                </w:p>
              </w:tc>
            </w:tr>
            <w:tr>
              <w:tc>
                <w:tcPr/>
                <w:p>
                  <w:pPr>
                    <w:pStyle w:val="Compact"/>
                    <w:jc w:val="left"/>
                    <w:jc w:val="center"/>
                  </w:pPr>
                  <w:r>
                    <w:t xml:space="preserve">AD</w:t>
                  </w:r>
                </w:p>
              </w:tc>
              <w:tc>
                <w:tcPr/>
                <w:p>
                  <w:pPr>
                    <w:pStyle w:val="Compact"/>
                    <w:jc w:val="right"/>
                    <w:jc w:val="center"/>
                  </w:pPr>
                  <w:r>
                    <w:t xml:space="preserve">−0.1460</w:t>
                  </w:r>
                </w:p>
              </w:tc>
              <w:tc>
                <w:tcPr/>
                <w:p>
                  <w:pPr>
                    <w:pStyle w:val="Compact"/>
                    <w:jc w:val="right"/>
                    <w:jc w:val="center"/>
                  </w:pPr>
                  <w:r>
                    <w:t xml:space="preserve">−0.0730</w:t>
                  </w:r>
                </w:p>
              </w:tc>
              <w:tc>
                <w:tcPr/>
                <w:p>
                  <w:pPr>
                    <w:pStyle w:val="Compact"/>
                    <w:jc w:val="right"/>
                    <w:jc w:val="center"/>
                  </w:pPr>
                  <w:r>
                    <w:t xml:space="preserve">0.1980</w:t>
                  </w:r>
                </w:p>
              </w:tc>
              <w:tc>
                <w:tcPr/>
                <w:p>
                  <w:pPr>
                    <w:pStyle w:val="Compact"/>
                    <w:jc w:val="right"/>
                    <w:jc w:val="center"/>
                  </w:pPr>
                  <w:r>
                    <w:t xml:space="preserve">−0.3686</w:t>
                  </w:r>
                </w:p>
              </w:tc>
              <w:tc>
                <w:tcPr/>
                <w:p>
                  <w:pPr>
                    <w:pStyle w:val="Compact"/>
                    <w:jc w:val="right"/>
                    <w:jc w:val="center"/>
                  </w:pPr>
                  <w:r>
                    <w:t xml:space="preserve">0.737</w:t>
                  </w:r>
                </w:p>
              </w:tc>
              <w:tc>
                <w:tcPr/>
                <w:p>
                  <w:pPr>
                    <w:pStyle w:val="Compact"/>
                  </w:pPr>
                </w:p>
              </w:tc>
            </w:tr>
            <w:tr>
              <w:tc>
                <w:tcPr/>
                <w:p>
                  <w:pPr>
                    <w:pStyle w:val="Compact"/>
                    <w:jc w:val="left"/>
                    <w:jc w:val="center"/>
                  </w:pPr>
                  <w:r>
                    <w:t xml:space="preserve">BC</w:t>
                  </w:r>
                </w:p>
              </w:tc>
              <w:tc>
                <w:tcPr/>
                <w:p>
                  <w:pPr>
                    <w:pStyle w:val="Compact"/>
                    <w:jc w:val="right"/>
                    <w:jc w:val="center"/>
                  </w:pPr>
                  <w:r>
                    <w:t xml:space="preserve">−0.0842</w:t>
                  </w:r>
                </w:p>
              </w:tc>
              <w:tc>
                <w:tcPr/>
                <w:p>
                  <w:pPr>
                    <w:pStyle w:val="Compact"/>
                    <w:jc w:val="right"/>
                    <w:jc w:val="center"/>
                  </w:pPr>
                  <w:r>
                    <w:t xml:space="preserve">−0.0421</w:t>
                  </w:r>
                </w:p>
              </w:tc>
              <w:tc>
                <w:tcPr/>
                <w:p>
                  <w:pPr>
                    <w:pStyle w:val="Compact"/>
                    <w:jc w:val="right"/>
                    <w:jc w:val="center"/>
                  </w:pPr>
                  <w:r>
                    <w:t xml:space="preserve">0.1994</w:t>
                  </w:r>
                </w:p>
              </w:tc>
              <w:tc>
                <w:tcPr/>
                <w:p>
                  <w:pPr>
                    <w:pStyle w:val="Compact"/>
                    <w:jc w:val="right"/>
                    <w:jc w:val="center"/>
                  </w:pPr>
                  <w:r>
                    <w:t xml:space="preserve">−0.2112</w:t>
                  </w:r>
                </w:p>
              </w:tc>
              <w:tc>
                <w:tcPr/>
                <w:p>
                  <w:pPr>
                    <w:pStyle w:val="Compact"/>
                    <w:jc w:val="right"/>
                    <w:jc w:val="center"/>
                  </w:pPr>
                  <w:r>
                    <w:t xml:space="preserve">0.846</w:t>
                  </w:r>
                </w:p>
              </w:tc>
              <w:tc>
                <w:tcPr/>
                <w:p>
                  <w:pPr>
                    <w:pStyle w:val="Compact"/>
                  </w:pPr>
                </w:p>
              </w:tc>
            </w:tr>
            <w:tr>
              <w:tc>
                <w:tcPr/>
                <w:p>
                  <w:pPr>
                    <w:pStyle w:val="Compact"/>
                    <w:jc w:val="left"/>
                    <w:jc w:val="center"/>
                  </w:pPr>
                  <w:r>
                    <w:t xml:space="preserve">CE</w:t>
                  </w:r>
                </w:p>
              </w:tc>
              <w:tc>
                <w:tcPr/>
                <w:p>
                  <w:pPr>
                    <w:pStyle w:val="Compact"/>
                    <w:jc w:val="right"/>
                    <w:jc w:val="center"/>
                  </w:pPr>
                  <w:r>
                    <w:t xml:space="preserve">0.0721</w:t>
                  </w:r>
                </w:p>
              </w:tc>
              <w:tc>
                <w:tcPr/>
                <w:p>
                  <w:pPr>
                    <w:pStyle w:val="Compact"/>
                    <w:jc w:val="right"/>
                    <w:jc w:val="center"/>
                  </w:pPr>
                  <w:r>
                    <w:t xml:space="preserve">0.0360</w:t>
                  </w:r>
                </w:p>
              </w:tc>
              <w:tc>
                <w:tcPr/>
                <w:p>
                  <w:pPr>
                    <w:pStyle w:val="Compact"/>
                    <w:jc w:val="right"/>
                    <w:jc w:val="center"/>
                  </w:pPr>
                  <w:r>
                    <w:t xml:space="preserve">0.1994</w:t>
                  </w:r>
                </w:p>
              </w:tc>
              <w:tc>
                <w:tcPr/>
                <w:p>
                  <w:pPr>
                    <w:pStyle w:val="Compact"/>
                    <w:jc w:val="right"/>
                    <w:jc w:val="center"/>
                  </w:pPr>
                  <w:r>
                    <w:t xml:space="preserve">0.1808</w:t>
                  </w:r>
                </w:p>
              </w:tc>
              <w:tc>
                <w:tcPr/>
                <w:p>
                  <w:pPr>
                    <w:pStyle w:val="Compact"/>
                    <w:jc w:val="right"/>
                    <w:jc w:val="center"/>
                  </w:pPr>
                  <w:r>
                    <w:t xml:space="preserve">0.868</w:t>
                  </w:r>
                </w:p>
              </w:tc>
              <w:tc>
                <w:tcPr/>
                <w:p>
                  <w:pPr>
                    <w:pStyle w:val="Compact"/>
                  </w:pPr>
                </w:p>
              </w:tc>
            </w:tr>
          </w:tbl>
          <w:bookmarkEnd w:id="16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7" w:name="tbl-scr-high-mannose"/>
          <w:p>
            <w:pPr>
              <w:jc w:val="center"/>
            </w:pPr>
            <w:pPr>
              <w:jc w:val="start"/>
              <w:spacing w:before="200"/>
              <w:pStyle w:val="ImageCaption"/>
            </w:pPr>
            <w:r>
              <w:t xml:space="preserve">Table 33: Effects of the screening model of high mannose, as measured in the scale-down model.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A</w:t>
                  </w:r>
                </w:p>
              </w:tc>
              <w:tc>
                <w:tcPr/>
                <w:p>
                  <w:pPr>
                    <w:pStyle w:val="Compact"/>
                    <w:jc w:val="right"/>
                    <w:jc w:val="center"/>
                  </w:pPr>
                  <w:r>
                    <w:t xml:space="preserve">1.5190</w:t>
                  </w:r>
                </w:p>
              </w:tc>
              <w:tc>
                <w:tcPr/>
                <w:p>
                  <w:pPr>
                    <w:pStyle w:val="Compact"/>
                    <w:jc w:val="right"/>
                    <w:jc w:val="center"/>
                  </w:pPr>
                  <w:r>
                    <w:t xml:space="preserve">0.7595</w:t>
                  </w:r>
                </w:p>
              </w:tc>
              <w:tc>
                <w:tcPr/>
                <w:p>
                  <w:pPr>
                    <w:pStyle w:val="Compact"/>
                    <w:jc w:val="right"/>
                    <w:jc w:val="center"/>
                  </w:pPr>
                  <w:r>
                    <w:t xml:space="preserve">0.1550</w:t>
                  </w:r>
                </w:p>
              </w:tc>
              <w:tc>
                <w:tcPr/>
                <w:p>
                  <w:pPr>
                    <w:pStyle w:val="Compact"/>
                    <w:jc w:val="right"/>
                    <w:jc w:val="center"/>
                  </w:pPr>
                  <w:r>
                    <w:t xml:space="preserve">4.9011</w:t>
                  </w:r>
                </w:p>
              </w:tc>
              <w:tc>
                <w:tcPr/>
                <w:p>
                  <w:pPr>
                    <w:pStyle w:val="Compact"/>
                    <w:jc w:val="right"/>
                    <w:jc w:val="center"/>
                  </w:pPr>
                  <w:r>
                    <w:t xml:space="preserve">0.016</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−1.3852</w:t>
                  </w:r>
                </w:p>
              </w:tc>
              <w:tc>
                <w:tcPr/>
                <w:p>
                  <w:pPr>
                    <w:pStyle w:val="Compact"/>
                    <w:jc w:val="right"/>
                    <w:jc w:val="center"/>
                  </w:pPr>
                  <w:r>
                    <w:t xml:space="preserve">−0.6926</w:t>
                  </w:r>
                </w:p>
              </w:tc>
              <w:tc>
                <w:tcPr/>
                <w:p>
                  <w:pPr>
                    <w:pStyle w:val="Compact"/>
                    <w:jc w:val="right"/>
                    <w:jc w:val="center"/>
                  </w:pPr>
                  <w:r>
                    <w:t xml:space="preserve">0.1550</w:t>
                  </w:r>
                </w:p>
              </w:tc>
              <w:tc>
                <w:tcPr/>
                <w:p>
                  <w:pPr>
                    <w:pStyle w:val="Compact"/>
                    <w:jc w:val="right"/>
                    <w:jc w:val="center"/>
                  </w:pPr>
                  <w:r>
                    <w:t xml:space="preserve">−4.4694</w:t>
                  </w:r>
                </w:p>
              </w:tc>
              <w:tc>
                <w:tcPr/>
                <w:p>
                  <w:pPr>
                    <w:pStyle w:val="Compact"/>
                    <w:jc w:val="right"/>
                    <w:jc w:val="center"/>
                  </w:pPr>
                  <w:r>
                    <w:t xml:space="preserve">0.021</w:t>
                  </w:r>
                </w:p>
              </w:tc>
              <w:tc>
                <w:tcPr/>
                <w:p>
                  <w:pPr>
                    <w:pStyle w:val="Compact"/>
                    <w:jc w:val="left"/>
                    <w:jc w:val="center"/>
                  </w:pPr>
                  <w:r>
                    <w:t xml:space="preserve">*</w:t>
                  </w:r>
                </w:p>
              </w:tc>
            </w:tr>
            <w:tr>
              <w:tc>
                <w:tcPr/>
                <w:p>
                  <w:pPr>
                    <w:pStyle w:val="Compact"/>
                    <w:jc w:val="left"/>
                    <w:jc w:val="center"/>
                  </w:pPr>
                  <w:r>
                    <w:t xml:space="preserve">C</w:t>
                  </w:r>
                </w:p>
              </w:tc>
              <w:tc>
                <w:tcPr/>
                <w:p>
                  <w:pPr>
                    <w:pStyle w:val="Compact"/>
                    <w:jc w:val="right"/>
                    <w:jc w:val="center"/>
                  </w:pPr>
                  <w:r>
                    <w:t xml:space="preserve">−0.4523</w:t>
                  </w:r>
                </w:p>
              </w:tc>
              <w:tc>
                <w:tcPr/>
                <w:p>
                  <w:pPr>
                    <w:pStyle w:val="Compact"/>
                    <w:jc w:val="right"/>
                    <w:jc w:val="center"/>
                  </w:pPr>
                  <w:r>
                    <w:t xml:space="preserve">−0.2261</w:t>
                  </w:r>
                </w:p>
              </w:tc>
              <w:tc>
                <w:tcPr/>
                <w:p>
                  <w:pPr>
                    <w:pStyle w:val="Compact"/>
                    <w:jc w:val="right"/>
                    <w:jc w:val="center"/>
                  </w:pPr>
                  <w:r>
                    <w:t xml:space="preserve">0.1560</w:t>
                  </w:r>
                </w:p>
              </w:tc>
              <w:tc>
                <w:tcPr/>
                <w:p>
                  <w:pPr>
                    <w:pStyle w:val="Compact"/>
                    <w:jc w:val="right"/>
                    <w:jc w:val="center"/>
                  </w:pPr>
                  <w:r>
                    <w:t xml:space="preserve">−1.4493</w:t>
                  </w:r>
                </w:p>
              </w:tc>
              <w:tc>
                <w:tcPr/>
                <w:p>
                  <w:pPr>
                    <w:pStyle w:val="Compact"/>
                    <w:jc w:val="right"/>
                    <w:jc w:val="center"/>
                  </w:pPr>
                  <w:r>
                    <w:t xml:space="preserve">0.243</w:t>
                  </w:r>
                </w:p>
              </w:tc>
              <w:tc>
                <w:tcPr/>
                <w:p>
                  <w:pPr>
                    <w:pStyle w:val="Compact"/>
                  </w:pPr>
                </w:p>
              </w:tc>
            </w:tr>
            <w:tr>
              <w:tc>
                <w:tcPr/>
                <w:p>
                  <w:pPr>
                    <w:pStyle w:val="Compact"/>
                    <w:jc w:val="left"/>
                    <w:jc w:val="center"/>
                  </w:pPr>
                  <w:r>
                    <w:t xml:space="preserve">BC</w:t>
                  </w:r>
                </w:p>
              </w:tc>
              <w:tc>
                <w:tcPr/>
                <w:p>
                  <w:pPr>
                    <w:pStyle w:val="Compact"/>
                    <w:jc w:val="right"/>
                    <w:jc w:val="center"/>
                  </w:pPr>
                  <w:r>
                    <w:t xml:space="preserve">0.3757</w:t>
                  </w:r>
                </w:p>
              </w:tc>
              <w:tc>
                <w:tcPr/>
                <w:p>
                  <w:pPr>
                    <w:pStyle w:val="Compact"/>
                    <w:jc w:val="right"/>
                    <w:jc w:val="center"/>
                  </w:pPr>
                  <w:r>
                    <w:t xml:space="preserve">0.1879</w:t>
                  </w:r>
                </w:p>
              </w:tc>
              <w:tc>
                <w:tcPr/>
                <w:p>
                  <w:pPr>
                    <w:pStyle w:val="Compact"/>
                    <w:jc w:val="right"/>
                    <w:jc w:val="center"/>
                  </w:pPr>
                  <w:r>
                    <w:t xml:space="preserve">0.1560</w:t>
                  </w:r>
                </w:p>
              </w:tc>
              <w:tc>
                <w:tcPr/>
                <w:p>
                  <w:pPr>
                    <w:pStyle w:val="Compact"/>
                    <w:jc w:val="right"/>
                    <w:jc w:val="center"/>
                  </w:pPr>
                  <w:r>
                    <w:t xml:space="preserve">1.2040</w:t>
                  </w:r>
                </w:p>
              </w:tc>
              <w:tc>
                <w:tcPr/>
                <w:p>
                  <w:pPr>
                    <w:pStyle w:val="Compact"/>
                    <w:jc w:val="right"/>
                    <w:jc w:val="center"/>
                  </w:pPr>
                  <w:r>
                    <w:t xml:space="preserve">0.315</w:t>
                  </w:r>
                </w:p>
              </w:tc>
              <w:tc>
                <w:tcPr/>
                <w:p>
                  <w:pPr>
                    <w:pStyle w:val="Compact"/>
                  </w:pPr>
                </w:p>
              </w:tc>
            </w:tr>
            <w:tr>
              <w:tc>
                <w:tcPr/>
                <w:p>
                  <w:pPr>
                    <w:pStyle w:val="Compact"/>
                    <w:jc w:val="left"/>
                    <w:jc w:val="center"/>
                  </w:pPr>
                  <w:r>
                    <w:t xml:space="preserve">E</w:t>
                  </w:r>
                </w:p>
              </w:tc>
              <w:tc>
                <w:tcPr/>
                <w:p>
                  <w:pPr>
                    <w:pStyle w:val="Compact"/>
                    <w:jc w:val="right"/>
                    <w:jc w:val="center"/>
                  </w:pPr>
                  <w:r>
                    <w:t xml:space="preserve">0.1513</w:t>
                  </w:r>
                </w:p>
              </w:tc>
              <w:tc>
                <w:tcPr/>
                <w:p>
                  <w:pPr>
                    <w:pStyle w:val="Compact"/>
                    <w:jc w:val="right"/>
                    <w:jc w:val="center"/>
                  </w:pPr>
                  <w:r>
                    <w:t xml:space="preserve">0.0756</w:t>
                  </w:r>
                </w:p>
              </w:tc>
              <w:tc>
                <w:tcPr/>
                <w:p>
                  <w:pPr>
                    <w:pStyle w:val="Compact"/>
                    <w:jc w:val="right"/>
                    <w:jc w:val="center"/>
                  </w:pPr>
                  <w:r>
                    <w:t xml:space="preserve">0.1550</w:t>
                  </w:r>
                </w:p>
              </w:tc>
              <w:tc>
                <w:tcPr/>
                <w:p>
                  <w:pPr>
                    <w:pStyle w:val="Compact"/>
                    <w:jc w:val="right"/>
                    <w:jc w:val="center"/>
                  </w:pPr>
                  <w:r>
                    <w:t xml:space="preserve">0.4880</w:t>
                  </w:r>
                </w:p>
              </w:tc>
              <w:tc>
                <w:tcPr/>
                <w:p>
                  <w:pPr>
                    <w:pStyle w:val="Compact"/>
                    <w:jc w:val="right"/>
                    <w:jc w:val="center"/>
                  </w:pPr>
                  <w:r>
                    <w:t xml:space="preserve">0.659</w:t>
                  </w:r>
                </w:p>
              </w:tc>
              <w:tc>
                <w:tcPr/>
                <w:p>
                  <w:pPr>
                    <w:pStyle w:val="Compact"/>
                  </w:pPr>
                </w:p>
              </w:tc>
            </w:tr>
            <w:tr>
              <w:tc>
                <w:tcPr/>
                <w:p>
                  <w:pPr>
                    <w:pStyle w:val="Compact"/>
                    <w:jc w:val="left"/>
                    <w:jc w:val="center"/>
                  </w:pPr>
                  <w:r>
                    <w:t xml:space="preserve">D</w:t>
                  </w:r>
                </w:p>
              </w:tc>
              <w:tc>
                <w:tcPr/>
                <w:p>
                  <w:pPr>
                    <w:pStyle w:val="Compact"/>
                    <w:jc w:val="right"/>
                    <w:jc w:val="center"/>
                  </w:pPr>
                  <w:r>
                    <w:t xml:space="preserve">−0.1455</w:t>
                  </w:r>
                </w:p>
              </w:tc>
              <w:tc>
                <w:tcPr/>
                <w:p>
                  <w:pPr>
                    <w:pStyle w:val="Compact"/>
                    <w:jc w:val="right"/>
                    <w:jc w:val="center"/>
                  </w:pPr>
                  <w:r>
                    <w:t xml:space="preserve">−0.0727</w:t>
                  </w:r>
                </w:p>
              </w:tc>
              <w:tc>
                <w:tcPr/>
                <w:p>
                  <w:pPr>
                    <w:pStyle w:val="Compact"/>
                    <w:jc w:val="right"/>
                    <w:jc w:val="center"/>
                  </w:pPr>
                  <w:r>
                    <w:t xml:space="preserve">0.1550</w:t>
                  </w:r>
                </w:p>
              </w:tc>
              <w:tc>
                <w:tcPr/>
                <w:p>
                  <w:pPr>
                    <w:pStyle w:val="Compact"/>
                    <w:jc w:val="right"/>
                    <w:jc w:val="center"/>
                  </w:pPr>
                  <w:r>
                    <w:t xml:space="preserve">−0.4693</w:t>
                  </w:r>
                </w:p>
              </w:tc>
              <w:tc>
                <w:tcPr/>
                <w:p>
                  <w:pPr>
                    <w:pStyle w:val="Compact"/>
                    <w:jc w:val="right"/>
                    <w:jc w:val="center"/>
                  </w:pPr>
                  <w:r>
                    <w:t xml:space="preserve">0.671</w:t>
                  </w:r>
                </w:p>
              </w:tc>
              <w:tc>
                <w:tcPr/>
                <w:p>
                  <w:pPr>
                    <w:pStyle w:val="Compact"/>
                  </w:pPr>
                </w:p>
              </w:tc>
            </w:tr>
            <w:tr>
              <w:tc>
                <w:tcPr/>
                <w:p>
                  <w:pPr>
                    <w:pStyle w:val="Compact"/>
                    <w:jc w:val="left"/>
                    <w:jc w:val="center"/>
                  </w:pPr>
                  <w:r>
                    <w:t xml:space="preserve">AE</w:t>
                  </w:r>
                </w:p>
              </w:tc>
              <w:tc>
                <w:tcPr/>
                <w:p>
                  <w:pPr>
                    <w:pStyle w:val="Compact"/>
                    <w:jc w:val="right"/>
                    <w:jc w:val="center"/>
                  </w:pPr>
                  <w:r>
                    <w:t xml:space="preserve">0.0962</w:t>
                  </w:r>
                </w:p>
              </w:tc>
              <w:tc>
                <w:tcPr/>
                <w:p>
                  <w:pPr>
                    <w:pStyle w:val="Compact"/>
                    <w:jc w:val="right"/>
                    <w:jc w:val="center"/>
                  </w:pPr>
                  <w:r>
                    <w:t xml:space="preserve">0.0481</w:t>
                  </w:r>
                </w:p>
              </w:tc>
              <w:tc>
                <w:tcPr/>
                <w:p>
                  <w:pPr>
                    <w:pStyle w:val="Compact"/>
                    <w:jc w:val="right"/>
                    <w:jc w:val="center"/>
                  </w:pPr>
                  <w:r>
                    <w:t xml:space="preserve">0.1550</w:t>
                  </w:r>
                </w:p>
              </w:tc>
              <w:tc>
                <w:tcPr/>
                <w:p>
                  <w:pPr>
                    <w:pStyle w:val="Compact"/>
                    <w:jc w:val="right"/>
                    <w:jc w:val="center"/>
                  </w:pPr>
                  <w:r>
                    <w:t xml:space="preserve">0.3105</w:t>
                  </w:r>
                </w:p>
              </w:tc>
              <w:tc>
                <w:tcPr/>
                <w:p>
                  <w:pPr>
                    <w:pStyle w:val="Compact"/>
                    <w:jc w:val="right"/>
                    <w:jc w:val="center"/>
                  </w:pPr>
                  <w:r>
                    <w:t xml:space="preserve">0.777</w:t>
                  </w:r>
                </w:p>
              </w:tc>
              <w:tc>
                <w:tcPr/>
                <w:p>
                  <w:pPr>
                    <w:pStyle w:val="Compact"/>
                  </w:pPr>
                </w:p>
              </w:tc>
            </w:tr>
            <w:tr>
              <w:tc>
                <w:tcPr/>
                <w:p>
                  <w:pPr>
                    <w:pStyle w:val="Compact"/>
                    <w:jc w:val="left"/>
                    <w:jc w:val="center"/>
                  </w:pPr>
                  <w:r>
                    <w:t xml:space="preserve">AC</w:t>
                  </w:r>
                </w:p>
              </w:tc>
              <w:tc>
                <w:tcPr/>
                <w:p>
                  <w:pPr>
                    <w:pStyle w:val="Compact"/>
                    <w:jc w:val="right"/>
                    <w:jc w:val="center"/>
                  </w:pPr>
                  <w:r>
                    <w:t xml:space="preserve">0.0961</w:t>
                  </w:r>
                </w:p>
              </w:tc>
              <w:tc>
                <w:tcPr/>
                <w:p>
                  <w:pPr>
                    <w:pStyle w:val="Compact"/>
                    <w:jc w:val="right"/>
                    <w:jc w:val="center"/>
                  </w:pPr>
                  <w:r>
                    <w:t xml:space="preserve">0.0481</w:t>
                  </w:r>
                </w:p>
              </w:tc>
              <w:tc>
                <w:tcPr/>
                <w:p>
                  <w:pPr>
                    <w:pStyle w:val="Compact"/>
                    <w:jc w:val="right"/>
                    <w:jc w:val="center"/>
                  </w:pPr>
                  <w:r>
                    <w:t xml:space="preserve">0.1560</w:t>
                  </w:r>
                </w:p>
              </w:tc>
              <w:tc>
                <w:tcPr/>
                <w:p>
                  <w:pPr>
                    <w:pStyle w:val="Compact"/>
                    <w:jc w:val="right"/>
                    <w:jc w:val="center"/>
                  </w:pPr>
                  <w:r>
                    <w:t xml:space="preserve">0.3081</w:t>
                  </w:r>
                </w:p>
              </w:tc>
              <w:tc>
                <w:tcPr/>
                <w:p>
                  <w:pPr>
                    <w:pStyle w:val="Compact"/>
                    <w:jc w:val="right"/>
                    <w:jc w:val="center"/>
                  </w:pPr>
                  <w:r>
                    <w:t xml:space="preserve">0.778</w:t>
                  </w:r>
                </w:p>
              </w:tc>
              <w:tc>
                <w:tcPr/>
                <w:p>
                  <w:pPr>
                    <w:pStyle w:val="Compact"/>
                  </w:pPr>
                </w:p>
              </w:tc>
            </w:tr>
            <w:tr>
              <w:tc>
                <w:tcPr/>
                <w:p>
                  <w:pPr>
                    <w:pStyle w:val="Compact"/>
                    <w:jc w:val="left"/>
                    <w:jc w:val="center"/>
                  </w:pPr>
                  <w:r>
                    <w:t xml:space="preserve">DE</w:t>
                  </w:r>
                </w:p>
              </w:tc>
              <w:tc>
                <w:tcPr/>
                <w:p>
                  <w:pPr>
                    <w:pStyle w:val="Compact"/>
                    <w:jc w:val="right"/>
                    <w:jc w:val="center"/>
                  </w:pPr>
                  <w:r>
                    <w:t xml:space="preserve">−0.0787</w:t>
                  </w:r>
                </w:p>
              </w:tc>
              <w:tc>
                <w:tcPr/>
                <w:p>
                  <w:pPr>
                    <w:pStyle w:val="Compact"/>
                    <w:jc w:val="right"/>
                    <w:jc w:val="center"/>
                  </w:pPr>
                  <w:r>
                    <w:t xml:space="preserve">−0.0393</w:t>
                  </w:r>
                </w:p>
              </w:tc>
              <w:tc>
                <w:tcPr/>
                <w:p>
                  <w:pPr>
                    <w:pStyle w:val="Compact"/>
                    <w:jc w:val="right"/>
                    <w:jc w:val="center"/>
                  </w:pPr>
                  <w:r>
                    <w:t xml:space="preserve">0.1550</w:t>
                  </w:r>
                </w:p>
              </w:tc>
              <w:tc>
                <w:tcPr/>
                <w:p>
                  <w:pPr>
                    <w:pStyle w:val="Compact"/>
                    <w:jc w:val="right"/>
                    <w:jc w:val="center"/>
                  </w:pPr>
                  <w:r>
                    <w:t xml:space="preserve">−0.2538</w:t>
                  </w:r>
                </w:p>
              </w:tc>
              <w:tc>
                <w:tcPr/>
                <w:p>
                  <w:pPr>
                    <w:pStyle w:val="Compact"/>
                    <w:jc w:val="right"/>
                    <w:jc w:val="center"/>
                  </w:pPr>
                  <w:r>
                    <w:t xml:space="preserve">0.816</w:t>
                  </w:r>
                </w:p>
              </w:tc>
              <w:tc>
                <w:tcPr/>
                <w:p>
                  <w:pPr>
                    <w:pStyle w:val="Compact"/>
                  </w:pPr>
                </w:p>
              </w:tc>
            </w:tr>
            <w:tr>
              <w:tc>
                <w:tcPr/>
                <w:p>
                  <w:pPr>
                    <w:pStyle w:val="Compact"/>
                    <w:jc w:val="left"/>
                    <w:jc w:val="center"/>
                  </w:pPr>
                  <w:r>
                    <w:t xml:space="preserve">CE</w:t>
                  </w:r>
                </w:p>
              </w:tc>
              <w:tc>
                <w:tcPr/>
                <w:p>
                  <w:pPr>
                    <w:pStyle w:val="Compact"/>
                    <w:jc w:val="right"/>
                    <w:jc w:val="center"/>
                  </w:pPr>
                  <w:r>
                    <w:t xml:space="preserve">−0.0617</w:t>
                  </w:r>
                </w:p>
              </w:tc>
              <w:tc>
                <w:tcPr/>
                <w:p>
                  <w:pPr>
                    <w:pStyle w:val="Compact"/>
                    <w:jc w:val="right"/>
                    <w:jc w:val="center"/>
                  </w:pPr>
                  <w:r>
                    <w:t xml:space="preserve">−0.0308</w:t>
                  </w:r>
                </w:p>
              </w:tc>
              <w:tc>
                <w:tcPr/>
                <w:p>
                  <w:pPr>
                    <w:pStyle w:val="Compact"/>
                    <w:jc w:val="right"/>
                    <w:jc w:val="center"/>
                  </w:pPr>
                  <w:r>
                    <w:t xml:space="preserve">0.1560</w:t>
                  </w:r>
                </w:p>
              </w:tc>
              <w:tc>
                <w:tcPr/>
                <w:p>
                  <w:pPr>
                    <w:pStyle w:val="Compact"/>
                    <w:jc w:val="right"/>
                    <w:jc w:val="center"/>
                  </w:pPr>
                  <w:r>
                    <w:t xml:space="preserve">−0.1976</w:t>
                  </w:r>
                </w:p>
              </w:tc>
              <w:tc>
                <w:tcPr/>
                <w:p>
                  <w:pPr>
                    <w:pStyle w:val="Compact"/>
                    <w:jc w:val="right"/>
                    <w:jc w:val="center"/>
                  </w:pPr>
                  <w:r>
                    <w:t xml:space="preserve">0.856</w:t>
                  </w:r>
                </w:p>
              </w:tc>
              <w:tc>
                <w:tcPr/>
                <w:p>
                  <w:pPr>
                    <w:pStyle w:val="Compact"/>
                  </w:pPr>
                </w:p>
              </w:tc>
            </w:tr>
            <w:tr>
              <w:tc>
                <w:tcPr/>
                <w:p>
                  <w:pPr>
                    <w:pStyle w:val="Compact"/>
                    <w:jc w:val="left"/>
                    <w:jc w:val="center"/>
                  </w:pPr>
                  <w:r>
                    <w:t xml:space="preserve">BE</w:t>
                  </w:r>
                </w:p>
              </w:tc>
              <w:tc>
                <w:tcPr/>
                <w:p>
                  <w:pPr>
                    <w:pStyle w:val="Compact"/>
                    <w:jc w:val="right"/>
                    <w:jc w:val="center"/>
                  </w:pPr>
                  <w:r>
                    <w:t xml:space="preserve">0.0529</w:t>
                  </w:r>
                </w:p>
              </w:tc>
              <w:tc>
                <w:tcPr/>
                <w:p>
                  <w:pPr>
                    <w:pStyle w:val="Compact"/>
                    <w:jc w:val="right"/>
                    <w:jc w:val="center"/>
                  </w:pPr>
                  <w:r>
                    <w:t xml:space="preserve">0.0264</w:t>
                  </w:r>
                </w:p>
              </w:tc>
              <w:tc>
                <w:tcPr/>
                <w:p>
                  <w:pPr>
                    <w:pStyle w:val="Compact"/>
                    <w:jc w:val="right"/>
                    <w:jc w:val="center"/>
                  </w:pPr>
                  <w:r>
                    <w:t xml:space="preserve">0.1550</w:t>
                  </w:r>
                </w:p>
              </w:tc>
              <w:tc>
                <w:tcPr/>
                <w:p>
                  <w:pPr>
                    <w:pStyle w:val="Compact"/>
                    <w:jc w:val="right"/>
                    <w:jc w:val="center"/>
                  </w:pPr>
                  <w:r>
                    <w:t xml:space="preserve">0.1706</w:t>
                  </w:r>
                </w:p>
              </w:tc>
              <w:tc>
                <w:tcPr/>
                <w:p>
                  <w:pPr>
                    <w:pStyle w:val="Compact"/>
                    <w:jc w:val="right"/>
                    <w:jc w:val="center"/>
                  </w:pPr>
                  <w:r>
                    <w:t xml:space="preserve">0.875</w:t>
                  </w:r>
                </w:p>
              </w:tc>
              <w:tc>
                <w:tcPr/>
                <w:p>
                  <w:pPr>
                    <w:pStyle w:val="Compact"/>
                  </w:pPr>
                </w:p>
              </w:tc>
            </w:tr>
            <w:tr>
              <w:tc>
                <w:tcPr/>
                <w:p>
                  <w:pPr>
                    <w:pStyle w:val="Compact"/>
                    <w:jc w:val="left"/>
                    <w:jc w:val="center"/>
                  </w:pPr>
                  <w:r>
                    <w:t xml:space="preserve">AB</w:t>
                  </w:r>
                </w:p>
              </w:tc>
              <w:tc>
                <w:tcPr/>
                <w:p>
                  <w:pPr>
                    <w:pStyle w:val="Compact"/>
                    <w:jc w:val="right"/>
                    <w:jc w:val="center"/>
                  </w:pPr>
                  <w:r>
                    <w:t xml:space="preserve">0.0363</w:t>
                  </w:r>
                </w:p>
              </w:tc>
              <w:tc>
                <w:tcPr/>
                <w:p>
                  <w:pPr>
                    <w:pStyle w:val="Compact"/>
                    <w:jc w:val="right"/>
                    <w:jc w:val="center"/>
                  </w:pPr>
                  <w:r>
                    <w:t xml:space="preserve">0.0181</w:t>
                  </w:r>
                </w:p>
              </w:tc>
              <w:tc>
                <w:tcPr/>
                <w:p>
                  <w:pPr>
                    <w:pStyle w:val="Compact"/>
                    <w:jc w:val="right"/>
                    <w:jc w:val="center"/>
                  </w:pPr>
                  <w:r>
                    <w:t xml:space="preserve">0.1550</w:t>
                  </w:r>
                </w:p>
              </w:tc>
              <w:tc>
                <w:tcPr/>
                <w:p>
                  <w:pPr>
                    <w:pStyle w:val="Compact"/>
                    <w:jc w:val="right"/>
                    <w:jc w:val="center"/>
                  </w:pPr>
                  <w:r>
                    <w:t xml:space="preserve">0.1171</w:t>
                  </w:r>
                </w:p>
              </w:tc>
              <w:tc>
                <w:tcPr/>
                <w:p>
                  <w:pPr>
                    <w:pStyle w:val="Compact"/>
                    <w:jc w:val="right"/>
                    <w:jc w:val="center"/>
                  </w:pPr>
                  <w:r>
                    <w:t xml:space="preserve">0.914</w:t>
                  </w:r>
                </w:p>
              </w:tc>
              <w:tc>
                <w:tcPr/>
                <w:p>
                  <w:pPr>
                    <w:pStyle w:val="Compact"/>
                  </w:pPr>
                </w:p>
              </w:tc>
            </w:tr>
            <w:tr>
              <w:tc>
                <w:tcPr/>
                <w:p>
                  <w:pPr>
                    <w:pStyle w:val="Compact"/>
                    <w:jc w:val="left"/>
                    <w:jc w:val="center"/>
                  </w:pPr>
                  <w:r>
                    <w:t xml:space="preserve">CD</w:t>
                  </w:r>
                </w:p>
              </w:tc>
              <w:tc>
                <w:tcPr/>
                <w:p>
                  <w:pPr>
                    <w:pStyle w:val="Compact"/>
                    <w:jc w:val="right"/>
                    <w:jc w:val="center"/>
                  </w:pPr>
                  <w:r>
                    <w:t xml:space="preserve">−0.0296</w:t>
                  </w:r>
                </w:p>
              </w:tc>
              <w:tc>
                <w:tcPr/>
                <w:p>
                  <w:pPr>
                    <w:pStyle w:val="Compact"/>
                    <w:jc w:val="right"/>
                    <w:jc w:val="center"/>
                  </w:pPr>
                  <w:r>
                    <w:t xml:space="preserve">−0.0148</w:t>
                  </w:r>
                </w:p>
              </w:tc>
              <w:tc>
                <w:tcPr/>
                <w:p>
                  <w:pPr>
                    <w:pStyle w:val="Compact"/>
                    <w:jc w:val="right"/>
                    <w:jc w:val="center"/>
                  </w:pPr>
                  <w:r>
                    <w:t xml:space="preserve">0.1560</w:t>
                  </w:r>
                </w:p>
              </w:tc>
              <w:tc>
                <w:tcPr/>
                <w:p>
                  <w:pPr>
                    <w:pStyle w:val="Compact"/>
                    <w:jc w:val="right"/>
                    <w:jc w:val="center"/>
                  </w:pPr>
                  <w:r>
                    <w:t xml:space="preserve">−0.0949</w:t>
                  </w:r>
                </w:p>
              </w:tc>
              <w:tc>
                <w:tcPr/>
                <w:p>
                  <w:pPr>
                    <w:pStyle w:val="Compact"/>
                    <w:jc w:val="right"/>
                    <w:jc w:val="center"/>
                  </w:pPr>
                  <w:r>
                    <w:t xml:space="preserve">0.930</w:t>
                  </w:r>
                </w:p>
              </w:tc>
              <w:tc>
                <w:tcPr/>
                <w:p>
                  <w:pPr>
                    <w:pStyle w:val="Compact"/>
                  </w:pPr>
                </w:p>
              </w:tc>
            </w:tr>
            <w:tr>
              <w:tc>
                <w:tcPr/>
                <w:p>
                  <w:pPr>
                    <w:pStyle w:val="Compact"/>
                    <w:jc w:val="left"/>
                    <w:jc w:val="center"/>
                  </w:pPr>
                  <w:r>
                    <w:t xml:space="preserve">AD</w:t>
                  </w:r>
                </w:p>
              </w:tc>
              <w:tc>
                <w:tcPr/>
                <w:p>
                  <w:pPr>
                    <w:pStyle w:val="Compact"/>
                    <w:jc w:val="right"/>
                    <w:jc w:val="center"/>
                  </w:pPr>
                  <w:r>
                    <w:t xml:space="preserve">−0.0171</w:t>
                  </w:r>
                </w:p>
              </w:tc>
              <w:tc>
                <w:tcPr/>
                <w:p>
                  <w:pPr>
                    <w:pStyle w:val="Compact"/>
                    <w:jc w:val="right"/>
                    <w:jc w:val="center"/>
                  </w:pPr>
                  <w:r>
                    <w:t xml:space="preserve">−0.0085</w:t>
                  </w:r>
                </w:p>
              </w:tc>
              <w:tc>
                <w:tcPr/>
                <w:p>
                  <w:pPr>
                    <w:pStyle w:val="Compact"/>
                    <w:jc w:val="right"/>
                    <w:jc w:val="center"/>
                  </w:pPr>
                  <w:r>
                    <w:t xml:space="preserve">0.1550</w:t>
                  </w:r>
                </w:p>
              </w:tc>
              <w:tc>
                <w:tcPr/>
                <w:p>
                  <w:pPr>
                    <w:pStyle w:val="Compact"/>
                    <w:jc w:val="right"/>
                    <w:jc w:val="center"/>
                  </w:pPr>
                  <w:r>
                    <w:t xml:space="preserve">−0.0551</w:t>
                  </w:r>
                </w:p>
              </w:tc>
              <w:tc>
                <w:tcPr/>
                <w:p>
                  <w:pPr>
                    <w:pStyle w:val="Compact"/>
                    <w:jc w:val="right"/>
                    <w:jc w:val="center"/>
                  </w:pPr>
                  <w:r>
                    <w:t xml:space="preserve">0.960</w:t>
                  </w:r>
                </w:p>
              </w:tc>
              <w:tc>
                <w:tcPr/>
                <w:p>
                  <w:pPr>
                    <w:pStyle w:val="Compact"/>
                  </w:pPr>
                </w:p>
              </w:tc>
            </w:tr>
            <w:tr>
              <w:tc>
                <w:tcPr/>
                <w:p>
                  <w:pPr>
                    <w:pStyle w:val="Compact"/>
                    <w:jc w:val="left"/>
                    <w:jc w:val="center"/>
                  </w:pPr>
                  <w:r>
                    <w:t xml:space="preserve">BD</w:t>
                  </w:r>
                </w:p>
              </w:tc>
              <w:tc>
                <w:tcPr/>
                <w:p>
                  <w:pPr>
                    <w:pStyle w:val="Compact"/>
                    <w:jc w:val="right"/>
                    <w:jc w:val="center"/>
                  </w:pPr>
                  <w:r>
                    <w:t xml:space="preserve">0.0063</w:t>
                  </w:r>
                </w:p>
              </w:tc>
              <w:tc>
                <w:tcPr/>
                <w:p>
                  <w:pPr>
                    <w:pStyle w:val="Compact"/>
                    <w:jc w:val="right"/>
                    <w:jc w:val="center"/>
                  </w:pPr>
                  <w:r>
                    <w:t xml:space="preserve">0.0031</w:t>
                  </w:r>
                </w:p>
              </w:tc>
              <w:tc>
                <w:tcPr/>
                <w:p>
                  <w:pPr>
                    <w:pStyle w:val="Compact"/>
                    <w:jc w:val="right"/>
                    <w:jc w:val="center"/>
                  </w:pPr>
                  <w:r>
                    <w:t xml:space="preserve">0.1550</w:t>
                  </w:r>
                </w:p>
              </w:tc>
              <w:tc>
                <w:tcPr/>
                <w:p>
                  <w:pPr>
                    <w:pStyle w:val="Compact"/>
                    <w:jc w:val="right"/>
                    <w:jc w:val="center"/>
                  </w:pPr>
                  <w:r>
                    <w:t xml:space="preserve">0.0203</w:t>
                  </w:r>
                </w:p>
              </w:tc>
              <w:tc>
                <w:tcPr/>
                <w:p>
                  <w:pPr>
                    <w:pStyle w:val="Compact"/>
                    <w:jc w:val="right"/>
                    <w:jc w:val="center"/>
                  </w:pPr>
                  <w:r>
                    <w:t xml:space="preserve">0.985</w:t>
                  </w:r>
                </w:p>
              </w:tc>
              <w:tc>
                <w:tcPr/>
                <w:p>
                  <w:pPr>
                    <w:pStyle w:val="Compact"/>
                  </w:pPr>
                </w:p>
              </w:tc>
            </w:tr>
          </w:tbl>
          <w:bookmarkEnd w:id="1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tbl-scr-acidic-variants"/>
          <w:p>
            <w:pPr>
              <w:jc w:val="center"/>
            </w:pPr>
            <w:pPr>
              <w:jc w:val="start"/>
              <w:spacing w:before="200"/>
              <w:pStyle w:val="ImageCaption"/>
            </w:pPr>
            <w:r>
              <w:t xml:space="preserve">Table 34: Effects of the screening model of acidic variants, as measured in the scale-down model.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C</w:t>
                  </w:r>
                </w:p>
              </w:tc>
              <w:tc>
                <w:tcPr/>
                <w:p>
                  <w:pPr>
                    <w:pStyle w:val="Compact"/>
                    <w:jc w:val="right"/>
                    <w:jc w:val="center"/>
                  </w:pPr>
                  <w:r>
                    <w:t xml:space="preserve">−8.2064</w:t>
                  </w:r>
                </w:p>
              </w:tc>
              <w:tc>
                <w:tcPr/>
                <w:p>
                  <w:pPr>
                    <w:pStyle w:val="Compact"/>
                    <w:jc w:val="right"/>
                    <w:jc w:val="center"/>
                  </w:pPr>
                  <w:r>
                    <w:t xml:space="preserve">−4.1032</w:t>
                  </w:r>
                </w:p>
              </w:tc>
              <w:tc>
                <w:tcPr/>
                <w:p>
                  <w:pPr>
                    <w:pStyle w:val="Compact"/>
                    <w:jc w:val="right"/>
                    <w:jc w:val="center"/>
                  </w:pPr>
                  <w:r>
                    <w:t xml:space="preserve">0.2389</w:t>
                  </w:r>
                </w:p>
              </w:tc>
              <w:tc>
                <w:tcPr/>
                <w:p>
                  <w:pPr>
                    <w:pStyle w:val="Compact"/>
                    <w:jc w:val="right"/>
                    <w:jc w:val="center"/>
                  </w:pPr>
                  <w:r>
                    <w:t xml:space="preserve">−17.1777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−4.1145</w:t>
                  </w:r>
                </w:p>
              </w:tc>
              <w:tc>
                <w:tcPr/>
                <w:p>
                  <w:pPr>
                    <w:pStyle w:val="Compact"/>
                    <w:jc w:val="right"/>
                    <w:jc w:val="center"/>
                  </w:pPr>
                  <w:r>
                    <w:t xml:space="preserve">−2.0572</w:t>
                  </w:r>
                </w:p>
              </w:tc>
              <w:tc>
                <w:tcPr/>
                <w:p>
                  <w:pPr>
                    <w:pStyle w:val="Compact"/>
                    <w:jc w:val="right"/>
                    <w:jc w:val="center"/>
                  </w:pPr>
                  <w:r>
                    <w:t xml:space="preserve">0.2372</w:t>
                  </w:r>
                </w:p>
              </w:tc>
              <w:tc>
                <w:tcPr/>
                <w:p>
                  <w:pPr>
                    <w:pStyle w:val="Compact"/>
                    <w:jc w:val="right"/>
                    <w:jc w:val="center"/>
                  </w:pPr>
                  <w:r>
                    <w:t xml:space="preserve">−8.6725</w:t>
                  </w:r>
                </w:p>
              </w:tc>
              <w:tc>
                <w:tcPr/>
                <w:p>
                  <w:pPr>
                    <w:pStyle w:val="Compact"/>
                    <w:jc w:val="right"/>
                    <w:jc w:val="center"/>
                  </w:pPr>
                  <w:r>
                    <w:t xml:space="preserve">0.003</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3.0168</w:t>
                  </w:r>
                </w:p>
              </w:tc>
              <w:tc>
                <w:tcPr/>
                <w:p>
                  <w:pPr>
                    <w:pStyle w:val="Compact"/>
                    <w:jc w:val="right"/>
                    <w:jc w:val="center"/>
                  </w:pPr>
                  <w:r>
                    <w:t xml:space="preserve">1.5084</w:t>
                  </w:r>
                </w:p>
              </w:tc>
              <w:tc>
                <w:tcPr/>
                <w:p>
                  <w:pPr>
                    <w:pStyle w:val="Compact"/>
                    <w:jc w:val="right"/>
                    <w:jc w:val="center"/>
                  </w:pPr>
                  <w:r>
                    <w:t xml:space="preserve">0.2372</w:t>
                  </w:r>
                </w:p>
              </w:tc>
              <w:tc>
                <w:tcPr/>
                <w:p>
                  <w:pPr>
                    <w:pStyle w:val="Compact"/>
                    <w:jc w:val="right"/>
                    <w:jc w:val="center"/>
                  </w:pPr>
                  <w:r>
                    <w:t xml:space="preserve">6.3588</w:t>
                  </w:r>
                </w:p>
              </w:tc>
              <w:tc>
                <w:tcPr/>
                <w:p>
                  <w:pPr>
                    <w:pStyle w:val="Compact"/>
                    <w:jc w:val="right"/>
                    <w:jc w:val="center"/>
                  </w:pPr>
                  <w:r>
                    <w:t xml:space="preserve">0.008</w:t>
                  </w:r>
                </w:p>
              </w:tc>
              <w:tc>
                <w:tcPr/>
                <w:p>
                  <w:pPr>
                    <w:pStyle w:val="Compact"/>
                    <w:jc w:val="left"/>
                    <w:jc w:val="center"/>
                  </w:pPr>
                  <w:r>
                    <w:t xml:space="preserve">**</w:t>
                  </w:r>
                </w:p>
              </w:tc>
            </w:tr>
            <w:tr>
              <w:tc>
                <w:tcPr/>
                <w:p>
                  <w:pPr>
                    <w:pStyle w:val="Compact"/>
                    <w:jc w:val="left"/>
                    <w:jc w:val="center"/>
                  </w:pPr>
                  <w:r>
                    <w:t xml:space="preserve">D</w:t>
                  </w:r>
                </w:p>
              </w:tc>
              <w:tc>
                <w:tcPr/>
                <w:p>
                  <w:pPr>
                    <w:pStyle w:val="Compact"/>
                    <w:jc w:val="right"/>
                    <w:jc w:val="center"/>
                  </w:pPr>
                  <w:r>
                    <w:t xml:space="preserve">−2.6064</w:t>
                  </w:r>
                </w:p>
              </w:tc>
              <w:tc>
                <w:tcPr/>
                <w:p>
                  <w:pPr>
                    <w:pStyle w:val="Compact"/>
                    <w:jc w:val="right"/>
                    <w:jc w:val="center"/>
                  </w:pPr>
                  <w:r>
                    <w:t xml:space="preserve">−1.3032</w:t>
                  </w:r>
                </w:p>
              </w:tc>
              <w:tc>
                <w:tcPr/>
                <w:p>
                  <w:pPr>
                    <w:pStyle w:val="Compact"/>
                    <w:jc w:val="right"/>
                    <w:jc w:val="center"/>
                  </w:pPr>
                  <w:r>
                    <w:t xml:space="preserve">0.2372</w:t>
                  </w:r>
                </w:p>
              </w:tc>
              <w:tc>
                <w:tcPr/>
                <w:p>
                  <w:pPr>
                    <w:pStyle w:val="Compact"/>
                    <w:jc w:val="right"/>
                    <w:jc w:val="center"/>
                  </w:pPr>
                  <w:r>
                    <w:t xml:space="preserve">−5.4938</w:t>
                  </w:r>
                </w:p>
              </w:tc>
              <w:tc>
                <w:tcPr/>
                <w:p>
                  <w:pPr>
                    <w:pStyle w:val="Compact"/>
                    <w:jc w:val="right"/>
                    <w:jc w:val="center"/>
                  </w:pPr>
                  <w:r>
                    <w:t xml:space="preserve">0.012</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1.9332</w:t>
                  </w:r>
                </w:p>
              </w:tc>
              <w:tc>
                <w:tcPr/>
                <w:p>
                  <w:pPr>
                    <w:pStyle w:val="Compact"/>
                    <w:jc w:val="right"/>
                    <w:jc w:val="center"/>
                  </w:pPr>
                  <w:r>
                    <w:t xml:space="preserve">0.9666</w:t>
                  </w:r>
                </w:p>
              </w:tc>
              <w:tc>
                <w:tcPr/>
                <w:p>
                  <w:pPr>
                    <w:pStyle w:val="Compact"/>
                    <w:jc w:val="right"/>
                    <w:jc w:val="center"/>
                  </w:pPr>
                  <w:r>
                    <w:t xml:space="preserve">0.2372</w:t>
                  </w:r>
                </w:p>
              </w:tc>
              <w:tc>
                <w:tcPr/>
                <w:p>
                  <w:pPr>
                    <w:pStyle w:val="Compact"/>
                    <w:jc w:val="right"/>
                    <w:jc w:val="center"/>
                  </w:pPr>
                  <w:r>
                    <w:t xml:space="preserve">4.0748</w:t>
                  </w:r>
                </w:p>
              </w:tc>
              <w:tc>
                <w:tcPr/>
                <w:p>
                  <w:pPr>
                    <w:pStyle w:val="Compact"/>
                    <w:jc w:val="right"/>
                    <w:jc w:val="center"/>
                  </w:pPr>
                  <w:r>
                    <w:t xml:space="preserve">0.027</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−1.8747</w:t>
                  </w:r>
                </w:p>
              </w:tc>
              <w:tc>
                <w:tcPr/>
                <w:p>
                  <w:pPr>
                    <w:pStyle w:val="Compact"/>
                    <w:jc w:val="right"/>
                    <w:jc w:val="center"/>
                  </w:pPr>
                  <w:r>
                    <w:t xml:space="preserve">−0.9374</w:t>
                  </w:r>
                </w:p>
              </w:tc>
              <w:tc>
                <w:tcPr/>
                <w:p>
                  <w:pPr>
                    <w:pStyle w:val="Compact"/>
                    <w:jc w:val="right"/>
                    <w:jc w:val="center"/>
                  </w:pPr>
                  <w:r>
                    <w:t xml:space="preserve">0.2389</w:t>
                  </w:r>
                </w:p>
              </w:tc>
              <w:tc>
                <w:tcPr/>
                <w:p>
                  <w:pPr>
                    <w:pStyle w:val="Compact"/>
                    <w:jc w:val="right"/>
                    <w:jc w:val="center"/>
                  </w:pPr>
                  <w:r>
                    <w:t xml:space="preserve">−3.9241</w:t>
                  </w:r>
                </w:p>
              </w:tc>
              <w:tc>
                <w:tcPr/>
                <w:p>
                  <w:pPr>
                    <w:pStyle w:val="Compact"/>
                    <w:jc w:val="right"/>
                    <w:jc w:val="center"/>
                  </w:pPr>
                  <w:r>
                    <w:t xml:space="preserve">0.029</w:t>
                  </w:r>
                </w:p>
              </w:tc>
              <w:tc>
                <w:tcPr/>
                <w:p>
                  <w:pPr>
                    <w:pStyle w:val="Compact"/>
                    <w:jc w:val="left"/>
                    <w:jc w:val="center"/>
                  </w:pPr>
                  <w:r>
                    <w:t xml:space="preserve">*</w:t>
                  </w:r>
                </w:p>
              </w:tc>
            </w:tr>
            <w:tr>
              <w:tc>
                <w:tcPr/>
                <w:p>
                  <w:pPr>
                    <w:pStyle w:val="Compact"/>
                    <w:jc w:val="left"/>
                    <w:jc w:val="center"/>
                  </w:pPr>
                  <w:r>
                    <w:t xml:space="preserve">BE</w:t>
                  </w:r>
                </w:p>
              </w:tc>
              <w:tc>
                <w:tcPr/>
                <w:p>
                  <w:pPr>
                    <w:pStyle w:val="Compact"/>
                    <w:jc w:val="right"/>
                    <w:jc w:val="center"/>
                  </w:pPr>
                  <w:r>
                    <w:t xml:space="preserve">1.7815</w:t>
                  </w:r>
                </w:p>
              </w:tc>
              <w:tc>
                <w:tcPr/>
                <w:p>
                  <w:pPr>
                    <w:pStyle w:val="Compact"/>
                    <w:jc w:val="right"/>
                    <w:jc w:val="center"/>
                  </w:pPr>
                  <w:r>
                    <w:t xml:space="preserve">0.8907</w:t>
                  </w:r>
                </w:p>
              </w:tc>
              <w:tc>
                <w:tcPr/>
                <w:p>
                  <w:pPr>
                    <w:pStyle w:val="Compact"/>
                    <w:jc w:val="right"/>
                    <w:jc w:val="center"/>
                  </w:pPr>
                  <w:r>
                    <w:t xml:space="preserve">0.2372</w:t>
                  </w:r>
                </w:p>
              </w:tc>
              <w:tc>
                <w:tcPr/>
                <w:p>
                  <w:pPr>
                    <w:pStyle w:val="Compact"/>
                    <w:jc w:val="right"/>
                    <w:jc w:val="center"/>
                  </w:pPr>
                  <w:r>
                    <w:t xml:space="preserve">3.7550</w:t>
                  </w:r>
                </w:p>
              </w:tc>
              <w:tc>
                <w:tcPr/>
                <w:p>
                  <w:pPr>
                    <w:pStyle w:val="Compact"/>
                    <w:jc w:val="right"/>
                    <w:jc w:val="center"/>
                  </w:pPr>
                  <w:r>
                    <w:t xml:space="preserve">0.033</w:t>
                  </w:r>
                </w:p>
              </w:tc>
              <w:tc>
                <w:tcPr/>
                <w:p>
                  <w:pPr>
                    <w:pStyle w:val="Compact"/>
                    <w:jc w:val="left"/>
                    <w:jc w:val="center"/>
                  </w:pPr>
                  <w:r>
                    <w:t xml:space="preserve">*</w:t>
                  </w:r>
                </w:p>
              </w:tc>
            </w:tr>
            <w:tr>
              <w:tc>
                <w:tcPr/>
                <w:p>
                  <w:pPr>
                    <w:pStyle w:val="Compact"/>
                    <w:jc w:val="left"/>
                    <w:jc w:val="center"/>
                  </w:pPr>
                  <w:r>
                    <w:t xml:space="preserve">AD</w:t>
                  </w:r>
                </w:p>
              </w:tc>
              <w:tc>
                <w:tcPr/>
                <w:p>
                  <w:pPr>
                    <w:pStyle w:val="Compact"/>
                    <w:jc w:val="right"/>
                    <w:jc w:val="center"/>
                  </w:pPr>
                  <w:r>
                    <w:t xml:space="preserve">−0.6177</w:t>
                  </w:r>
                </w:p>
              </w:tc>
              <w:tc>
                <w:tcPr/>
                <w:p>
                  <w:pPr>
                    <w:pStyle w:val="Compact"/>
                    <w:jc w:val="right"/>
                    <w:jc w:val="center"/>
                  </w:pPr>
                  <w:r>
                    <w:t xml:space="preserve">−0.3089</w:t>
                  </w:r>
                </w:p>
              </w:tc>
              <w:tc>
                <w:tcPr/>
                <w:p>
                  <w:pPr>
                    <w:pStyle w:val="Compact"/>
                    <w:jc w:val="right"/>
                    <w:jc w:val="center"/>
                  </w:pPr>
                  <w:r>
                    <w:t xml:space="preserve">0.2372</w:t>
                  </w:r>
                </w:p>
              </w:tc>
              <w:tc>
                <w:tcPr/>
                <w:p>
                  <w:pPr>
                    <w:pStyle w:val="Compact"/>
                    <w:jc w:val="right"/>
                    <w:jc w:val="center"/>
                  </w:pPr>
                  <w:r>
                    <w:t xml:space="preserve">−1.3021</w:t>
                  </w:r>
                </w:p>
              </w:tc>
              <w:tc>
                <w:tcPr/>
                <w:p>
                  <w:pPr>
                    <w:pStyle w:val="Compact"/>
                    <w:jc w:val="right"/>
                    <w:jc w:val="center"/>
                  </w:pPr>
                  <w:r>
                    <w:t xml:space="preserve">0.284</w:t>
                  </w:r>
                </w:p>
              </w:tc>
              <w:tc>
                <w:tcPr/>
                <w:p>
                  <w:pPr>
                    <w:pStyle w:val="Compact"/>
                  </w:pPr>
                </w:p>
              </w:tc>
            </w:tr>
            <w:tr>
              <w:tc>
                <w:tcPr/>
                <w:p>
                  <w:pPr>
                    <w:pStyle w:val="Compact"/>
                    <w:jc w:val="left"/>
                    <w:jc w:val="center"/>
                  </w:pPr>
                  <w:r>
                    <w:t xml:space="preserve">CE</w:t>
                  </w:r>
                </w:p>
              </w:tc>
              <w:tc>
                <w:tcPr/>
                <w:p>
                  <w:pPr>
                    <w:pStyle w:val="Compact"/>
                    <w:jc w:val="right"/>
                    <w:jc w:val="center"/>
                  </w:pPr>
                  <w:r>
                    <w:t xml:space="preserve">−0.5460</w:t>
                  </w:r>
                </w:p>
              </w:tc>
              <w:tc>
                <w:tcPr/>
                <w:p>
                  <w:pPr>
                    <w:pStyle w:val="Compact"/>
                    <w:jc w:val="right"/>
                    <w:jc w:val="center"/>
                  </w:pPr>
                  <w:r>
                    <w:t xml:space="preserve">−0.2730</w:t>
                  </w:r>
                </w:p>
              </w:tc>
              <w:tc>
                <w:tcPr/>
                <w:p>
                  <w:pPr>
                    <w:pStyle w:val="Compact"/>
                    <w:jc w:val="right"/>
                    <w:jc w:val="center"/>
                  </w:pPr>
                  <w:r>
                    <w:t xml:space="preserve">0.2389</w:t>
                  </w:r>
                </w:p>
              </w:tc>
              <w:tc>
                <w:tcPr/>
                <w:p>
                  <w:pPr>
                    <w:pStyle w:val="Compact"/>
                    <w:jc w:val="right"/>
                    <w:jc w:val="center"/>
                  </w:pPr>
                  <w:r>
                    <w:t xml:space="preserve">−1.1429</w:t>
                  </w:r>
                </w:p>
              </w:tc>
              <w:tc>
                <w:tcPr/>
                <w:p>
                  <w:pPr>
                    <w:pStyle w:val="Compact"/>
                    <w:jc w:val="right"/>
                    <w:jc w:val="center"/>
                  </w:pPr>
                  <w:r>
                    <w:t xml:space="preserve">0.336</w:t>
                  </w:r>
                </w:p>
              </w:tc>
              <w:tc>
                <w:tcPr/>
                <w:p>
                  <w:pPr>
                    <w:pStyle w:val="Compact"/>
                  </w:pPr>
                </w:p>
              </w:tc>
            </w:tr>
            <w:tr>
              <w:tc>
                <w:tcPr/>
                <w:p>
                  <w:pPr>
                    <w:pStyle w:val="Compact"/>
                    <w:jc w:val="left"/>
                    <w:jc w:val="center"/>
                  </w:pPr>
                  <w:r>
                    <w:t xml:space="preserve">CD</w:t>
                  </w:r>
                </w:p>
              </w:tc>
              <w:tc>
                <w:tcPr/>
                <w:p>
                  <w:pPr>
                    <w:pStyle w:val="Compact"/>
                    <w:jc w:val="right"/>
                    <w:jc w:val="center"/>
                  </w:pPr>
                  <w:r>
                    <w:t xml:space="preserve">−0.5448</w:t>
                  </w:r>
                </w:p>
              </w:tc>
              <w:tc>
                <w:tcPr/>
                <w:p>
                  <w:pPr>
                    <w:pStyle w:val="Compact"/>
                    <w:jc w:val="right"/>
                    <w:jc w:val="center"/>
                  </w:pPr>
                  <w:r>
                    <w:t xml:space="preserve">−0.2724</w:t>
                  </w:r>
                </w:p>
              </w:tc>
              <w:tc>
                <w:tcPr/>
                <w:p>
                  <w:pPr>
                    <w:pStyle w:val="Compact"/>
                    <w:jc w:val="right"/>
                    <w:jc w:val="center"/>
                  </w:pPr>
                  <w:r>
                    <w:t xml:space="preserve">0.2389</w:t>
                  </w:r>
                </w:p>
              </w:tc>
              <w:tc>
                <w:tcPr/>
                <w:p>
                  <w:pPr>
                    <w:pStyle w:val="Compact"/>
                    <w:jc w:val="right"/>
                    <w:jc w:val="center"/>
                  </w:pPr>
                  <w:r>
                    <w:t xml:space="preserve">−1.1404</w:t>
                  </w:r>
                </w:p>
              </w:tc>
              <w:tc>
                <w:tcPr/>
                <w:p>
                  <w:pPr>
                    <w:pStyle w:val="Compact"/>
                    <w:jc w:val="right"/>
                    <w:jc w:val="center"/>
                  </w:pPr>
                  <w:r>
                    <w:t xml:space="preserve">0.337</w:t>
                  </w:r>
                </w:p>
              </w:tc>
              <w:tc>
                <w:tcPr/>
                <w:p>
                  <w:pPr>
                    <w:pStyle w:val="Compact"/>
                  </w:pPr>
                </w:p>
              </w:tc>
            </w:tr>
            <w:tr>
              <w:tc>
                <w:tcPr/>
                <w:p>
                  <w:pPr>
                    <w:pStyle w:val="Compact"/>
                    <w:jc w:val="left"/>
                    <w:jc w:val="center"/>
                  </w:pPr>
                  <w:r>
                    <w:t xml:space="preserve">BC</w:t>
                  </w:r>
                </w:p>
              </w:tc>
              <w:tc>
                <w:tcPr/>
                <w:p>
                  <w:pPr>
                    <w:pStyle w:val="Compact"/>
                    <w:jc w:val="right"/>
                    <w:jc w:val="center"/>
                  </w:pPr>
                  <w:r>
                    <w:t xml:space="preserve">0.2038</w:t>
                  </w:r>
                </w:p>
              </w:tc>
              <w:tc>
                <w:tcPr/>
                <w:p>
                  <w:pPr>
                    <w:pStyle w:val="Compact"/>
                    <w:jc w:val="right"/>
                    <w:jc w:val="center"/>
                  </w:pPr>
                  <w:r>
                    <w:t xml:space="preserve">0.1019</w:t>
                  </w:r>
                </w:p>
              </w:tc>
              <w:tc>
                <w:tcPr/>
                <w:p>
                  <w:pPr>
                    <w:pStyle w:val="Compact"/>
                    <w:jc w:val="right"/>
                    <w:jc w:val="center"/>
                  </w:pPr>
                  <w:r>
                    <w:t xml:space="preserve">0.2389</w:t>
                  </w:r>
                </w:p>
              </w:tc>
              <w:tc>
                <w:tcPr/>
                <w:p>
                  <w:pPr>
                    <w:pStyle w:val="Compact"/>
                    <w:jc w:val="right"/>
                    <w:jc w:val="center"/>
                  </w:pPr>
                  <w:r>
                    <w:t xml:space="preserve">0.4267</w:t>
                  </w:r>
                </w:p>
              </w:tc>
              <w:tc>
                <w:tcPr/>
                <w:p>
                  <w:pPr>
                    <w:pStyle w:val="Compact"/>
                    <w:jc w:val="right"/>
                    <w:jc w:val="center"/>
                  </w:pPr>
                  <w:r>
                    <w:t xml:space="preserve">0.698</w:t>
                  </w:r>
                </w:p>
              </w:tc>
              <w:tc>
                <w:tcPr/>
                <w:p>
                  <w:pPr>
                    <w:pStyle w:val="Compact"/>
                  </w:pPr>
                </w:p>
              </w:tc>
            </w:tr>
            <w:tr>
              <w:tc>
                <w:tcPr/>
                <w:p>
                  <w:pPr>
                    <w:pStyle w:val="Compact"/>
                    <w:jc w:val="left"/>
                    <w:jc w:val="center"/>
                  </w:pPr>
                  <w:r>
                    <w:t xml:space="preserve">BD</w:t>
                  </w:r>
                </w:p>
              </w:tc>
              <w:tc>
                <w:tcPr/>
                <w:p>
                  <w:pPr>
                    <w:pStyle w:val="Compact"/>
                    <w:jc w:val="right"/>
                    <w:jc w:val="center"/>
                  </w:pPr>
                  <w:r>
                    <w:t xml:space="preserve">−0.1635</w:t>
                  </w:r>
                </w:p>
              </w:tc>
              <w:tc>
                <w:tcPr/>
                <w:p>
                  <w:pPr>
                    <w:pStyle w:val="Compact"/>
                    <w:jc w:val="right"/>
                    <w:jc w:val="center"/>
                  </w:pPr>
                  <w:r>
                    <w:t xml:space="preserve">−0.0818</w:t>
                  </w:r>
                </w:p>
              </w:tc>
              <w:tc>
                <w:tcPr/>
                <w:p>
                  <w:pPr>
                    <w:pStyle w:val="Compact"/>
                    <w:jc w:val="right"/>
                    <w:jc w:val="center"/>
                  </w:pPr>
                  <w:r>
                    <w:t xml:space="preserve">0.2372</w:t>
                  </w:r>
                </w:p>
              </w:tc>
              <w:tc>
                <w:tcPr/>
                <w:p>
                  <w:pPr>
                    <w:pStyle w:val="Compact"/>
                    <w:jc w:val="right"/>
                    <w:jc w:val="center"/>
                  </w:pPr>
                  <w:r>
                    <w:t xml:space="preserve">−0.3447</w:t>
                  </w:r>
                </w:p>
              </w:tc>
              <w:tc>
                <w:tcPr/>
                <w:p>
                  <w:pPr>
                    <w:pStyle w:val="Compact"/>
                    <w:jc w:val="right"/>
                    <w:jc w:val="center"/>
                  </w:pPr>
                  <w:r>
                    <w:t xml:space="preserve">0.753</w:t>
                  </w:r>
                </w:p>
              </w:tc>
              <w:tc>
                <w:tcPr/>
                <w:p>
                  <w:pPr>
                    <w:pStyle w:val="Compact"/>
                  </w:pPr>
                </w:p>
              </w:tc>
            </w:tr>
            <w:tr>
              <w:tc>
                <w:tcPr/>
                <w:p>
                  <w:pPr>
                    <w:pStyle w:val="Compact"/>
                    <w:jc w:val="left"/>
                    <w:jc w:val="center"/>
                  </w:pPr>
                  <w:r>
                    <w:t xml:space="preserve">AE</w:t>
                  </w:r>
                </w:p>
              </w:tc>
              <w:tc>
                <w:tcPr/>
                <w:p>
                  <w:pPr>
                    <w:pStyle w:val="Compact"/>
                    <w:jc w:val="right"/>
                    <w:jc w:val="center"/>
                  </w:pPr>
                  <w:r>
                    <w:t xml:space="preserve">0.0742</w:t>
                  </w:r>
                </w:p>
              </w:tc>
              <w:tc>
                <w:tcPr/>
                <w:p>
                  <w:pPr>
                    <w:pStyle w:val="Compact"/>
                    <w:jc w:val="right"/>
                    <w:jc w:val="center"/>
                  </w:pPr>
                  <w:r>
                    <w:t xml:space="preserve">0.0371</w:t>
                  </w:r>
                </w:p>
              </w:tc>
              <w:tc>
                <w:tcPr/>
                <w:p>
                  <w:pPr>
                    <w:pStyle w:val="Compact"/>
                    <w:jc w:val="right"/>
                    <w:jc w:val="center"/>
                  </w:pPr>
                  <w:r>
                    <w:t xml:space="preserve">0.2372</w:t>
                  </w:r>
                </w:p>
              </w:tc>
              <w:tc>
                <w:tcPr/>
                <w:p>
                  <w:pPr>
                    <w:pStyle w:val="Compact"/>
                    <w:jc w:val="right"/>
                    <w:jc w:val="center"/>
                  </w:pPr>
                  <w:r>
                    <w:t xml:space="preserve">0.1564</w:t>
                  </w:r>
                </w:p>
              </w:tc>
              <w:tc>
                <w:tcPr/>
                <w:p>
                  <w:pPr>
                    <w:pStyle w:val="Compact"/>
                    <w:jc w:val="right"/>
                    <w:jc w:val="center"/>
                  </w:pPr>
                  <w:r>
                    <w:t xml:space="preserve">0.886</w:t>
                  </w:r>
                </w:p>
              </w:tc>
              <w:tc>
                <w:tcPr/>
                <w:p>
                  <w:pPr>
                    <w:pStyle w:val="Compact"/>
                  </w:pPr>
                </w:p>
              </w:tc>
            </w:tr>
            <w:tr>
              <w:tc>
                <w:tcPr/>
                <w:p>
                  <w:pPr>
                    <w:pStyle w:val="Compact"/>
                    <w:jc w:val="left"/>
                    <w:jc w:val="center"/>
                  </w:pPr>
                  <w:r>
                    <w:t xml:space="preserve">E</w:t>
                  </w:r>
                </w:p>
              </w:tc>
              <w:tc>
                <w:tcPr/>
                <w:p>
                  <w:pPr>
                    <w:pStyle w:val="Compact"/>
                    <w:jc w:val="right"/>
                    <w:jc w:val="center"/>
                  </w:pPr>
                  <w:r>
                    <w:t xml:space="preserve">−0.0282</w:t>
                  </w:r>
                </w:p>
              </w:tc>
              <w:tc>
                <w:tcPr/>
                <w:p>
                  <w:pPr>
                    <w:pStyle w:val="Compact"/>
                    <w:jc w:val="right"/>
                    <w:jc w:val="center"/>
                  </w:pPr>
                  <w:r>
                    <w:t xml:space="preserve">−0.0141</w:t>
                  </w:r>
                </w:p>
              </w:tc>
              <w:tc>
                <w:tcPr/>
                <w:p>
                  <w:pPr>
                    <w:pStyle w:val="Compact"/>
                    <w:jc w:val="right"/>
                    <w:jc w:val="center"/>
                  </w:pPr>
                  <w:r>
                    <w:t xml:space="preserve">0.2372</w:t>
                  </w:r>
                </w:p>
              </w:tc>
              <w:tc>
                <w:tcPr/>
                <w:p>
                  <w:pPr>
                    <w:pStyle w:val="Compact"/>
                    <w:jc w:val="right"/>
                    <w:jc w:val="center"/>
                  </w:pPr>
                  <w:r>
                    <w:t xml:space="preserve">−0.0594</w:t>
                  </w:r>
                </w:p>
              </w:tc>
              <w:tc>
                <w:tcPr/>
                <w:p>
                  <w:pPr>
                    <w:pStyle w:val="Compact"/>
                    <w:jc w:val="right"/>
                    <w:jc w:val="center"/>
                  </w:pPr>
                  <w:r>
                    <w:t xml:space="preserve">0.956</w:t>
                  </w:r>
                </w:p>
              </w:tc>
              <w:tc>
                <w:tcPr/>
                <w:p>
                  <w:pPr>
                    <w:pStyle w:val="Compact"/>
                  </w:pPr>
                </w:p>
              </w:tc>
            </w:tr>
            <w:tr>
              <w:tc>
                <w:tcPr/>
                <w:p>
                  <w:pPr>
                    <w:pStyle w:val="Compact"/>
                    <w:jc w:val="left"/>
                    <w:jc w:val="center"/>
                  </w:pPr>
                  <w:r>
                    <w:t xml:space="preserve">DE</w:t>
                  </w:r>
                </w:p>
              </w:tc>
              <w:tc>
                <w:tcPr/>
                <w:p>
                  <w:pPr>
                    <w:pStyle w:val="Compact"/>
                    <w:jc w:val="right"/>
                    <w:jc w:val="center"/>
                  </w:pPr>
                  <w:r>
                    <w:t xml:space="preserve">−0.0193</w:t>
                  </w:r>
                </w:p>
              </w:tc>
              <w:tc>
                <w:tcPr/>
                <w:p>
                  <w:pPr>
                    <w:pStyle w:val="Compact"/>
                    <w:jc w:val="right"/>
                    <w:jc w:val="center"/>
                  </w:pPr>
                  <w:r>
                    <w:t xml:space="preserve">−0.0096</w:t>
                  </w:r>
                </w:p>
              </w:tc>
              <w:tc>
                <w:tcPr/>
                <w:p>
                  <w:pPr>
                    <w:pStyle w:val="Compact"/>
                    <w:jc w:val="right"/>
                    <w:jc w:val="center"/>
                  </w:pPr>
                  <w:r>
                    <w:t xml:space="preserve">0.2372</w:t>
                  </w:r>
                </w:p>
              </w:tc>
              <w:tc>
                <w:tcPr/>
                <w:p>
                  <w:pPr>
                    <w:pStyle w:val="Compact"/>
                    <w:jc w:val="right"/>
                    <w:jc w:val="center"/>
                  </w:pPr>
                  <w:r>
                    <w:t xml:space="preserve">−0.0406</w:t>
                  </w:r>
                </w:p>
              </w:tc>
              <w:tc>
                <w:tcPr/>
                <w:p>
                  <w:pPr>
                    <w:pStyle w:val="Compact"/>
                    <w:jc w:val="right"/>
                    <w:jc w:val="center"/>
                  </w:pPr>
                  <w:r>
                    <w:t xml:space="preserve">0.970</w:t>
                  </w:r>
                </w:p>
              </w:tc>
              <w:tc>
                <w:tcPr/>
                <w:p>
                  <w:pPr>
                    <w:pStyle w:val="Compact"/>
                  </w:pPr>
                </w:p>
              </w:tc>
            </w:tr>
          </w:tbl>
          <w:bookmarkEnd w:id="16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9" w:name="tbl-scr-aggregates"/>
          <w:p>
            <w:pPr>
              <w:jc w:val="center"/>
            </w:pPr>
            <w:pPr>
              <w:jc w:val="start"/>
              <w:spacing w:before="200"/>
              <w:pStyle w:val="ImageCaption"/>
            </w:pPr>
            <w:r>
              <w:t xml:space="preserve">Table 35: Effects of the screening model of aggregate, as measured in the scale-down model.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A</w:t>
                  </w:r>
                </w:p>
              </w:tc>
              <w:tc>
                <w:tcPr/>
                <w:p>
                  <w:pPr>
                    <w:pStyle w:val="Compact"/>
                    <w:jc w:val="right"/>
                    <w:jc w:val="center"/>
                  </w:pPr>
                  <w:r>
                    <w:t xml:space="preserve">0.8332</w:t>
                  </w:r>
                </w:p>
              </w:tc>
              <w:tc>
                <w:tcPr/>
                <w:p>
                  <w:pPr>
                    <w:pStyle w:val="Compact"/>
                    <w:jc w:val="right"/>
                    <w:jc w:val="center"/>
                  </w:pPr>
                  <w:r>
                    <w:t xml:space="preserve">0.4166</w:t>
                  </w:r>
                </w:p>
              </w:tc>
              <w:tc>
                <w:tcPr/>
                <w:p>
                  <w:pPr>
                    <w:pStyle w:val="Compact"/>
                    <w:jc w:val="right"/>
                    <w:jc w:val="center"/>
                  </w:pPr>
                  <w:r>
                    <w:t xml:space="preserve">0.0207</w:t>
                  </w:r>
                </w:p>
              </w:tc>
              <w:tc>
                <w:tcPr/>
                <w:p>
                  <w:pPr>
                    <w:pStyle w:val="Compact"/>
                    <w:jc w:val="right"/>
                    <w:jc w:val="center"/>
                  </w:pPr>
                  <w:r>
                    <w:t xml:space="preserve">20.1527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0.5782</w:t>
                  </w:r>
                </w:p>
              </w:tc>
              <w:tc>
                <w:tcPr/>
                <w:p>
                  <w:pPr>
                    <w:pStyle w:val="Compact"/>
                    <w:jc w:val="right"/>
                    <w:jc w:val="center"/>
                  </w:pPr>
                  <w:r>
                    <w:t xml:space="preserve">0.2891</w:t>
                  </w:r>
                </w:p>
              </w:tc>
              <w:tc>
                <w:tcPr/>
                <w:p>
                  <w:pPr>
                    <w:pStyle w:val="Compact"/>
                    <w:jc w:val="right"/>
                    <w:jc w:val="center"/>
                  </w:pPr>
                  <w:r>
                    <w:t xml:space="preserve">0.0207</w:t>
                  </w:r>
                </w:p>
              </w:tc>
              <w:tc>
                <w:tcPr/>
                <w:p>
                  <w:pPr>
                    <w:pStyle w:val="Compact"/>
                    <w:jc w:val="right"/>
                    <w:jc w:val="center"/>
                  </w:pPr>
                  <w:r>
                    <w:t xml:space="preserve">13.9860</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BE</w:t>
                  </w:r>
                </w:p>
              </w:tc>
              <w:tc>
                <w:tcPr/>
                <w:p>
                  <w:pPr>
                    <w:pStyle w:val="Compact"/>
                    <w:jc w:val="right"/>
                    <w:jc w:val="center"/>
                  </w:pPr>
                  <w:r>
                    <w:t xml:space="preserve">−0.1416</w:t>
                  </w:r>
                </w:p>
              </w:tc>
              <w:tc>
                <w:tcPr/>
                <w:p>
                  <w:pPr>
                    <w:pStyle w:val="Compact"/>
                    <w:jc w:val="right"/>
                    <w:jc w:val="center"/>
                  </w:pPr>
                  <w:r>
                    <w:t xml:space="preserve">−0.0708</w:t>
                  </w:r>
                </w:p>
              </w:tc>
              <w:tc>
                <w:tcPr/>
                <w:p>
                  <w:pPr>
                    <w:pStyle w:val="Compact"/>
                    <w:jc w:val="right"/>
                    <w:jc w:val="center"/>
                  </w:pPr>
                  <w:r>
                    <w:t xml:space="preserve">0.0207</w:t>
                  </w:r>
                </w:p>
              </w:tc>
              <w:tc>
                <w:tcPr/>
                <w:p>
                  <w:pPr>
                    <w:pStyle w:val="Compact"/>
                    <w:jc w:val="right"/>
                    <w:jc w:val="center"/>
                  </w:pPr>
                  <w:r>
                    <w:t xml:space="preserve">−3.4253</w:t>
                  </w:r>
                </w:p>
              </w:tc>
              <w:tc>
                <w:tcPr/>
                <w:p>
                  <w:pPr>
                    <w:pStyle w:val="Compact"/>
                    <w:jc w:val="right"/>
                    <w:jc w:val="center"/>
                  </w:pPr>
                  <w:r>
                    <w:t xml:space="preserve">0.042</w:t>
                  </w:r>
                </w:p>
              </w:tc>
              <w:tc>
                <w:tcPr/>
                <w:p>
                  <w:pPr>
                    <w:pStyle w:val="Compact"/>
                    <w:jc w:val="left"/>
                    <w:jc w:val="center"/>
                  </w:pPr>
                  <w:r>
                    <w:t xml:space="preserve">*</w:t>
                  </w:r>
                </w:p>
              </w:tc>
            </w:tr>
            <w:tr>
              <w:tc>
                <w:tcPr/>
                <w:p>
                  <w:pPr>
                    <w:pStyle w:val="Compact"/>
                    <w:jc w:val="left"/>
                    <w:jc w:val="center"/>
                  </w:pPr>
                  <w:r>
                    <w:t xml:space="preserve">C</w:t>
                  </w:r>
                </w:p>
              </w:tc>
              <w:tc>
                <w:tcPr/>
                <w:p>
                  <w:pPr>
                    <w:pStyle w:val="Compact"/>
                    <w:jc w:val="right"/>
                    <w:jc w:val="center"/>
                  </w:pPr>
                  <w:r>
                    <w:t xml:space="preserve">0.1168</w:t>
                  </w:r>
                </w:p>
              </w:tc>
              <w:tc>
                <w:tcPr/>
                <w:p>
                  <w:pPr>
                    <w:pStyle w:val="Compact"/>
                    <w:jc w:val="right"/>
                    <w:jc w:val="center"/>
                  </w:pPr>
                  <w:r>
                    <w:t xml:space="preserve">0.0584</w:t>
                  </w:r>
                </w:p>
              </w:tc>
              <w:tc>
                <w:tcPr/>
                <w:p>
                  <w:pPr>
                    <w:pStyle w:val="Compact"/>
                    <w:jc w:val="right"/>
                    <w:jc w:val="center"/>
                  </w:pPr>
                  <w:r>
                    <w:t xml:space="preserve">0.0208</w:t>
                  </w:r>
                </w:p>
              </w:tc>
              <w:tc>
                <w:tcPr/>
                <w:p>
                  <w:pPr>
                    <w:pStyle w:val="Compact"/>
                    <w:jc w:val="right"/>
                    <w:jc w:val="center"/>
                  </w:pPr>
                  <w:r>
                    <w:t xml:space="preserve">2.8065</w:t>
                  </w:r>
                </w:p>
              </w:tc>
              <w:tc>
                <w:tcPr/>
                <w:p>
                  <w:pPr>
                    <w:pStyle w:val="Compact"/>
                    <w:jc w:val="right"/>
                    <w:jc w:val="center"/>
                  </w:pPr>
                  <w:r>
                    <w:t xml:space="preserve">0.067</w:t>
                  </w:r>
                </w:p>
              </w:tc>
              <w:tc>
                <w:tcPr/>
                <w:p>
                  <w:pPr>
                    <w:pStyle w:val="Compact"/>
                  </w:pPr>
                </w:p>
              </w:tc>
            </w:tr>
            <w:tr>
              <w:tc>
                <w:tcPr/>
                <w:p>
                  <w:pPr>
                    <w:pStyle w:val="Compact"/>
                    <w:jc w:val="left"/>
                    <w:jc w:val="center"/>
                  </w:pPr>
                  <w:r>
                    <w:t xml:space="preserve">CD</w:t>
                  </w:r>
                </w:p>
              </w:tc>
              <w:tc>
                <w:tcPr/>
                <w:p>
                  <w:pPr>
                    <w:pStyle w:val="Compact"/>
                    <w:jc w:val="right"/>
                    <w:jc w:val="center"/>
                  </w:pPr>
                  <w:r>
                    <w:t xml:space="preserve">−0.0734</w:t>
                  </w:r>
                </w:p>
              </w:tc>
              <w:tc>
                <w:tcPr/>
                <w:p>
                  <w:pPr>
                    <w:pStyle w:val="Compact"/>
                    <w:jc w:val="right"/>
                    <w:jc w:val="center"/>
                  </w:pPr>
                  <w:r>
                    <w:t xml:space="preserve">−0.0367</w:t>
                  </w:r>
                </w:p>
              </w:tc>
              <w:tc>
                <w:tcPr/>
                <w:p>
                  <w:pPr>
                    <w:pStyle w:val="Compact"/>
                    <w:jc w:val="right"/>
                    <w:jc w:val="center"/>
                  </w:pPr>
                  <w:r>
                    <w:t xml:space="preserve">0.0208</w:t>
                  </w:r>
                </w:p>
              </w:tc>
              <w:tc>
                <w:tcPr/>
                <w:p>
                  <w:pPr>
                    <w:pStyle w:val="Compact"/>
                    <w:jc w:val="right"/>
                    <w:jc w:val="center"/>
                  </w:pPr>
                  <w:r>
                    <w:t xml:space="preserve">−1.7624</w:t>
                  </w:r>
                </w:p>
              </w:tc>
              <w:tc>
                <w:tcPr/>
                <w:p>
                  <w:pPr>
                    <w:pStyle w:val="Compact"/>
                    <w:jc w:val="right"/>
                    <w:jc w:val="center"/>
                  </w:pPr>
                  <w:r>
                    <w:t xml:space="preserve">0.176</w:t>
                  </w:r>
                </w:p>
              </w:tc>
              <w:tc>
                <w:tcPr/>
                <w:p>
                  <w:pPr>
                    <w:pStyle w:val="Compact"/>
                  </w:pPr>
                </w:p>
              </w:tc>
            </w:tr>
            <w:tr>
              <w:tc>
                <w:tcPr/>
                <w:p>
                  <w:pPr>
                    <w:pStyle w:val="Compact"/>
                    <w:jc w:val="left"/>
                    <w:jc w:val="center"/>
                  </w:pPr>
                  <w:r>
                    <w:t xml:space="preserve">AD</w:t>
                  </w:r>
                </w:p>
              </w:tc>
              <w:tc>
                <w:tcPr/>
                <w:p>
                  <w:pPr>
                    <w:pStyle w:val="Compact"/>
                    <w:jc w:val="right"/>
                    <w:jc w:val="center"/>
                  </w:pPr>
                  <w:r>
                    <w:t xml:space="preserve">−0.0673</w:t>
                  </w:r>
                </w:p>
              </w:tc>
              <w:tc>
                <w:tcPr/>
                <w:p>
                  <w:pPr>
                    <w:pStyle w:val="Compact"/>
                    <w:jc w:val="right"/>
                    <w:jc w:val="center"/>
                  </w:pPr>
                  <w:r>
                    <w:t xml:space="preserve">−0.0336</w:t>
                  </w:r>
                </w:p>
              </w:tc>
              <w:tc>
                <w:tcPr/>
                <w:p>
                  <w:pPr>
                    <w:pStyle w:val="Compact"/>
                    <w:jc w:val="right"/>
                    <w:jc w:val="center"/>
                  </w:pPr>
                  <w:r>
                    <w:t xml:space="preserve">0.0207</w:t>
                  </w:r>
                </w:p>
              </w:tc>
              <w:tc>
                <w:tcPr/>
                <w:p>
                  <w:pPr>
                    <w:pStyle w:val="Compact"/>
                    <w:jc w:val="right"/>
                    <w:jc w:val="center"/>
                  </w:pPr>
                  <w:r>
                    <w:t xml:space="preserve">−1.6275</w:t>
                  </w:r>
                </w:p>
              </w:tc>
              <w:tc>
                <w:tcPr/>
                <w:p>
                  <w:pPr>
                    <w:pStyle w:val="Compact"/>
                    <w:jc w:val="right"/>
                    <w:jc w:val="center"/>
                  </w:pPr>
                  <w:r>
                    <w:t xml:space="preserve">0.202</w:t>
                  </w:r>
                </w:p>
              </w:tc>
              <w:tc>
                <w:tcPr/>
                <w:p>
                  <w:pPr>
                    <w:pStyle w:val="Compact"/>
                  </w:pPr>
                </w:p>
              </w:tc>
            </w:tr>
            <w:tr>
              <w:tc>
                <w:tcPr/>
                <w:p>
                  <w:pPr>
                    <w:pStyle w:val="Compact"/>
                    <w:jc w:val="left"/>
                    <w:jc w:val="center"/>
                  </w:pPr>
                  <w:r>
                    <w:t xml:space="preserve">AB</w:t>
                  </w:r>
                </w:p>
              </w:tc>
              <w:tc>
                <w:tcPr/>
                <w:p>
                  <w:pPr>
                    <w:pStyle w:val="Compact"/>
                    <w:jc w:val="right"/>
                    <w:jc w:val="center"/>
                  </w:pPr>
                  <w:r>
                    <w:t xml:space="preserve">−0.0587</w:t>
                  </w:r>
                </w:p>
              </w:tc>
              <w:tc>
                <w:tcPr/>
                <w:p>
                  <w:pPr>
                    <w:pStyle w:val="Compact"/>
                    <w:jc w:val="right"/>
                    <w:jc w:val="center"/>
                  </w:pPr>
                  <w:r>
                    <w:t xml:space="preserve">−0.0293</w:t>
                  </w:r>
                </w:p>
              </w:tc>
              <w:tc>
                <w:tcPr/>
                <w:p>
                  <w:pPr>
                    <w:pStyle w:val="Compact"/>
                    <w:jc w:val="right"/>
                    <w:jc w:val="center"/>
                  </w:pPr>
                  <w:r>
                    <w:t xml:space="preserve">0.0207</w:t>
                  </w:r>
                </w:p>
              </w:tc>
              <w:tc>
                <w:tcPr/>
                <w:p>
                  <w:pPr>
                    <w:pStyle w:val="Compact"/>
                    <w:jc w:val="right"/>
                    <w:jc w:val="center"/>
                  </w:pPr>
                  <w:r>
                    <w:t xml:space="preserve">−1.4191</w:t>
                  </w:r>
                </w:p>
              </w:tc>
              <w:tc>
                <w:tcPr/>
                <w:p>
                  <w:pPr>
                    <w:pStyle w:val="Compact"/>
                    <w:jc w:val="right"/>
                    <w:jc w:val="center"/>
                  </w:pPr>
                  <w:r>
                    <w:t xml:space="preserve">0.251</w:t>
                  </w:r>
                </w:p>
              </w:tc>
              <w:tc>
                <w:tcPr/>
                <w:p>
                  <w:pPr>
                    <w:pStyle w:val="Compact"/>
                  </w:pPr>
                </w:p>
              </w:tc>
            </w:tr>
            <w:tr>
              <w:tc>
                <w:tcPr/>
                <w:p>
                  <w:pPr>
                    <w:pStyle w:val="Compact"/>
                    <w:jc w:val="left"/>
                    <w:jc w:val="center"/>
                  </w:pPr>
                  <w:r>
                    <w:t xml:space="preserve">BD</w:t>
                  </w:r>
                </w:p>
              </w:tc>
              <w:tc>
                <w:tcPr/>
                <w:p>
                  <w:pPr>
                    <w:pStyle w:val="Compact"/>
                    <w:jc w:val="right"/>
                    <w:jc w:val="center"/>
                  </w:pPr>
                  <w:r>
                    <w:t xml:space="preserve">−0.0554</w:t>
                  </w:r>
                </w:p>
              </w:tc>
              <w:tc>
                <w:tcPr/>
                <w:p>
                  <w:pPr>
                    <w:pStyle w:val="Compact"/>
                    <w:jc w:val="right"/>
                    <w:jc w:val="center"/>
                  </w:pPr>
                  <w:r>
                    <w:t xml:space="preserve">−0.0277</w:t>
                  </w:r>
                </w:p>
              </w:tc>
              <w:tc>
                <w:tcPr/>
                <w:p>
                  <w:pPr>
                    <w:pStyle w:val="Compact"/>
                    <w:jc w:val="right"/>
                    <w:jc w:val="center"/>
                  </w:pPr>
                  <w:r>
                    <w:t xml:space="preserve">0.0207</w:t>
                  </w:r>
                </w:p>
              </w:tc>
              <w:tc>
                <w:tcPr/>
                <w:p>
                  <w:pPr>
                    <w:pStyle w:val="Compact"/>
                    <w:jc w:val="right"/>
                    <w:jc w:val="center"/>
                  </w:pPr>
                  <w:r>
                    <w:t xml:space="preserve">−1.3401</w:t>
                  </w:r>
                </w:p>
              </w:tc>
              <w:tc>
                <w:tcPr/>
                <w:p>
                  <w:pPr>
                    <w:pStyle w:val="Compact"/>
                    <w:jc w:val="right"/>
                    <w:jc w:val="center"/>
                  </w:pPr>
                  <w:r>
                    <w:t xml:space="preserve">0.273</w:t>
                  </w:r>
                </w:p>
              </w:tc>
              <w:tc>
                <w:tcPr/>
                <w:p>
                  <w:pPr>
                    <w:pStyle w:val="Compact"/>
                  </w:pPr>
                </w:p>
              </w:tc>
            </w:tr>
            <w:tr>
              <w:tc>
                <w:tcPr/>
                <w:p>
                  <w:pPr>
                    <w:pStyle w:val="Compact"/>
                    <w:jc w:val="left"/>
                    <w:jc w:val="center"/>
                  </w:pPr>
                  <w:r>
                    <w:t xml:space="preserve">DE</w:t>
                  </w:r>
                </w:p>
              </w:tc>
              <w:tc>
                <w:tcPr/>
                <w:p>
                  <w:pPr>
                    <w:pStyle w:val="Compact"/>
                    <w:jc w:val="right"/>
                    <w:jc w:val="center"/>
                  </w:pPr>
                  <w:r>
                    <w:t xml:space="preserve">−0.0547</w:t>
                  </w:r>
                </w:p>
              </w:tc>
              <w:tc>
                <w:tcPr/>
                <w:p>
                  <w:pPr>
                    <w:pStyle w:val="Compact"/>
                    <w:jc w:val="right"/>
                    <w:jc w:val="center"/>
                  </w:pPr>
                  <w:r>
                    <w:t xml:space="preserve">−0.0274</w:t>
                  </w:r>
                </w:p>
              </w:tc>
              <w:tc>
                <w:tcPr/>
                <w:p>
                  <w:pPr>
                    <w:pStyle w:val="Compact"/>
                    <w:jc w:val="right"/>
                    <w:jc w:val="center"/>
                  </w:pPr>
                  <w:r>
                    <w:t xml:space="preserve">0.0207</w:t>
                  </w:r>
                </w:p>
              </w:tc>
              <w:tc>
                <w:tcPr/>
                <w:p>
                  <w:pPr>
                    <w:pStyle w:val="Compact"/>
                    <w:jc w:val="right"/>
                    <w:jc w:val="center"/>
                  </w:pPr>
                  <w:r>
                    <w:t xml:space="preserve">−1.3237</w:t>
                  </w:r>
                </w:p>
              </w:tc>
              <w:tc>
                <w:tcPr/>
                <w:p>
                  <w:pPr>
                    <w:pStyle w:val="Compact"/>
                    <w:jc w:val="right"/>
                    <w:jc w:val="center"/>
                  </w:pPr>
                  <w:r>
                    <w:t xml:space="preserve">0.277</w:t>
                  </w:r>
                </w:p>
              </w:tc>
              <w:tc>
                <w:tcPr/>
                <w:p>
                  <w:pPr>
                    <w:pStyle w:val="Compact"/>
                  </w:pPr>
                </w:p>
              </w:tc>
            </w:tr>
            <w:tr>
              <w:tc>
                <w:tcPr/>
                <w:p>
                  <w:pPr>
                    <w:pStyle w:val="Compact"/>
                    <w:jc w:val="left"/>
                    <w:jc w:val="center"/>
                  </w:pPr>
                  <w:r>
                    <w:t xml:space="preserve">D</w:t>
                  </w:r>
                </w:p>
              </w:tc>
              <w:tc>
                <w:tcPr/>
                <w:p>
                  <w:pPr>
                    <w:pStyle w:val="Compact"/>
                    <w:jc w:val="right"/>
                    <w:jc w:val="center"/>
                  </w:pPr>
                  <w:r>
                    <w:t xml:space="preserve">−0.0541</w:t>
                  </w:r>
                </w:p>
              </w:tc>
              <w:tc>
                <w:tcPr/>
                <w:p>
                  <w:pPr>
                    <w:pStyle w:val="Compact"/>
                    <w:jc w:val="right"/>
                    <w:jc w:val="center"/>
                  </w:pPr>
                  <w:r>
                    <w:t xml:space="preserve">−0.0271</w:t>
                  </w:r>
                </w:p>
              </w:tc>
              <w:tc>
                <w:tcPr/>
                <w:p>
                  <w:pPr>
                    <w:pStyle w:val="Compact"/>
                    <w:jc w:val="right"/>
                    <w:jc w:val="center"/>
                  </w:pPr>
                  <w:r>
                    <w:t xml:space="preserve">0.0207</w:t>
                  </w:r>
                </w:p>
              </w:tc>
              <w:tc>
                <w:tcPr/>
                <w:p>
                  <w:pPr>
                    <w:pStyle w:val="Compact"/>
                    <w:jc w:val="right"/>
                    <w:jc w:val="center"/>
                  </w:pPr>
                  <w:r>
                    <w:t xml:space="preserve">−1.3091</w:t>
                  </w:r>
                </w:p>
              </w:tc>
              <w:tc>
                <w:tcPr/>
                <w:p>
                  <w:pPr>
                    <w:pStyle w:val="Compact"/>
                    <w:jc w:val="right"/>
                    <w:jc w:val="center"/>
                  </w:pPr>
                  <w:r>
                    <w:t xml:space="preserve">0.282</w:t>
                  </w:r>
                </w:p>
              </w:tc>
              <w:tc>
                <w:tcPr/>
                <w:p>
                  <w:pPr>
                    <w:pStyle w:val="Compact"/>
                  </w:pPr>
                </w:p>
              </w:tc>
            </w:tr>
            <w:tr>
              <w:tc>
                <w:tcPr/>
                <w:p>
                  <w:pPr>
                    <w:pStyle w:val="Compact"/>
                    <w:jc w:val="left"/>
                    <w:jc w:val="center"/>
                  </w:pPr>
                  <w:r>
                    <w:t xml:space="preserve">AE</w:t>
                  </w:r>
                </w:p>
              </w:tc>
              <w:tc>
                <w:tcPr/>
                <w:p>
                  <w:pPr>
                    <w:pStyle w:val="Compact"/>
                    <w:jc w:val="right"/>
                    <w:jc w:val="center"/>
                  </w:pPr>
                  <w:r>
                    <w:t xml:space="preserve">0.0409</w:t>
                  </w:r>
                </w:p>
              </w:tc>
              <w:tc>
                <w:tcPr/>
                <w:p>
                  <w:pPr>
                    <w:pStyle w:val="Compact"/>
                    <w:jc w:val="right"/>
                    <w:jc w:val="center"/>
                  </w:pPr>
                  <w:r>
                    <w:t xml:space="preserve">0.0205</w:t>
                  </w:r>
                </w:p>
              </w:tc>
              <w:tc>
                <w:tcPr/>
                <w:p>
                  <w:pPr>
                    <w:pStyle w:val="Compact"/>
                    <w:jc w:val="right"/>
                    <w:jc w:val="center"/>
                  </w:pPr>
                  <w:r>
                    <w:t xml:space="preserve">0.0207</w:t>
                  </w:r>
                </w:p>
              </w:tc>
              <w:tc>
                <w:tcPr/>
                <w:p>
                  <w:pPr>
                    <w:pStyle w:val="Compact"/>
                    <w:jc w:val="right"/>
                    <w:jc w:val="center"/>
                  </w:pPr>
                  <w:r>
                    <w:t xml:space="preserve">0.9898</w:t>
                  </w:r>
                </w:p>
              </w:tc>
              <w:tc>
                <w:tcPr/>
                <w:p>
                  <w:pPr>
                    <w:pStyle w:val="Compact"/>
                    <w:jc w:val="right"/>
                    <w:jc w:val="center"/>
                  </w:pPr>
                  <w:r>
                    <w:t xml:space="preserve">0.395</w:t>
                  </w:r>
                </w:p>
              </w:tc>
              <w:tc>
                <w:tcPr/>
                <w:p>
                  <w:pPr>
                    <w:pStyle w:val="Compact"/>
                  </w:pPr>
                </w:p>
              </w:tc>
            </w:tr>
            <w:tr>
              <w:tc>
                <w:tcPr/>
                <w:p>
                  <w:pPr>
                    <w:pStyle w:val="Compact"/>
                    <w:jc w:val="left"/>
                    <w:jc w:val="center"/>
                  </w:pPr>
                  <w:r>
                    <w:t xml:space="preserve">BC</w:t>
                  </w:r>
                </w:p>
              </w:tc>
              <w:tc>
                <w:tcPr/>
                <w:p>
                  <w:pPr>
                    <w:pStyle w:val="Compact"/>
                    <w:jc w:val="right"/>
                    <w:jc w:val="center"/>
                  </w:pPr>
                  <w:r>
                    <w:t xml:space="preserve">−0.0243</w:t>
                  </w:r>
                </w:p>
              </w:tc>
              <w:tc>
                <w:tcPr/>
                <w:p>
                  <w:pPr>
                    <w:pStyle w:val="Compact"/>
                    <w:jc w:val="right"/>
                    <w:jc w:val="center"/>
                  </w:pPr>
                  <w:r>
                    <w:t xml:space="preserve">−0.0122</w:t>
                  </w:r>
                </w:p>
              </w:tc>
              <w:tc>
                <w:tcPr/>
                <w:p>
                  <w:pPr>
                    <w:pStyle w:val="Compact"/>
                    <w:jc w:val="right"/>
                    <w:jc w:val="center"/>
                  </w:pPr>
                  <w:r>
                    <w:t xml:space="preserve">0.0208</w:t>
                  </w:r>
                </w:p>
              </w:tc>
              <w:tc>
                <w:tcPr/>
                <w:p>
                  <w:pPr>
                    <w:pStyle w:val="Compact"/>
                    <w:jc w:val="right"/>
                    <w:jc w:val="center"/>
                  </w:pPr>
                  <w:r>
                    <w:t xml:space="preserve">−0.5838</w:t>
                  </w:r>
                </w:p>
              </w:tc>
              <w:tc>
                <w:tcPr/>
                <w:p>
                  <w:pPr>
                    <w:pStyle w:val="Compact"/>
                    <w:jc w:val="right"/>
                    <w:jc w:val="center"/>
                  </w:pPr>
                  <w:r>
                    <w:t xml:space="preserve">0.600</w:t>
                  </w:r>
                </w:p>
              </w:tc>
              <w:tc>
                <w:tcPr/>
                <w:p>
                  <w:pPr>
                    <w:pStyle w:val="Compact"/>
                  </w:pPr>
                </w:p>
              </w:tc>
            </w:tr>
            <w:tr>
              <w:tc>
                <w:tcPr/>
                <w:p>
                  <w:pPr>
                    <w:pStyle w:val="Compact"/>
                    <w:jc w:val="left"/>
                    <w:jc w:val="center"/>
                  </w:pPr>
                  <w:r>
                    <w:t xml:space="preserve">CE</w:t>
                  </w:r>
                </w:p>
              </w:tc>
              <w:tc>
                <w:tcPr/>
                <w:p>
                  <w:pPr>
                    <w:pStyle w:val="Compact"/>
                    <w:jc w:val="right"/>
                    <w:jc w:val="center"/>
                  </w:pPr>
                  <w:r>
                    <w:t xml:space="preserve">0.0230</w:t>
                  </w:r>
                </w:p>
              </w:tc>
              <w:tc>
                <w:tcPr/>
                <w:p>
                  <w:pPr>
                    <w:pStyle w:val="Compact"/>
                    <w:jc w:val="right"/>
                    <w:jc w:val="center"/>
                  </w:pPr>
                  <w:r>
                    <w:t xml:space="preserve">0.0115</w:t>
                  </w:r>
                </w:p>
              </w:tc>
              <w:tc>
                <w:tcPr/>
                <w:p>
                  <w:pPr>
                    <w:pStyle w:val="Compact"/>
                    <w:jc w:val="right"/>
                    <w:jc w:val="center"/>
                  </w:pPr>
                  <w:r>
                    <w:t xml:space="preserve">0.0208</w:t>
                  </w:r>
                </w:p>
              </w:tc>
              <w:tc>
                <w:tcPr/>
                <w:p>
                  <w:pPr>
                    <w:pStyle w:val="Compact"/>
                    <w:jc w:val="right"/>
                    <w:jc w:val="center"/>
                  </w:pPr>
                  <w:r>
                    <w:t xml:space="preserve">0.5533</w:t>
                  </w:r>
                </w:p>
              </w:tc>
              <w:tc>
                <w:tcPr/>
                <w:p>
                  <w:pPr>
                    <w:pStyle w:val="Compact"/>
                    <w:jc w:val="right"/>
                    <w:jc w:val="center"/>
                  </w:pPr>
                  <w:r>
                    <w:t xml:space="preserve">0.619</w:t>
                  </w:r>
                </w:p>
              </w:tc>
              <w:tc>
                <w:tcPr/>
                <w:p>
                  <w:pPr>
                    <w:pStyle w:val="Compact"/>
                  </w:pPr>
                </w:p>
              </w:tc>
            </w:tr>
            <w:tr>
              <w:tc>
                <w:tcPr/>
                <w:p>
                  <w:pPr>
                    <w:pStyle w:val="Compact"/>
                    <w:jc w:val="left"/>
                    <w:jc w:val="center"/>
                  </w:pPr>
                  <w:r>
                    <w:t xml:space="preserve">AC</w:t>
                  </w:r>
                </w:p>
              </w:tc>
              <w:tc>
                <w:tcPr/>
                <w:p>
                  <w:pPr>
                    <w:pStyle w:val="Compact"/>
                    <w:jc w:val="right"/>
                    <w:jc w:val="center"/>
                  </w:pPr>
                  <w:r>
                    <w:t xml:space="preserve">−0.0074</w:t>
                  </w:r>
                </w:p>
              </w:tc>
              <w:tc>
                <w:tcPr/>
                <w:p>
                  <w:pPr>
                    <w:pStyle w:val="Compact"/>
                    <w:jc w:val="right"/>
                    <w:jc w:val="center"/>
                  </w:pPr>
                  <w:r>
                    <w:t xml:space="preserve">−0.0037</w:t>
                  </w:r>
                </w:p>
              </w:tc>
              <w:tc>
                <w:tcPr/>
                <w:p>
                  <w:pPr>
                    <w:pStyle w:val="Compact"/>
                    <w:jc w:val="right"/>
                    <w:jc w:val="center"/>
                  </w:pPr>
                  <w:r>
                    <w:t xml:space="preserve">0.0208</w:t>
                  </w:r>
                </w:p>
              </w:tc>
              <w:tc>
                <w:tcPr/>
                <w:p>
                  <w:pPr>
                    <w:pStyle w:val="Compact"/>
                    <w:jc w:val="right"/>
                    <w:jc w:val="center"/>
                  </w:pPr>
                  <w:r>
                    <w:t xml:space="preserve">−0.1784</w:t>
                  </w:r>
                </w:p>
              </w:tc>
              <w:tc>
                <w:tcPr/>
                <w:p>
                  <w:pPr>
                    <w:pStyle w:val="Compact"/>
                    <w:jc w:val="right"/>
                    <w:jc w:val="center"/>
                  </w:pPr>
                  <w:r>
                    <w:t xml:space="preserve">0.870</w:t>
                  </w:r>
                </w:p>
              </w:tc>
              <w:tc>
                <w:tcPr/>
                <w:p>
                  <w:pPr>
                    <w:pStyle w:val="Compact"/>
                  </w:pPr>
                </w:p>
              </w:tc>
            </w:tr>
            <w:tr>
              <w:tc>
                <w:tcPr/>
                <w:p>
                  <w:pPr>
                    <w:pStyle w:val="Compact"/>
                    <w:jc w:val="left"/>
                    <w:jc w:val="center"/>
                  </w:pPr>
                  <w:r>
                    <w:t xml:space="preserve">B</w:t>
                  </w:r>
                </w:p>
              </w:tc>
              <w:tc>
                <w:tcPr/>
                <w:p>
                  <w:pPr>
                    <w:pStyle w:val="Compact"/>
                    <w:jc w:val="right"/>
                    <w:jc w:val="center"/>
                  </w:pPr>
                  <w:r>
                    <w:t xml:space="preserve">−0.0074</w:t>
                  </w:r>
                </w:p>
              </w:tc>
              <w:tc>
                <w:tcPr/>
                <w:p>
                  <w:pPr>
                    <w:pStyle w:val="Compact"/>
                    <w:jc w:val="right"/>
                    <w:jc w:val="center"/>
                  </w:pPr>
                  <w:r>
                    <w:t xml:space="preserve">−0.0037</w:t>
                  </w:r>
                </w:p>
              </w:tc>
              <w:tc>
                <w:tcPr/>
                <w:p>
                  <w:pPr>
                    <w:pStyle w:val="Compact"/>
                    <w:jc w:val="right"/>
                    <w:jc w:val="center"/>
                  </w:pPr>
                  <w:r>
                    <w:t xml:space="preserve">0.0207</w:t>
                  </w:r>
                </w:p>
              </w:tc>
              <w:tc>
                <w:tcPr/>
                <w:p>
                  <w:pPr>
                    <w:pStyle w:val="Compact"/>
                    <w:jc w:val="right"/>
                    <w:jc w:val="center"/>
                  </w:pPr>
                  <w:r>
                    <w:t xml:space="preserve">−0.1785</w:t>
                  </w:r>
                </w:p>
              </w:tc>
              <w:tc>
                <w:tcPr/>
                <w:p>
                  <w:pPr>
                    <w:pStyle w:val="Compact"/>
                    <w:jc w:val="right"/>
                    <w:jc w:val="center"/>
                  </w:pPr>
                  <w:r>
                    <w:t xml:space="preserve">0.870</w:t>
                  </w:r>
                </w:p>
              </w:tc>
              <w:tc>
                <w:tcPr/>
                <w:p>
                  <w:pPr>
                    <w:pStyle w:val="Compact"/>
                  </w:pPr>
                </w:p>
              </w:tc>
            </w:tr>
          </w:tbl>
          <w:bookmarkEnd w:id="1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0" w:name="tbl-coef-afucosylation"/>
          <w:p>
            <w:pPr>
              <w:jc w:val="center"/>
            </w:pPr>
            <w:pPr>
              <w:jc w:val="start"/>
              <w:spacing w:before="200"/>
              <w:pStyle w:val="ImageCaption"/>
            </w:pPr>
            <w:r>
              <w:t xml:space="preserve">Table 36: Coefficients of the selected model of afucosylation, on the raw scale and in coded units.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8.2887</w:t>
                  </w:r>
                </w:p>
              </w:tc>
              <w:tc>
                <w:tcPr/>
                <w:p>
                  <w:pPr>
                    <w:pStyle w:val="Compact"/>
                    <w:jc w:val="right"/>
                    <w:jc w:val="center"/>
                  </w:pPr>
                  <w:r>
                    <w:t xml:space="preserve">0.1597</w:t>
                  </w:r>
                </w:p>
              </w:tc>
              <w:tc>
                <w:tcPr/>
                <w:p>
                  <w:pPr>
                    <w:pStyle w:val="Compact"/>
                    <w:jc w:val="right"/>
                    <w:jc w:val="center"/>
                  </w:pPr>
                  <w:r>
                    <w:t xml:space="preserve">51.8921</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−0.9714</w:t>
                  </w:r>
                </w:p>
              </w:tc>
              <w:tc>
                <w:tcPr/>
                <w:p>
                  <w:pPr>
                    <w:pStyle w:val="Compact"/>
                    <w:jc w:val="right"/>
                    <w:jc w:val="center"/>
                  </w:pPr>
                  <w:r>
                    <w:t xml:space="preserve">0.0986</w:t>
                  </w:r>
                </w:p>
              </w:tc>
              <w:tc>
                <w:tcPr/>
                <w:p>
                  <w:pPr>
                    <w:pStyle w:val="Compact"/>
                    <w:jc w:val="right"/>
                    <w:jc w:val="center"/>
                  </w:pPr>
                  <w:r>
                    <w:t xml:space="preserve">−9.8562</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−0.6617</w:t>
                  </w:r>
                </w:p>
              </w:tc>
              <w:tc>
                <w:tcPr/>
                <w:p>
                  <w:pPr>
                    <w:pStyle w:val="Compact"/>
                    <w:jc w:val="right"/>
                    <w:jc w:val="center"/>
                  </w:pPr>
                  <w:r>
                    <w:t xml:space="preserve">0.0972</w:t>
                  </w:r>
                </w:p>
              </w:tc>
              <w:tc>
                <w:tcPr/>
                <w:p>
                  <w:pPr>
                    <w:pStyle w:val="Compact"/>
                    <w:jc w:val="right"/>
                    <w:jc w:val="center"/>
                  </w:pPr>
                  <w:r>
                    <w:t xml:space="preserve">−6.8087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−1.3655</w:t>
                  </w:r>
                </w:p>
              </w:tc>
              <w:tc>
                <w:tcPr/>
                <w:p>
                  <w:pPr>
                    <w:pStyle w:val="Compact"/>
                    <w:jc w:val="right"/>
                    <w:jc w:val="center"/>
                  </w:pPr>
                  <w:r>
                    <w:t xml:space="preserve">0.1003</w:t>
                  </w:r>
                </w:p>
              </w:tc>
              <w:tc>
                <w:tcPr/>
                <w:p>
                  <w:pPr>
                    <w:pStyle w:val="Compact"/>
                    <w:jc w:val="right"/>
                    <w:jc w:val="center"/>
                  </w:pPr>
                  <w:r>
                    <w:t xml:space="preserve">−13.6081</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C</w:t>
                  </w:r>
                </w:p>
              </w:tc>
              <w:tc>
                <w:tcPr/>
                <w:p>
                  <w:pPr>
                    <w:pStyle w:val="Compact"/>
                    <w:jc w:val="right"/>
                    <w:jc w:val="center"/>
                  </w:pPr>
                  <w:r>
                    <w:t xml:space="preserve">−0.4624</w:t>
                  </w:r>
                </w:p>
              </w:tc>
              <w:tc>
                <w:tcPr/>
                <w:p>
                  <w:pPr>
                    <w:pStyle w:val="Compact"/>
                    <w:jc w:val="right"/>
                    <w:jc w:val="center"/>
                  </w:pPr>
                  <w:r>
                    <w:t xml:space="preserve">0.0972</w:t>
                  </w:r>
                </w:p>
              </w:tc>
              <w:tc>
                <w:tcPr/>
                <w:p>
                  <w:pPr>
                    <w:pStyle w:val="Compact"/>
                    <w:jc w:val="right"/>
                    <w:jc w:val="center"/>
                  </w:pPr>
                  <w:r>
                    <w:t xml:space="preserve">−4.7579</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−0.5479</w:t>
                  </w:r>
                </w:p>
              </w:tc>
              <w:tc>
                <w:tcPr/>
                <w:p>
                  <w:pPr>
                    <w:pStyle w:val="Compact"/>
                    <w:jc w:val="right"/>
                    <w:jc w:val="center"/>
                  </w:pPr>
                  <w:r>
                    <w:t xml:space="preserve">0.1057</w:t>
                  </w:r>
                </w:p>
              </w:tc>
              <w:tc>
                <w:tcPr/>
                <w:p>
                  <w:pPr>
                    <w:pStyle w:val="Compact"/>
                    <w:jc w:val="right"/>
                    <w:jc w:val="center"/>
                  </w:pPr>
                  <w:r>
                    <w:t xml:space="preserve">−5.1842</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AE</w:t>
                  </w:r>
                </w:p>
              </w:tc>
              <w:tc>
                <w:tcPr/>
                <w:p>
                  <w:pPr>
                    <w:pStyle w:val="Compact"/>
                    <w:jc w:val="right"/>
                    <w:jc w:val="center"/>
                  </w:pPr>
                  <w:r>
                    <w:t xml:space="preserve">1.3508</w:t>
                  </w:r>
                </w:p>
              </w:tc>
              <w:tc>
                <w:tcPr/>
                <w:p>
                  <w:pPr>
                    <w:pStyle w:val="Compact"/>
                    <w:jc w:val="right"/>
                    <w:jc w:val="center"/>
                  </w:pPr>
                  <w:r>
                    <w:t xml:space="preserve">0.1098</w:t>
                  </w:r>
                </w:p>
              </w:tc>
              <w:tc>
                <w:tcPr/>
                <w:p>
                  <w:pPr>
                    <w:pStyle w:val="Compact"/>
                    <w:jc w:val="right"/>
                    <w:jc w:val="center"/>
                  </w:pPr>
                  <w:r>
                    <w:t xml:space="preserve">12.3023</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−0.9592</w:t>
                  </w:r>
                </w:p>
              </w:tc>
              <w:tc>
                <w:tcPr/>
                <w:p>
                  <w:pPr>
                    <w:pStyle w:val="Compact"/>
                    <w:jc w:val="right"/>
                    <w:jc w:val="center"/>
                  </w:pPr>
                  <w:r>
                    <w:t xml:space="preserve">0.1056</w:t>
                  </w:r>
                </w:p>
              </w:tc>
              <w:tc>
                <w:tcPr/>
                <w:p>
                  <w:pPr>
                    <w:pStyle w:val="Compact"/>
                    <w:jc w:val="right"/>
                    <w:jc w:val="center"/>
                  </w:pPr>
                  <w:r>
                    <w:t xml:space="preserve">−9.0807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BE</w:t>
                  </w:r>
                </w:p>
              </w:tc>
              <w:tc>
                <w:tcPr/>
                <w:p>
                  <w:pPr>
                    <w:pStyle w:val="Compact"/>
                    <w:jc w:val="right"/>
                    <w:jc w:val="center"/>
                  </w:pPr>
                  <w:r>
                    <w:t xml:space="preserve">0.4513</w:t>
                  </w:r>
                </w:p>
              </w:tc>
              <w:tc>
                <w:tcPr/>
                <w:p>
                  <w:pPr>
                    <w:pStyle w:val="Compact"/>
                    <w:jc w:val="right"/>
                    <w:jc w:val="center"/>
                  </w:pPr>
                  <w:r>
                    <w:t xml:space="preserve">0.1079</w:t>
                  </w:r>
                </w:p>
              </w:tc>
              <w:tc>
                <w:tcPr/>
                <w:p>
                  <w:pPr>
                    <w:pStyle w:val="Compact"/>
                    <w:jc w:val="right"/>
                    <w:jc w:val="center"/>
                  </w:pPr>
                  <w:r>
                    <w:t xml:space="preserve">4.1837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A²</w:t>
                  </w:r>
                </w:p>
              </w:tc>
              <w:tc>
                <w:tcPr/>
                <w:p>
                  <w:pPr>
                    <w:pStyle w:val="Compact"/>
                    <w:jc w:val="right"/>
                    <w:jc w:val="center"/>
                  </w:pPr>
                  <w:r>
                    <w:t xml:space="preserve">−1.3704</w:t>
                  </w:r>
                </w:p>
              </w:tc>
              <w:tc>
                <w:tcPr/>
                <w:p>
                  <w:pPr>
                    <w:pStyle w:val="Compact"/>
                    <w:jc w:val="right"/>
                    <w:jc w:val="center"/>
                  </w:pPr>
                  <w:r>
                    <w:t xml:space="preserve">0.1844</w:t>
                  </w:r>
                </w:p>
              </w:tc>
              <w:tc>
                <w:tcPr/>
                <w:p>
                  <w:pPr>
                    <w:pStyle w:val="Compact"/>
                    <w:jc w:val="right"/>
                    <w:jc w:val="center"/>
                  </w:pPr>
                  <w:r>
                    <w:t xml:space="preserve">−7.4332</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Block</w:t>
                  </w:r>
                </w:p>
              </w:tc>
              <w:tc>
                <w:tcPr/>
                <w:p>
                  <w:pPr>
                    <w:pStyle w:val="Compact"/>
                    <w:jc w:val="right"/>
                    <w:jc w:val="center"/>
                  </w:pPr>
                  <w:r>
                    <w:t xml:space="preserve">0.1145</w:t>
                  </w:r>
                </w:p>
              </w:tc>
              <w:tc>
                <w:tcPr/>
                <w:p>
                  <w:pPr>
                    <w:pStyle w:val="Compact"/>
                    <w:jc w:val="right"/>
                    <w:jc w:val="center"/>
                  </w:pPr>
                  <w:r>
                    <w:t xml:space="preserve">0.0877</w:t>
                  </w:r>
                </w:p>
              </w:tc>
              <w:tc>
                <w:tcPr/>
                <w:p>
                  <w:pPr>
                    <w:pStyle w:val="Compact"/>
                    <w:jc w:val="right"/>
                    <w:jc w:val="center"/>
                  </w:pPr>
                  <w:r>
                    <w:t xml:space="preserve">1.3056</w:t>
                  </w:r>
                </w:p>
              </w:tc>
              <w:tc>
                <w:tcPr/>
                <w:p>
                  <w:pPr>
                    <w:pStyle w:val="Compact"/>
                    <w:jc w:val="right"/>
                    <w:jc w:val="center"/>
                  </w:pPr>
                  <w:r>
                    <w:t xml:space="preserve">0.201</w:t>
                  </w:r>
                </w:p>
              </w:tc>
              <w:tc>
                <w:tcPr/>
                <w:p>
                  <w:pPr>
                    <w:pStyle w:val="Compact"/>
                  </w:pPr>
                </w:p>
              </w:tc>
            </w:tr>
          </w:tbl>
          <w:bookmarkEnd w:id="17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1" w:name="tbl-anova-afucosylation"/>
          <w:p>
            <w:pPr>
              <w:jc w:val="center"/>
            </w:pPr>
            <w:pPr>
              <w:jc w:val="start"/>
              <w:spacing w:before="200"/>
              <w:pStyle w:val="ImageCaption"/>
            </w:pPr>
            <w:r>
              <w:t xml:space="preserve">Table 37: Analysis of variance of the selected model of afucosylation, on the raw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206.1987</w:t>
                  </w:r>
                </w:p>
              </w:tc>
              <w:tc>
                <w:tcPr/>
                <w:p>
                  <w:pPr>
                    <w:pStyle w:val="Compact"/>
                    <w:jc w:val="right"/>
                    <w:jc w:val="center"/>
                  </w:pPr>
                  <w:r>
                    <w:t xml:space="preserve">10</w:t>
                  </w:r>
                </w:p>
              </w:tc>
              <w:tc>
                <w:tcPr/>
                <w:p>
                  <w:pPr>
                    <w:pStyle w:val="Compact"/>
                    <w:jc w:val="right"/>
                    <w:jc w:val="center"/>
                  </w:pPr>
                  <w:r>
                    <w:t xml:space="preserve">20.6199</w:t>
                  </w:r>
                </w:p>
              </w:tc>
              <w:tc>
                <w:tcPr/>
                <w:p>
                  <w:pPr>
                    <w:pStyle w:val="Compact"/>
                    <w:jc w:val="right"/>
                    <w:jc w:val="center"/>
                  </w:pPr>
                  <w:r>
                    <w:t xml:space="preserve">69.2572</w:t>
                  </w:r>
                </w:p>
              </w:tc>
              <w:tc>
                <w:tcPr/>
                <w:p>
                  <w:pPr>
                    <w:pStyle w:val="Compact"/>
                    <w:jc w:val="right"/>
                    <w:jc w:val="center"/>
                  </w:pPr>
                  <w:r>
                    <w:t xml:space="preserve">&lt; 0.001</w:t>
                  </w:r>
                </w:p>
              </w:tc>
            </w:tr>
            <w:tr>
              <w:tc>
                <w:tcPr/>
                <w:p>
                  <w:pPr>
                    <w:pStyle w:val="Compact"/>
                    <w:jc w:val="left"/>
                    <w:jc w:val="center"/>
                  </w:pPr>
                  <w:r>
                    <w:t xml:space="preserve">Residual</w:t>
                  </w:r>
                </w:p>
              </w:tc>
              <w:tc>
                <w:tcPr/>
                <w:p>
                  <w:pPr>
                    <w:pStyle w:val="Compact"/>
                    <w:jc w:val="right"/>
                    <w:jc w:val="center"/>
                  </w:pPr>
                  <w:r>
                    <w:t xml:space="preserve">9.8250</w:t>
                  </w:r>
                </w:p>
              </w:tc>
              <w:tc>
                <w:tcPr/>
                <w:p>
                  <w:pPr>
                    <w:pStyle w:val="Compact"/>
                    <w:jc w:val="right"/>
                    <w:jc w:val="center"/>
                  </w:pPr>
                  <w:r>
                    <w:t xml:space="preserve">33</w:t>
                  </w:r>
                </w:p>
              </w:tc>
              <w:tc>
                <w:tcPr/>
                <w:p>
                  <w:pPr>
                    <w:pStyle w:val="Compact"/>
                    <w:jc w:val="right"/>
                    <w:jc w:val="center"/>
                  </w:pPr>
                  <w:r>
                    <w:t xml:space="preserve">0.2977</w:t>
                  </w:r>
                </w:p>
              </w:tc>
              <w:tc>
                <w:tcPr/>
                <w:p>
                  <w:pPr>
                    <w:pStyle w:val="Compact"/>
                  </w:pPr>
                </w:p>
              </w:tc>
              <w:tc>
                <w:tcPr/>
                <w:p>
                  <w:pPr>
                    <w:pStyle w:val="Compact"/>
                  </w:pPr>
                </w:p>
              </w:tc>
            </w:tr>
            <w:tr>
              <w:tc>
                <w:tcPr/>
                <w:p>
                  <w:pPr>
                    <w:pStyle w:val="Compact"/>
                    <w:jc w:val="left"/>
                    <w:jc w:val="center"/>
                  </w:pPr>
                  <w:r>
                    <w:t xml:space="preserve">Lack of fit</w:t>
                  </w:r>
                </w:p>
              </w:tc>
              <w:tc>
                <w:tcPr/>
                <w:p>
                  <w:pPr>
                    <w:pStyle w:val="Compact"/>
                    <w:jc w:val="right"/>
                    <w:jc w:val="center"/>
                  </w:pPr>
                  <w:r>
                    <w:t xml:space="preserve">9.4478</w:t>
                  </w:r>
                </w:p>
              </w:tc>
              <w:tc>
                <w:tcPr/>
                <w:p>
                  <w:pPr>
                    <w:pStyle w:val="Compact"/>
                    <w:jc w:val="right"/>
                    <w:jc w:val="center"/>
                  </w:pPr>
                  <w:r>
                    <w:t xml:space="preserve">30</w:t>
                  </w:r>
                </w:p>
              </w:tc>
              <w:tc>
                <w:tcPr/>
                <w:p>
                  <w:pPr>
                    <w:pStyle w:val="Compact"/>
                    <w:jc w:val="right"/>
                    <w:jc w:val="center"/>
                  </w:pPr>
                  <w:r>
                    <w:t xml:space="preserve">0.3149</w:t>
                  </w:r>
                </w:p>
              </w:tc>
              <w:tc>
                <w:tcPr/>
                <w:p>
                  <w:pPr>
                    <w:pStyle w:val="Compact"/>
                    <w:jc w:val="right"/>
                    <w:jc w:val="center"/>
                  </w:pPr>
                  <w:r>
                    <w:t xml:space="preserve">2.5042</w:t>
                  </w:r>
                </w:p>
              </w:tc>
              <w:tc>
                <w:tcPr/>
                <w:p>
                  <w:pPr>
                    <w:pStyle w:val="Compact"/>
                    <w:jc w:val="right"/>
                    <w:jc w:val="center"/>
                  </w:pPr>
                  <w:r>
                    <w:t xml:space="preserve">0.246</w:t>
                  </w:r>
                </w:p>
              </w:tc>
            </w:tr>
            <w:tr>
              <w:tc>
                <w:tcPr/>
                <w:p>
                  <w:pPr>
                    <w:pStyle w:val="Compact"/>
                    <w:jc w:val="left"/>
                    <w:jc w:val="center"/>
                  </w:pPr>
                  <w:r>
                    <w:t xml:space="preserve">Pure error</w:t>
                  </w:r>
                </w:p>
              </w:tc>
              <w:tc>
                <w:tcPr/>
                <w:p>
                  <w:pPr>
                    <w:pStyle w:val="Compact"/>
                    <w:jc w:val="right"/>
                    <w:jc w:val="center"/>
                  </w:pPr>
                  <w:r>
                    <w:t xml:space="preserve">0.3773</w:t>
                  </w:r>
                </w:p>
              </w:tc>
              <w:tc>
                <w:tcPr/>
                <w:p>
                  <w:pPr>
                    <w:pStyle w:val="Compact"/>
                    <w:jc w:val="right"/>
                    <w:jc w:val="center"/>
                  </w:pPr>
                  <w:r>
                    <w:t xml:space="preserve">3</w:t>
                  </w:r>
                </w:p>
              </w:tc>
              <w:tc>
                <w:tcPr/>
                <w:p>
                  <w:pPr>
                    <w:pStyle w:val="Compact"/>
                    <w:jc w:val="right"/>
                    <w:jc w:val="center"/>
                  </w:pPr>
                  <w:r>
                    <w:t xml:space="preserve">0.1258</w:t>
                  </w:r>
                </w:p>
              </w:tc>
              <w:tc>
                <w:tcPr/>
                <w:p>
                  <w:pPr>
                    <w:pStyle w:val="Compact"/>
                  </w:pPr>
                </w:p>
              </w:tc>
              <w:tc>
                <w:tcPr/>
                <w:p>
                  <w:pPr>
                    <w:pStyle w:val="Compact"/>
                  </w:pPr>
                </w:p>
              </w:tc>
            </w:tr>
          </w:tbl>
          <w:bookmarkEnd w:id="17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2" w:name="tbl-coef-galactosylation"/>
          <w:p>
            <w:pPr>
              <w:jc w:val="center"/>
            </w:pPr>
            <w:pPr>
              <w:jc w:val="start"/>
              <w:spacing w:before="200"/>
              <w:pStyle w:val="ImageCaption"/>
            </w:pPr>
            <w:r>
              <w:t xml:space="preserve">Table 38: Coefficients of the selected model of galactosylation, on the raw scale and in coded units.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25.9843</w:t>
                  </w:r>
                </w:p>
              </w:tc>
              <w:tc>
                <w:tcPr/>
                <w:p>
                  <w:pPr>
                    <w:pStyle w:val="Compact"/>
                    <w:jc w:val="right"/>
                    <w:jc w:val="center"/>
                  </w:pPr>
                  <w:r>
                    <w:t xml:space="preserve">0.1912</w:t>
                  </w:r>
                </w:p>
              </w:tc>
              <w:tc>
                <w:tcPr/>
                <w:p>
                  <w:pPr>
                    <w:pStyle w:val="Compact"/>
                    <w:jc w:val="right"/>
                    <w:jc w:val="center"/>
                  </w:pPr>
                  <w:r>
                    <w:t xml:space="preserve">135.9335</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−2.0623</w:t>
                  </w:r>
                </w:p>
              </w:tc>
              <w:tc>
                <w:tcPr/>
                <w:p>
                  <w:pPr>
                    <w:pStyle w:val="Compact"/>
                    <w:jc w:val="right"/>
                    <w:jc w:val="center"/>
                  </w:pPr>
                  <w:r>
                    <w:t xml:space="preserve">0.2184</w:t>
                  </w:r>
                </w:p>
              </w:tc>
              <w:tc>
                <w:tcPr/>
                <w:p>
                  <w:pPr>
                    <w:pStyle w:val="Compact"/>
                    <w:jc w:val="right"/>
                    <w:jc w:val="center"/>
                  </w:pPr>
                  <w:r>
                    <w:t xml:space="preserve">−9.4435</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1.9149</w:t>
                  </w:r>
                </w:p>
              </w:tc>
              <w:tc>
                <w:tcPr/>
                <w:p>
                  <w:pPr>
                    <w:pStyle w:val="Compact"/>
                    <w:jc w:val="right"/>
                    <w:jc w:val="center"/>
                  </w:pPr>
                  <w:r>
                    <w:t xml:space="preserve">0.2153</w:t>
                  </w:r>
                </w:p>
              </w:tc>
              <w:tc>
                <w:tcPr/>
                <w:p>
                  <w:pPr>
                    <w:pStyle w:val="Compact"/>
                    <w:jc w:val="right"/>
                    <w:jc w:val="center"/>
                  </w:pPr>
                  <w:r>
                    <w:t xml:space="preserve">8.8930</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−3.7399</w:t>
                  </w:r>
                </w:p>
              </w:tc>
              <w:tc>
                <w:tcPr/>
                <w:p>
                  <w:pPr>
                    <w:pStyle w:val="Compact"/>
                    <w:jc w:val="right"/>
                    <w:jc w:val="center"/>
                  </w:pPr>
                  <w:r>
                    <w:t xml:space="preserve">0.2214</w:t>
                  </w:r>
                </w:p>
              </w:tc>
              <w:tc>
                <w:tcPr/>
                <w:p>
                  <w:pPr>
                    <w:pStyle w:val="Compact"/>
                    <w:jc w:val="right"/>
                    <w:jc w:val="center"/>
                  </w:pPr>
                  <w:r>
                    <w:t xml:space="preserve">−16.8914</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C</w:t>
                  </w:r>
                </w:p>
              </w:tc>
              <w:tc>
                <w:tcPr/>
                <w:p>
                  <w:pPr>
                    <w:pStyle w:val="Compact"/>
                    <w:jc w:val="right"/>
                    <w:jc w:val="center"/>
                  </w:pPr>
                  <w:r>
                    <w:t xml:space="preserve">−2.3167</w:t>
                  </w:r>
                </w:p>
              </w:tc>
              <w:tc>
                <w:tcPr/>
                <w:p>
                  <w:pPr>
                    <w:pStyle w:val="Compact"/>
                    <w:jc w:val="right"/>
                    <w:jc w:val="center"/>
                  </w:pPr>
                  <w:r>
                    <w:t xml:space="preserve">0.2153</w:t>
                  </w:r>
                </w:p>
              </w:tc>
              <w:tc>
                <w:tcPr/>
                <w:p>
                  <w:pPr>
                    <w:pStyle w:val="Compact"/>
                    <w:jc w:val="right"/>
                    <w:jc w:val="center"/>
                  </w:pPr>
                  <w:r>
                    <w:t xml:space="preserve">−10.7589</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1.8754</w:t>
                  </w:r>
                </w:p>
              </w:tc>
              <w:tc>
                <w:tcPr/>
                <w:p>
                  <w:pPr>
                    <w:pStyle w:val="Compact"/>
                    <w:jc w:val="right"/>
                    <w:jc w:val="center"/>
                  </w:pPr>
                  <w:r>
                    <w:t xml:space="preserve">0.2341</w:t>
                  </w:r>
                </w:p>
              </w:tc>
              <w:tc>
                <w:tcPr/>
                <w:p>
                  <w:pPr>
                    <w:pStyle w:val="Compact"/>
                    <w:jc w:val="right"/>
                    <w:jc w:val="center"/>
                  </w:pPr>
                  <w:r>
                    <w:t xml:space="preserve">8.0127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AE</w:t>
                  </w:r>
                </w:p>
              </w:tc>
              <w:tc>
                <w:tcPr/>
                <w:p>
                  <w:pPr>
                    <w:pStyle w:val="Compact"/>
                    <w:jc w:val="right"/>
                    <w:jc w:val="center"/>
                  </w:pPr>
                  <w:r>
                    <w:t xml:space="preserve">2.6129</w:t>
                  </w:r>
                </w:p>
              </w:tc>
              <w:tc>
                <w:tcPr/>
                <w:p>
                  <w:pPr>
                    <w:pStyle w:val="Compact"/>
                    <w:jc w:val="right"/>
                    <w:jc w:val="center"/>
                  </w:pPr>
                  <w:r>
                    <w:t xml:space="preserve">0.2432</w:t>
                  </w:r>
                </w:p>
              </w:tc>
              <w:tc>
                <w:tcPr/>
                <w:p>
                  <w:pPr>
                    <w:pStyle w:val="Compact"/>
                    <w:jc w:val="right"/>
                    <w:jc w:val="center"/>
                  </w:pPr>
                  <w:r>
                    <w:t xml:space="preserve">10.7431</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AC</w:t>
                  </w:r>
                </w:p>
              </w:tc>
              <w:tc>
                <w:tcPr/>
                <w:p>
                  <w:pPr>
                    <w:pStyle w:val="Compact"/>
                    <w:jc w:val="right"/>
                    <w:jc w:val="center"/>
                  </w:pPr>
                  <w:r>
                    <w:t xml:space="preserve">2.0217</w:t>
                  </w:r>
                </w:p>
              </w:tc>
              <w:tc>
                <w:tcPr/>
                <w:p>
                  <w:pPr>
                    <w:pStyle w:val="Compact"/>
                    <w:jc w:val="right"/>
                    <w:jc w:val="center"/>
                  </w:pPr>
                  <w:r>
                    <w:t xml:space="preserve">0.2341</w:t>
                  </w:r>
                </w:p>
              </w:tc>
              <w:tc>
                <w:tcPr/>
                <w:p>
                  <w:pPr>
                    <w:pStyle w:val="Compact"/>
                    <w:jc w:val="right"/>
                    <w:jc w:val="center"/>
                  </w:pPr>
                  <w:r>
                    <w:t xml:space="preserve">8.6377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Block</w:t>
                  </w:r>
                </w:p>
              </w:tc>
              <w:tc>
                <w:tcPr/>
                <w:p>
                  <w:pPr>
                    <w:pStyle w:val="Compact"/>
                    <w:jc w:val="right"/>
                    <w:jc w:val="center"/>
                  </w:pPr>
                  <w:r>
                    <w:t xml:space="preserve">0.1311</w:t>
                  </w:r>
                </w:p>
              </w:tc>
              <w:tc>
                <w:tcPr/>
                <w:p>
                  <w:pPr>
                    <w:pStyle w:val="Compact"/>
                    <w:jc w:val="right"/>
                    <w:jc w:val="center"/>
                  </w:pPr>
                  <w:r>
                    <w:t xml:space="preserve">0.1912</w:t>
                  </w:r>
                </w:p>
              </w:tc>
              <w:tc>
                <w:tcPr/>
                <w:p>
                  <w:pPr>
                    <w:pStyle w:val="Compact"/>
                    <w:jc w:val="right"/>
                    <w:jc w:val="center"/>
                  </w:pPr>
                  <w:r>
                    <w:t xml:space="preserve">0.6859</w:t>
                  </w:r>
                </w:p>
              </w:tc>
              <w:tc>
                <w:tcPr/>
                <w:p>
                  <w:pPr>
                    <w:pStyle w:val="Compact"/>
                    <w:jc w:val="right"/>
                    <w:jc w:val="center"/>
                  </w:pPr>
                  <w:r>
                    <w:t xml:space="preserve">0.497</w:t>
                  </w:r>
                </w:p>
              </w:tc>
              <w:tc>
                <w:tcPr/>
                <w:p>
                  <w:pPr>
                    <w:pStyle w:val="Compact"/>
                  </w:pPr>
                </w:p>
              </w:tc>
            </w:tr>
          </w:tbl>
          <w:bookmarkEnd w:id="1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3" w:name="tbl-anova-galactosylation"/>
          <w:p>
            <w:pPr>
              <w:jc w:val="center"/>
            </w:pPr>
            <w:pPr>
              <w:jc w:val="start"/>
              <w:spacing w:before="200"/>
              <w:pStyle w:val="ImageCaption"/>
            </w:pPr>
            <w:r>
              <w:t xml:space="preserve">Table 39: Analysis of variance of the selected model of galactosylation, on the raw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1238.7982</w:t>
                  </w:r>
                </w:p>
              </w:tc>
              <w:tc>
                <w:tcPr/>
                <w:p>
                  <w:pPr>
                    <w:pStyle w:val="Compact"/>
                    <w:jc w:val="right"/>
                    <w:jc w:val="center"/>
                  </w:pPr>
                  <w:r>
                    <w:t xml:space="preserve">8</w:t>
                  </w:r>
                </w:p>
              </w:tc>
              <w:tc>
                <w:tcPr/>
                <w:p>
                  <w:pPr>
                    <w:pStyle w:val="Compact"/>
                    <w:jc w:val="right"/>
                    <w:jc w:val="center"/>
                  </w:pPr>
                  <w:r>
                    <w:t xml:space="preserve">154.8498</w:t>
                  </w:r>
                </w:p>
              </w:tc>
              <w:tc>
                <w:tcPr/>
                <w:p>
                  <w:pPr>
                    <w:pStyle w:val="Compact"/>
                    <w:jc w:val="right"/>
                    <w:jc w:val="center"/>
                  </w:pPr>
                  <w:r>
                    <w:t xml:space="preserve">105.7974</w:t>
                  </w:r>
                </w:p>
              </w:tc>
              <w:tc>
                <w:tcPr/>
                <w:p>
                  <w:pPr>
                    <w:pStyle w:val="Compact"/>
                    <w:jc w:val="right"/>
                    <w:jc w:val="center"/>
                  </w:pPr>
                  <w:r>
                    <w:t xml:space="preserve">&lt; 0.001</w:t>
                  </w:r>
                </w:p>
              </w:tc>
            </w:tr>
            <w:tr>
              <w:tc>
                <w:tcPr/>
                <w:p>
                  <w:pPr>
                    <w:pStyle w:val="Compact"/>
                    <w:jc w:val="left"/>
                    <w:jc w:val="center"/>
                  </w:pPr>
                  <w:r>
                    <w:t xml:space="preserve">Residual</w:t>
                  </w:r>
                </w:p>
              </w:tc>
              <w:tc>
                <w:tcPr/>
                <w:p>
                  <w:pPr>
                    <w:pStyle w:val="Compact"/>
                    <w:jc w:val="right"/>
                    <w:jc w:val="center"/>
                  </w:pPr>
                  <w:r>
                    <w:t xml:space="preserve">51.2276</w:t>
                  </w:r>
                </w:p>
              </w:tc>
              <w:tc>
                <w:tcPr/>
                <w:p>
                  <w:pPr>
                    <w:pStyle w:val="Compact"/>
                    <w:jc w:val="right"/>
                    <w:jc w:val="center"/>
                  </w:pPr>
                  <w:r>
                    <w:t xml:space="preserve">35</w:t>
                  </w:r>
                </w:p>
              </w:tc>
              <w:tc>
                <w:tcPr/>
                <w:p>
                  <w:pPr>
                    <w:pStyle w:val="Compact"/>
                    <w:jc w:val="right"/>
                    <w:jc w:val="center"/>
                  </w:pPr>
                  <w:r>
                    <w:t xml:space="preserve">1.4636</w:t>
                  </w:r>
                </w:p>
              </w:tc>
              <w:tc>
                <w:tcPr/>
                <w:p>
                  <w:pPr>
                    <w:pStyle w:val="Compact"/>
                  </w:pPr>
                </w:p>
              </w:tc>
              <w:tc>
                <w:tcPr/>
                <w:p>
                  <w:pPr>
                    <w:pStyle w:val="Compact"/>
                  </w:pPr>
                </w:p>
              </w:tc>
            </w:tr>
            <w:tr>
              <w:tc>
                <w:tcPr/>
                <w:p>
                  <w:pPr>
                    <w:pStyle w:val="Compact"/>
                    <w:jc w:val="left"/>
                    <w:jc w:val="center"/>
                  </w:pPr>
                  <w:r>
                    <w:t xml:space="preserve">Lack of fit</w:t>
                  </w:r>
                </w:p>
              </w:tc>
              <w:tc>
                <w:tcPr/>
                <w:p>
                  <w:pPr>
                    <w:pStyle w:val="Compact"/>
                    <w:jc w:val="right"/>
                    <w:jc w:val="center"/>
                  </w:pPr>
                  <w:r>
                    <w:t xml:space="preserve">34.8578</w:t>
                  </w:r>
                </w:p>
              </w:tc>
              <w:tc>
                <w:tcPr/>
                <w:p>
                  <w:pPr>
                    <w:pStyle w:val="Compact"/>
                    <w:jc w:val="right"/>
                    <w:jc w:val="center"/>
                  </w:pPr>
                  <w:r>
                    <w:t xml:space="preserve">32</w:t>
                  </w:r>
                </w:p>
              </w:tc>
              <w:tc>
                <w:tcPr/>
                <w:p>
                  <w:pPr>
                    <w:pStyle w:val="Compact"/>
                    <w:jc w:val="right"/>
                    <w:jc w:val="center"/>
                  </w:pPr>
                  <w:r>
                    <w:t xml:space="preserve">1.0893</w:t>
                  </w:r>
                </w:p>
              </w:tc>
              <w:tc>
                <w:tcPr/>
                <w:p>
                  <w:pPr>
                    <w:pStyle w:val="Compact"/>
                    <w:jc w:val="right"/>
                    <w:jc w:val="center"/>
                  </w:pPr>
                  <w:r>
                    <w:t xml:space="preserve">0.1996</w:t>
                  </w:r>
                </w:p>
              </w:tc>
              <w:tc>
                <w:tcPr/>
                <w:p>
                  <w:pPr>
                    <w:pStyle w:val="Compact"/>
                    <w:jc w:val="right"/>
                    <w:jc w:val="center"/>
                  </w:pPr>
                  <w:r>
                    <w:t xml:space="preserve">0.994</w:t>
                  </w:r>
                </w:p>
              </w:tc>
            </w:tr>
            <w:tr>
              <w:tc>
                <w:tcPr/>
                <w:p>
                  <w:pPr>
                    <w:pStyle w:val="Compact"/>
                    <w:jc w:val="left"/>
                    <w:jc w:val="center"/>
                  </w:pPr>
                  <w:r>
                    <w:t xml:space="preserve">Pure error</w:t>
                  </w:r>
                </w:p>
              </w:tc>
              <w:tc>
                <w:tcPr/>
                <w:p>
                  <w:pPr>
                    <w:pStyle w:val="Compact"/>
                    <w:jc w:val="right"/>
                    <w:jc w:val="center"/>
                  </w:pPr>
                  <w:r>
                    <w:t xml:space="preserve">16.3697</w:t>
                  </w:r>
                </w:p>
              </w:tc>
              <w:tc>
                <w:tcPr/>
                <w:p>
                  <w:pPr>
                    <w:pStyle w:val="Compact"/>
                    <w:jc w:val="right"/>
                    <w:jc w:val="center"/>
                  </w:pPr>
                  <w:r>
                    <w:t xml:space="preserve">3</w:t>
                  </w:r>
                </w:p>
              </w:tc>
              <w:tc>
                <w:tcPr/>
                <w:p>
                  <w:pPr>
                    <w:pStyle w:val="Compact"/>
                    <w:jc w:val="right"/>
                    <w:jc w:val="center"/>
                  </w:pPr>
                  <w:r>
                    <w:t xml:space="preserve">5.4566</w:t>
                  </w:r>
                </w:p>
              </w:tc>
              <w:tc>
                <w:tcPr/>
                <w:p>
                  <w:pPr>
                    <w:pStyle w:val="Compact"/>
                  </w:pPr>
                </w:p>
              </w:tc>
              <w:tc>
                <w:tcPr/>
                <w:p>
                  <w:pPr>
                    <w:pStyle w:val="Compact"/>
                  </w:pPr>
                </w:p>
              </w:tc>
            </w:tr>
          </w:tbl>
          <w:bookmarkEnd w:id="17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4" w:name="tbl-coef-high-mannose"/>
          <w:p>
            <w:pPr>
              <w:jc w:val="center"/>
            </w:pPr>
            <w:pPr>
              <w:jc w:val="start"/>
              <w:spacing w:before="200"/>
              <w:pStyle w:val="ImageCaption"/>
            </w:pPr>
            <w:r>
              <w:t xml:space="preserve">Table 40: Coefficients of the selected model of high mannose, on the log scale and in coded units.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1.7818</w:t>
                  </w:r>
                </w:p>
              </w:tc>
              <w:tc>
                <w:tcPr/>
                <w:p>
                  <w:pPr>
                    <w:pStyle w:val="Compact"/>
                    <w:jc w:val="right"/>
                    <w:jc w:val="center"/>
                  </w:pPr>
                  <w:r>
                    <w:t xml:space="preserve">0.0123</w:t>
                  </w:r>
                </w:p>
              </w:tc>
              <w:tc>
                <w:tcPr/>
                <w:p>
                  <w:pPr>
                    <w:pStyle w:val="Compact"/>
                    <w:jc w:val="right"/>
                    <w:jc w:val="center"/>
                  </w:pPr>
                  <w:r>
                    <w:t xml:space="preserve">144.9552</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0.1748</w:t>
                  </w:r>
                </w:p>
              </w:tc>
              <w:tc>
                <w:tcPr/>
                <w:p>
                  <w:pPr>
                    <w:pStyle w:val="Compact"/>
                    <w:jc w:val="right"/>
                    <w:jc w:val="center"/>
                  </w:pPr>
                  <w:r>
                    <w:t xml:space="preserve">0.0141</w:t>
                  </w:r>
                </w:p>
              </w:tc>
              <w:tc>
                <w:tcPr/>
                <w:p>
                  <w:pPr>
                    <w:pStyle w:val="Compact"/>
                    <w:jc w:val="right"/>
                    <w:jc w:val="center"/>
                  </w:pPr>
                  <w:r>
                    <w:t xml:space="preserve">12.4277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−0.0618</w:t>
                  </w:r>
                </w:p>
              </w:tc>
              <w:tc>
                <w:tcPr/>
                <w:p>
                  <w:pPr>
                    <w:pStyle w:val="Compact"/>
                    <w:jc w:val="right"/>
                    <w:jc w:val="center"/>
                  </w:pPr>
                  <w:r>
                    <w:t xml:space="preserve">0.0139</w:t>
                  </w:r>
                </w:p>
              </w:tc>
              <w:tc>
                <w:tcPr/>
                <w:p>
                  <w:pPr>
                    <w:pStyle w:val="Compact"/>
                    <w:jc w:val="right"/>
                    <w:jc w:val="center"/>
                  </w:pPr>
                  <w:r>
                    <w:t xml:space="preserve">−4.4519</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AB</w:t>
                  </w:r>
                </w:p>
              </w:tc>
              <w:tc>
                <w:tcPr/>
                <w:p>
                  <w:pPr>
                    <w:pStyle w:val="Compact"/>
                    <w:jc w:val="right"/>
                    <w:jc w:val="center"/>
                  </w:pPr>
                  <w:r>
                    <w:t xml:space="preserve">0.0334</w:t>
                  </w:r>
                </w:p>
              </w:tc>
              <w:tc>
                <w:tcPr/>
                <w:p>
                  <w:pPr>
                    <w:pStyle w:val="Compact"/>
                    <w:jc w:val="right"/>
                    <w:jc w:val="center"/>
                  </w:pPr>
                  <w:r>
                    <w:t xml:space="preserve">0.0151</w:t>
                  </w:r>
                </w:p>
              </w:tc>
              <w:tc>
                <w:tcPr/>
                <w:p>
                  <w:pPr>
                    <w:pStyle w:val="Compact"/>
                    <w:jc w:val="right"/>
                    <w:jc w:val="center"/>
                  </w:pPr>
                  <w:r>
                    <w:t xml:space="preserve">2.2171</w:t>
                  </w:r>
                </w:p>
              </w:tc>
              <w:tc>
                <w:tcPr/>
                <w:p>
                  <w:pPr>
                    <w:pStyle w:val="Compact"/>
                    <w:jc w:val="right"/>
                    <w:jc w:val="center"/>
                  </w:pPr>
                  <w:r>
                    <w:t xml:space="preserve">0.033</w:t>
                  </w:r>
                </w:p>
              </w:tc>
              <w:tc>
                <w:tcPr/>
                <w:p>
                  <w:pPr>
                    <w:pStyle w:val="Compact"/>
                    <w:jc w:val="left"/>
                    <w:jc w:val="center"/>
                  </w:pPr>
                  <w:r>
                    <w:t xml:space="preserve">*</w:t>
                  </w:r>
                </w:p>
              </w:tc>
            </w:tr>
            <w:tr>
              <w:tc>
                <w:tcPr/>
                <w:p>
                  <w:pPr>
                    <w:pStyle w:val="Compact"/>
                    <w:jc w:val="left"/>
                    <w:jc w:val="center"/>
                  </w:pPr>
                  <w:r>
                    <w:t xml:space="preserve">Block</w:t>
                  </w:r>
                </w:p>
              </w:tc>
              <w:tc>
                <w:tcPr/>
                <w:p>
                  <w:pPr>
                    <w:pStyle w:val="Compact"/>
                    <w:jc w:val="right"/>
                    <w:jc w:val="center"/>
                  </w:pPr>
                  <w:r>
                    <w:t xml:space="preserve">0.0121</w:t>
                  </w:r>
                </w:p>
              </w:tc>
              <w:tc>
                <w:tcPr/>
                <w:p>
                  <w:pPr>
                    <w:pStyle w:val="Compact"/>
                    <w:jc w:val="right"/>
                    <w:jc w:val="center"/>
                  </w:pPr>
                  <w:r>
                    <w:t xml:space="preserve">0.0123</w:t>
                  </w:r>
                </w:p>
              </w:tc>
              <w:tc>
                <w:tcPr/>
                <w:p>
                  <w:pPr>
                    <w:pStyle w:val="Compact"/>
                    <w:jc w:val="right"/>
                    <w:jc w:val="center"/>
                  </w:pPr>
                  <w:r>
                    <w:t xml:space="preserve">0.9884</w:t>
                  </w:r>
                </w:p>
              </w:tc>
              <w:tc>
                <w:tcPr/>
                <w:p>
                  <w:pPr>
                    <w:pStyle w:val="Compact"/>
                    <w:jc w:val="right"/>
                    <w:jc w:val="center"/>
                  </w:pPr>
                  <w:r>
                    <w:t xml:space="preserve">0.329</w:t>
                  </w:r>
                </w:p>
              </w:tc>
              <w:tc>
                <w:tcPr/>
                <w:p>
                  <w:pPr>
                    <w:pStyle w:val="Compact"/>
                  </w:pPr>
                </w:p>
              </w:tc>
            </w:tr>
          </w:tbl>
          <w:bookmarkEnd w:id="17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5" w:name="tbl-anova-high-mannose"/>
          <w:p>
            <w:pPr>
              <w:jc w:val="center"/>
            </w:pPr>
            <w:pPr>
              <w:jc w:val="start"/>
              <w:spacing w:before="200"/>
              <w:pStyle w:val="ImageCaption"/>
            </w:pPr>
            <w:r>
              <w:t xml:space="preserve">Table 41: Analysis of variance of the selected model of high mannose, on the log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1.1168</w:t>
                  </w:r>
                </w:p>
              </w:tc>
              <w:tc>
                <w:tcPr/>
                <w:p>
                  <w:pPr>
                    <w:pStyle w:val="Compact"/>
                    <w:jc w:val="right"/>
                    <w:jc w:val="center"/>
                  </w:pPr>
                  <w:r>
                    <w:t xml:space="preserve">4</w:t>
                  </w:r>
                </w:p>
              </w:tc>
              <w:tc>
                <w:tcPr/>
                <w:p>
                  <w:pPr>
                    <w:pStyle w:val="Compact"/>
                    <w:jc w:val="right"/>
                    <w:jc w:val="center"/>
                  </w:pPr>
                  <w:r>
                    <w:t xml:space="preserve">0.2792</w:t>
                  </w:r>
                </w:p>
              </w:tc>
              <w:tc>
                <w:tcPr/>
                <w:p>
                  <w:pPr>
                    <w:pStyle w:val="Compact"/>
                    <w:jc w:val="right"/>
                    <w:jc w:val="center"/>
                  </w:pPr>
                  <w:r>
                    <w:t xml:space="preserve">45.7486</w:t>
                  </w:r>
                </w:p>
              </w:tc>
              <w:tc>
                <w:tcPr/>
                <w:p>
                  <w:pPr>
                    <w:pStyle w:val="Compact"/>
                    <w:jc w:val="right"/>
                    <w:jc w:val="center"/>
                  </w:pPr>
                  <w:r>
                    <w:t xml:space="preserve">&lt; 0.001</w:t>
                  </w:r>
                </w:p>
              </w:tc>
            </w:tr>
            <w:tr>
              <w:tc>
                <w:tcPr/>
                <w:p>
                  <w:pPr>
                    <w:pStyle w:val="Compact"/>
                    <w:jc w:val="left"/>
                    <w:jc w:val="center"/>
                  </w:pPr>
                  <w:r>
                    <w:t xml:space="preserve">Residual</w:t>
                  </w:r>
                </w:p>
              </w:tc>
              <w:tc>
                <w:tcPr/>
                <w:p>
                  <w:pPr>
                    <w:pStyle w:val="Compact"/>
                    <w:jc w:val="right"/>
                    <w:jc w:val="center"/>
                  </w:pPr>
                  <w:r>
                    <w:t xml:space="preserve">0.2380</w:t>
                  </w:r>
                </w:p>
              </w:tc>
              <w:tc>
                <w:tcPr/>
                <w:p>
                  <w:pPr>
                    <w:pStyle w:val="Compact"/>
                    <w:jc w:val="right"/>
                    <w:jc w:val="center"/>
                  </w:pPr>
                  <w:r>
                    <w:t xml:space="preserve">39</w:t>
                  </w:r>
                </w:p>
              </w:tc>
              <w:tc>
                <w:tcPr/>
                <w:p>
                  <w:pPr>
                    <w:pStyle w:val="Compact"/>
                    <w:jc w:val="right"/>
                    <w:jc w:val="center"/>
                  </w:pPr>
                  <w:r>
                    <w:t xml:space="preserve">0.0061</w:t>
                  </w:r>
                </w:p>
              </w:tc>
              <w:tc>
                <w:tcPr/>
                <w:p>
                  <w:pPr>
                    <w:pStyle w:val="Compact"/>
                  </w:pPr>
                </w:p>
              </w:tc>
              <w:tc>
                <w:tcPr/>
                <w:p>
                  <w:pPr>
                    <w:pStyle w:val="Compact"/>
                  </w:pPr>
                </w:p>
              </w:tc>
            </w:tr>
            <w:tr>
              <w:tc>
                <w:tcPr/>
                <w:p>
                  <w:pPr>
                    <w:pStyle w:val="Compact"/>
                    <w:jc w:val="left"/>
                    <w:jc w:val="center"/>
                  </w:pPr>
                  <w:r>
                    <w:t xml:space="preserve">Lack of fit</w:t>
                  </w:r>
                </w:p>
              </w:tc>
              <w:tc>
                <w:tcPr/>
                <w:p>
                  <w:pPr>
                    <w:pStyle w:val="Compact"/>
                    <w:jc w:val="right"/>
                    <w:jc w:val="center"/>
                  </w:pPr>
                  <w:r>
                    <w:t xml:space="preserve">0.2081</w:t>
                  </w:r>
                </w:p>
              </w:tc>
              <w:tc>
                <w:tcPr/>
                <w:p>
                  <w:pPr>
                    <w:pStyle w:val="Compact"/>
                    <w:jc w:val="right"/>
                    <w:jc w:val="center"/>
                  </w:pPr>
                  <w:r>
                    <w:t xml:space="preserve">36</w:t>
                  </w:r>
                </w:p>
              </w:tc>
              <w:tc>
                <w:tcPr/>
                <w:p>
                  <w:pPr>
                    <w:pStyle w:val="Compact"/>
                    <w:jc w:val="right"/>
                    <w:jc w:val="center"/>
                  </w:pPr>
                  <w:r>
                    <w:t xml:space="preserve">0.0058</w:t>
                  </w:r>
                </w:p>
              </w:tc>
              <w:tc>
                <w:tcPr/>
                <w:p>
                  <w:pPr>
                    <w:pStyle w:val="Compact"/>
                    <w:jc w:val="right"/>
                    <w:jc w:val="center"/>
                  </w:pPr>
                  <w:r>
                    <w:t xml:space="preserve">0.5805</w:t>
                  </w:r>
                </w:p>
              </w:tc>
              <w:tc>
                <w:tcPr/>
                <w:p>
                  <w:pPr>
                    <w:pStyle w:val="Compact"/>
                    <w:jc w:val="right"/>
                    <w:jc w:val="center"/>
                  </w:pPr>
                  <w:r>
                    <w:t xml:space="preserve">0.820</w:t>
                  </w:r>
                </w:p>
              </w:tc>
            </w:tr>
            <w:tr>
              <w:tc>
                <w:tcPr/>
                <w:p>
                  <w:pPr>
                    <w:pStyle w:val="Compact"/>
                    <w:jc w:val="left"/>
                    <w:jc w:val="center"/>
                  </w:pPr>
                  <w:r>
                    <w:t xml:space="preserve">Pure error</w:t>
                  </w:r>
                </w:p>
              </w:tc>
              <w:tc>
                <w:tcPr/>
                <w:p>
                  <w:pPr>
                    <w:pStyle w:val="Compact"/>
                    <w:jc w:val="right"/>
                    <w:jc w:val="center"/>
                  </w:pPr>
                  <w:r>
                    <w:t xml:space="preserve">0.0299</w:t>
                  </w:r>
                </w:p>
              </w:tc>
              <w:tc>
                <w:tcPr/>
                <w:p>
                  <w:pPr>
                    <w:pStyle w:val="Compact"/>
                    <w:jc w:val="right"/>
                    <w:jc w:val="center"/>
                  </w:pPr>
                  <w:r>
                    <w:t xml:space="preserve">3</w:t>
                  </w:r>
                </w:p>
              </w:tc>
              <w:tc>
                <w:tcPr/>
                <w:p>
                  <w:pPr>
                    <w:pStyle w:val="Compact"/>
                    <w:jc w:val="right"/>
                    <w:jc w:val="center"/>
                  </w:pPr>
                  <w:r>
                    <w:t xml:space="preserve">0.0100</w:t>
                  </w:r>
                </w:p>
              </w:tc>
              <w:tc>
                <w:tcPr/>
                <w:p>
                  <w:pPr>
                    <w:pStyle w:val="Compact"/>
                  </w:pPr>
                </w:p>
              </w:tc>
              <w:tc>
                <w:tcPr/>
                <w:p>
                  <w:pPr>
                    <w:pStyle w:val="Compact"/>
                  </w:pPr>
                </w:p>
              </w:tc>
            </w:tr>
          </w:tbl>
          <w:bookmarkEnd w:id="1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6" w:name="tbl-coef-aggregates"/>
          <w:p>
            <w:pPr>
              <w:jc w:val="center"/>
            </w:pPr>
            <w:pPr>
              <w:jc w:val="start"/>
              <w:spacing w:before="200"/>
              <w:pStyle w:val="ImageCaption"/>
            </w:pPr>
            <w:r>
              <w:t xml:space="preserve">Table 42: Coefficients of the selected model of aggregate, on the log scale and in coded units.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0.4070</w:t>
                  </w:r>
                </w:p>
              </w:tc>
              <w:tc>
                <w:tcPr/>
                <w:p>
                  <w:pPr>
                    <w:pStyle w:val="Compact"/>
                    <w:jc w:val="right"/>
                    <w:jc w:val="center"/>
                  </w:pPr>
                  <w:r>
                    <w:t xml:space="preserve">0.0212</w:t>
                  </w:r>
                </w:p>
              </w:tc>
              <w:tc>
                <w:tcPr/>
                <w:p>
                  <w:pPr>
                    <w:pStyle w:val="Compact"/>
                    <w:jc w:val="right"/>
                    <w:jc w:val="center"/>
                  </w:pPr>
                  <w:r>
                    <w:t xml:space="preserve">19.2299</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0.2916</w:t>
                  </w:r>
                </w:p>
              </w:tc>
              <w:tc>
                <w:tcPr/>
                <w:p>
                  <w:pPr>
                    <w:pStyle w:val="Compact"/>
                    <w:jc w:val="right"/>
                    <w:jc w:val="center"/>
                  </w:pPr>
                  <w:r>
                    <w:t xml:space="preserve">0.0131</w:t>
                  </w:r>
                </w:p>
              </w:tc>
              <w:tc>
                <w:tcPr/>
                <w:p>
                  <w:pPr>
                    <w:pStyle w:val="Compact"/>
                    <w:jc w:val="right"/>
                    <w:jc w:val="center"/>
                  </w:pPr>
                  <w:r>
                    <w:t xml:space="preserve">22.2523</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E</w:t>
                  </w:r>
                </w:p>
              </w:tc>
              <w:tc>
                <w:tcPr/>
                <w:p>
                  <w:pPr>
                    <w:pStyle w:val="Compact"/>
                    <w:jc w:val="right"/>
                    <w:jc w:val="center"/>
                  </w:pPr>
                  <w:r>
                    <w:t xml:space="preserve">0.2314</w:t>
                  </w:r>
                </w:p>
              </w:tc>
              <w:tc>
                <w:tcPr/>
                <w:p>
                  <w:pPr>
                    <w:pStyle w:val="Compact"/>
                    <w:jc w:val="right"/>
                    <w:jc w:val="center"/>
                  </w:pPr>
                  <w:r>
                    <w:t xml:space="preserve">0.0133</w:t>
                  </w:r>
                </w:p>
              </w:tc>
              <w:tc>
                <w:tcPr/>
                <w:p>
                  <w:pPr>
                    <w:pStyle w:val="Compact"/>
                    <w:jc w:val="right"/>
                    <w:jc w:val="center"/>
                  </w:pPr>
                  <w:r>
                    <w:t xml:space="preserve">17.3567</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AE</w:t>
                  </w:r>
                </w:p>
              </w:tc>
              <w:tc>
                <w:tcPr/>
                <w:p>
                  <w:pPr>
                    <w:pStyle w:val="Compact"/>
                    <w:jc w:val="right"/>
                    <w:jc w:val="center"/>
                  </w:pPr>
                  <w:r>
                    <w:t xml:space="preserve">−0.0669</w:t>
                  </w:r>
                </w:p>
              </w:tc>
              <w:tc>
                <w:tcPr/>
                <w:p>
                  <w:pPr>
                    <w:pStyle w:val="Compact"/>
                    <w:jc w:val="right"/>
                    <w:jc w:val="center"/>
                  </w:pPr>
                  <w:r>
                    <w:t xml:space="preserve">0.0146</w:t>
                  </w:r>
                </w:p>
              </w:tc>
              <w:tc>
                <w:tcPr/>
                <w:p>
                  <w:pPr>
                    <w:pStyle w:val="Compact"/>
                    <w:jc w:val="right"/>
                    <w:jc w:val="center"/>
                  </w:pPr>
                  <w:r>
                    <w:t xml:space="preserve">−4.5844</w:t>
                  </w:r>
                </w:p>
              </w:tc>
              <w:tc>
                <w:tcPr/>
                <w:p>
                  <w:pPr>
                    <w:pStyle w:val="Compact"/>
                    <w:jc w:val="right"/>
                    <w:jc w:val="center"/>
                  </w:pPr>
                  <w:r>
                    <w:t xml:space="preserve">&lt; 0.001</w:t>
                  </w:r>
                </w:p>
              </w:tc>
              <w:tc>
                <w:tcPr/>
                <w:p>
                  <w:pPr>
                    <w:pStyle w:val="Compact"/>
                    <w:jc w:val="left"/>
                    <w:jc w:val="center"/>
                  </w:pPr>
                  <w:r>
                    <w:t xml:space="preserve">***</w:t>
                  </w:r>
                </w:p>
              </w:tc>
            </w:tr>
            <w:tr>
              <w:tc>
                <w:tcPr/>
                <w:p>
                  <w:pPr>
                    <w:pStyle w:val="Compact"/>
                    <w:jc w:val="left"/>
                    <w:jc w:val="center"/>
                  </w:pPr>
                  <w:r>
                    <w:t xml:space="preserve">A²</w:t>
                  </w:r>
                </w:p>
              </w:tc>
              <w:tc>
                <w:tcPr/>
                <w:p>
                  <w:pPr>
                    <w:pStyle w:val="Compact"/>
                    <w:jc w:val="right"/>
                    <w:jc w:val="center"/>
                  </w:pPr>
                  <w:r>
                    <w:t xml:space="preserve">−0.0830</w:t>
                  </w:r>
                </w:p>
              </w:tc>
              <w:tc>
                <w:tcPr/>
                <w:p>
                  <w:pPr>
                    <w:pStyle w:val="Compact"/>
                    <w:jc w:val="right"/>
                    <w:jc w:val="center"/>
                  </w:pPr>
                  <w:r>
                    <w:t xml:space="preserve">0.0245</w:t>
                  </w:r>
                </w:p>
              </w:tc>
              <w:tc>
                <w:tcPr/>
                <w:p>
                  <w:pPr>
                    <w:pStyle w:val="Compact"/>
                    <w:jc w:val="right"/>
                    <w:jc w:val="center"/>
                  </w:pPr>
                  <w:r>
                    <w:t xml:space="preserve">−3.3901</w:t>
                  </w:r>
                </w:p>
              </w:tc>
              <w:tc>
                <w:tcPr/>
                <w:p>
                  <w:pPr>
                    <w:pStyle w:val="Compact"/>
                    <w:jc w:val="right"/>
                    <w:jc w:val="center"/>
                  </w:pPr>
                  <w:r>
                    <w:t xml:space="preserve">0.002</w:t>
                  </w:r>
                </w:p>
              </w:tc>
              <w:tc>
                <w:tcPr/>
                <w:p>
                  <w:pPr>
                    <w:pStyle w:val="Compact"/>
                    <w:jc w:val="left"/>
                    <w:jc w:val="center"/>
                  </w:pPr>
                  <w:r>
                    <w:t xml:space="preserve">**</w:t>
                  </w:r>
                </w:p>
              </w:tc>
            </w:tr>
            <w:tr>
              <w:tc>
                <w:tcPr/>
                <w:p>
                  <w:pPr>
                    <w:pStyle w:val="Compact"/>
                    <w:jc w:val="left"/>
                    <w:jc w:val="center"/>
                  </w:pPr>
                  <w:r>
                    <w:t xml:space="preserve">Block</w:t>
                  </w:r>
                </w:p>
              </w:tc>
              <w:tc>
                <w:tcPr/>
                <w:p>
                  <w:pPr>
                    <w:pStyle w:val="Compact"/>
                    <w:jc w:val="right"/>
                    <w:jc w:val="center"/>
                  </w:pPr>
                  <w:r>
                    <w:t xml:space="preserve">0.0103</w:t>
                  </w:r>
                </w:p>
              </w:tc>
              <w:tc>
                <w:tcPr/>
                <w:p>
                  <w:pPr>
                    <w:pStyle w:val="Compact"/>
                    <w:jc w:val="right"/>
                    <w:jc w:val="center"/>
                  </w:pPr>
                  <w:r>
                    <w:t xml:space="preserve">0.0116</w:t>
                  </w:r>
                </w:p>
              </w:tc>
              <w:tc>
                <w:tcPr/>
                <w:p>
                  <w:pPr>
                    <w:pStyle w:val="Compact"/>
                    <w:jc w:val="right"/>
                    <w:jc w:val="center"/>
                  </w:pPr>
                  <w:r>
                    <w:t xml:space="preserve">0.8848</w:t>
                  </w:r>
                </w:p>
              </w:tc>
              <w:tc>
                <w:tcPr/>
                <w:p>
                  <w:pPr>
                    <w:pStyle w:val="Compact"/>
                    <w:jc w:val="right"/>
                    <w:jc w:val="center"/>
                  </w:pPr>
                  <w:r>
                    <w:t xml:space="preserve">0.382</w:t>
                  </w:r>
                </w:p>
              </w:tc>
              <w:tc>
                <w:tcPr/>
                <w:p>
                  <w:pPr>
                    <w:pStyle w:val="Compact"/>
                  </w:pPr>
                </w:p>
              </w:tc>
            </w:tr>
          </w:tbl>
          <w:bookmarkEnd w:id="1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7" w:name="tbl-anova-aggregates"/>
          <w:p>
            <w:pPr>
              <w:jc w:val="center"/>
            </w:pPr>
            <w:pPr>
              <w:jc w:val="start"/>
              <w:spacing w:before="200"/>
              <w:pStyle w:val="ImageCaption"/>
            </w:pPr>
            <w:r>
              <w:t xml:space="preserve">Table 43: Analysis of variance of the selected model of aggregate, on the log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4.2375</w:t>
                  </w:r>
                </w:p>
              </w:tc>
              <w:tc>
                <w:tcPr/>
                <w:p>
                  <w:pPr>
                    <w:pStyle w:val="Compact"/>
                    <w:jc w:val="right"/>
                    <w:jc w:val="center"/>
                  </w:pPr>
                  <w:r>
                    <w:t xml:space="preserve">5</w:t>
                  </w:r>
                </w:p>
              </w:tc>
              <w:tc>
                <w:tcPr/>
                <w:p>
                  <w:pPr>
                    <w:pStyle w:val="Compact"/>
                    <w:jc w:val="right"/>
                    <w:jc w:val="center"/>
                  </w:pPr>
                  <w:r>
                    <w:t xml:space="preserve">0.8475</w:t>
                  </w:r>
                </w:p>
              </w:tc>
              <w:tc>
                <w:tcPr/>
                <w:p>
                  <w:pPr>
                    <w:pStyle w:val="Compact"/>
                    <w:jc w:val="right"/>
                    <w:jc w:val="center"/>
                  </w:pPr>
                  <w:r>
                    <w:t xml:space="preserve">159.9210</w:t>
                  </w:r>
                </w:p>
              </w:tc>
              <w:tc>
                <w:tcPr/>
                <w:p>
                  <w:pPr>
                    <w:pStyle w:val="Compact"/>
                    <w:jc w:val="right"/>
                    <w:jc w:val="center"/>
                  </w:pPr>
                  <w:r>
                    <w:t xml:space="preserve">&lt; 0.001</w:t>
                  </w:r>
                </w:p>
              </w:tc>
            </w:tr>
            <w:tr>
              <w:tc>
                <w:tcPr/>
                <w:p>
                  <w:pPr>
                    <w:pStyle w:val="Compact"/>
                    <w:jc w:val="left"/>
                    <w:jc w:val="center"/>
                  </w:pPr>
                  <w:r>
                    <w:t xml:space="preserve">Residual</w:t>
                  </w:r>
                </w:p>
              </w:tc>
              <w:tc>
                <w:tcPr/>
                <w:p>
                  <w:pPr>
                    <w:pStyle w:val="Compact"/>
                    <w:jc w:val="right"/>
                    <w:jc w:val="center"/>
                  </w:pPr>
                  <w:r>
                    <w:t xml:space="preserve">0.2014</w:t>
                  </w:r>
                </w:p>
              </w:tc>
              <w:tc>
                <w:tcPr/>
                <w:p>
                  <w:pPr>
                    <w:pStyle w:val="Compact"/>
                    <w:jc w:val="right"/>
                    <w:jc w:val="center"/>
                  </w:pPr>
                  <w:r>
                    <w:t xml:space="preserve">38</w:t>
                  </w:r>
                </w:p>
              </w:tc>
              <w:tc>
                <w:tcPr/>
                <w:p>
                  <w:pPr>
                    <w:pStyle w:val="Compact"/>
                    <w:jc w:val="right"/>
                    <w:jc w:val="center"/>
                  </w:pPr>
                  <w:r>
                    <w:t xml:space="preserve">0.0053</w:t>
                  </w:r>
                </w:p>
              </w:tc>
              <w:tc>
                <w:tcPr/>
                <w:p>
                  <w:pPr>
                    <w:pStyle w:val="Compact"/>
                  </w:pPr>
                </w:p>
              </w:tc>
              <w:tc>
                <w:tcPr/>
                <w:p>
                  <w:pPr>
                    <w:pStyle w:val="Compact"/>
                  </w:pPr>
                </w:p>
              </w:tc>
            </w:tr>
            <w:tr>
              <w:tc>
                <w:tcPr/>
                <w:p>
                  <w:pPr>
                    <w:pStyle w:val="Compact"/>
                    <w:jc w:val="left"/>
                    <w:jc w:val="center"/>
                  </w:pPr>
                  <w:r>
                    <w:t xml:space="preserve">Lack of fit</w:t>
                  </w:r>
                </w:p>
              </w:tc>
              <w:tc>
                <w:tcPr/>
                <w:p>
                  <w:pPr>
                    <w:pStyle w:val="Compact"/>
                    <w:jc w:val="right"/>
                    <w:jc w:val="center"/>
                  </w:pPr>
                  <w:r>
                    <w:t xml:space="preserve">0.1880</w:t>
                  </w:r>
                </w:p>
              </w:tc>
              <w:tc>
                <w:tcPr/>
                <w:p>
                  <w:pPr>
                    <w:pStyle w:val="Compact"/>
                    <w:jc w:val="right"/>
                    <w:jc w:val="center"/>
                  </w:pPr>
                  <w:r>
                    <w:t xml:space="preserve">35</w:t>
                  </w:r>
                </w:p>
              </w:tc>
              <w:tc>
                <w:tcPr/>
                <w:p>
                  <w:pPr>
                    <w:pStyle w:val="Compact"/>
                    <w:jc w:val="right"/>
                    <w:jc w:val="center"/>
                  </w:pPr>
                  <w:r>
                    <w:t xml:space="preserve">0.0054</w:t>
                  </w:r>
                </w:p>
              </w:tc>
              <w:tc>
                <w:tcPr/>
                <w:p>
                  <w:pPr>
                    <w:pStyle w:val="Compact"/>
                    <w:jc w:val="right"/>
                    <w:jc w:val="center"/>
                  </w:pPr>
                  <w:r>
                    <w:t xml:space="preserve">1.2034</w:t>
                  </w:r>
                </w:p>
              </w:tc>
              <w:tc>
                <w:tcPr/>
                <w:p>
                  <w:pPr>
                    <w:pStyle w:val="Compact"/>
                    <w:jc w:val="right"/>
                    <w:jc w:val="center"/>
                  </w:pPr>
                  <w:r>
                    <w:t xml:space="preserve">0.514</w:t>
                  </w:r>
                </w:p>
              </w:tc>
            </w:tr>
            <w:tr>
              <w:tc>
                <w:tcPr/>
                <w:p>
                  <w:pPr>
                    <w:pStyle w:val="Compact"/>
                    <w:jc w:val="left"/>
                    <w:jc w:val="center"/>
                  </w:pPr>
                  <w:r>
                    <w:t xml:space="preserve">Pure error</w:t>
                  </w:r>
                </w:p>
              </w:tc>
              <w:tc>
                <w:tcPr/>
                <w:p>
                  <w:pPr>
                    <w:pStyle w:val="Compact"/>
                    <w:jc w:val="right"/>
                    <w:jc w:val="center"/>
                  </w:pPr>
                  <w:r>
                    <w:t xml:space="preserve">0.0134</w:t>
                  </w:r>
                </w:p>
              </w:tc>
              <w:tc>
                <w:tcPr/>
                <w:p>
                  <w:pPr>
                    <w:pStyle w:val="Compact"/>
                    <w:jc w:val="right"/>
                    <w:jc w:val="center"/>
                  </w:pPr>
                  <w:r>
                    <w:t xml:space="preserve">3</w:t>
                  </w:r>
                </w:p>
              </w:tc>
              <w:tc>
                <w:tcPr/>
                <w:p>
                  <w:pPr>
                    <w:pStyle w:val="Compact"/>
                    <w:jc w:val="right"/>
                    <w:jc w:val="center"/>
                  </w:pPr>
                  <w:r>
                    <w:t xml:space="preserve">0.0045</w:t>
                  </w:r>
                </w:p>
              </w:tc>
              <w:tc>
                <w:tcPr/>
                <w:p>
                  <w:pPr>
                    <w:pStyle w:val="Compact"/>
                  </w:pPr>
                </w:p>
              </w:tc>
              <w:tc>
                <w:tcPr/>
                <w:p>
                  <w:pPr>
                    <w:pStyle w:val="Compact"/>
                  </w:pPr>
                </w:p>
              </w:tc>
            </w:tr>
          </w:tbl>
          <w:bookmarkEnd w:id="177"/>
          <w:p/>
        </w:tc>
      </w:tr>
    </w:tbl>
    <w:bookmarkEnd w:id="178"/>
    <w:bookmarkStart w:id="180" w:name="sec-app-d"/>
    <w:p>
      <w:pPr>
        <w:pStyle w:val="Heading1"/>
      </w:pPr>
      <w:r>
        <w:t xml:space="preserve">Appendix D. Analytical methods summary</w:t>
      </w:r>
    </w:p>
    <w:p>
      <w:pPr>
        <w:pStyle w:val="FirstParagraph"/>
      </w:pPr>
      <w:hyperlink w:anchor="tbl-methods">
        <w:r>
          <w:rPr>
            <w:rStyle w:val="Hyperlink"/>
          </w:rPr>
          <w:t xml:space="preserve">Table 44</w:t>
        </w:r>
      </w:hyperlink>
      <w:r>
        <w:t xml:space="preserve"> </w:t>
      </w:r>
      <w:r>
        <w:t xml:space="preserve">gives the analytical methods of the studies with their precision and limit of quantitation, as the method records hold them.</w:t>
      </w:r>
    </w:p>
    <w:tbl>
      <w:tblPr>
        <w:tblStyle w:val="Table"/>
        <w:tblW w:type="pct" w:w="5000"/>
        <w:tblLayout w:type="fixed"/>
        <w:tblLook w:firstRow="0" w:lastRow="0" w:firstColumn="0" w:lastColumn="0" w:noHBand="0" w:noVBand="0" w:val="0000"/>
      </w:tblPr>
      <w:tblGrid>
        <w:gridCol w:w="7920"/>
      </w:tblGrid>
      <w:tr>
        <w:tc>
          <w:tcPr/>
          <w:bookmarkStart w:id="179" w:name="tbl-methods"/>
          <w:p>
            <w:pPr>
              <w:jc w:val="center"/>
            </w:pPr>
            <w:pPr>
              <w:jc w:val="start"/>
              <w:spacing w:before="200"/>
              <w:pStyle w:val="ImageCaption"/>
            </w:pPr>
            <w:r>
              <w:t xml:space="preserve">Table 44: Analytical methods of the production bioreactor studies, with their precision and limit of quantitation.</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Method</w:t>
                  </w:r>
                </w:p>
              </w:tc>
              <w:tc>
                <w:tcPr/>
                <w:p>
                  <w:pPr>
                    <w:pStyle w:val="Compact"/>
                    <w:jc w:val="center"/>
                  </w:pPr>
                  <w:r>
                    <w:t xml:space="preserve">Procedure</w:t>
                  </w:r>
                </w:p>
              </w:tc>
              <w:tc>
                <w:tcPr/>
                <w:p>
                  <w:pPr>
                    <w:pStyle w:val="Compact"/>
                    <w:jc w:val="center"/>
                  </w:pPr>
                  <w:r>
                    <w:t xml:space="preserve">Validation</w:t>
                  </w:r>
                </w:p>
              </w:tc>
              <w:tc>
                <w:tcPr/>
                <w:p>
                  <w:pPr>
                    <w:pStyle w:val="Compact"/>
                    <w:jc w:val="center"/>
                  </w:pPr>
                  <w:r>
                    <w:t xml:space="preserve">Attributes</w:t>
                  </w:r>
                </w:p>
              </w:tc>
              <w:tc>
                <w:tcPr/>
                <w:p>
                  <w:pPr>
                    <w:pStyle w:val="Compact"/>
                    <w:jc w:val="center"/>
                  </w:pPr>
                  <w:r>
                    <w:t xml:space="preserve">Sample</w:t>
                  </w:r>
                </w:p>
              </w:tc>
              <w:tc>
                <w:tcPr/>
                <w:p>
                  <w:pPr>
                    <w:pStyle w:val="Compact"/>
                    <w:jc w:val="center"/>
                  </w:pPr>
                  <w:r>
                    <w:t xml:space="preserve">Precision</w:t>
                  </w:r>
                </w:p>
              </w:tc>
              <w:tc>
                <w:tcPr/>
                <w:p>
                  <w:pPr>
                    <w:pStyle w:val="Compact"/>
                    <w:jc w:val="center"/>
                  </w:pPr>
                  <w:r>
                    <w:t xml:space="preserve">LOQ</w:t>
                  </w:r>
                </w:p>
              </w:tc>
            </w:tr>
            <w:tr>
              <w:tc>
                <w:tcPr/>
                <w:p>
                  <w:pPr>
                    <w:pStyle w:val="Compact"/>
                    <w:jc w:val="center"/>
                  </w:pPr>
                  <w:r>
                    <w:t xml:space="preserve">N-Glycan Map (2-AB HILIC-UPLC)</w:t>
                  </w:r>
                </w:p>
              </w:tc>
              <w:tc>
                <w:tcPr/>
                <w:p>
                  <w:pPr>
                    <w:pStyle w:val="Compact"/>
                    <w:jc w:val="center"/>
                  </w:pPr>
                  <w:r>
                    <w:t xml:space="preserve">SOP-3010</w:t>
                  </w:r>
                </w:p>
              </w:tc>
              <w:tc>
                <w:tcPr/>
                <w:p>
                  <w:pPr>
                    <w:pStyle w:val="Compact"/>
                    <w:jc w:val="center"/>
                  </w:pPr>
                  <w:r>
                    <w:t xml:space="preserve">AMV-3010</w:t>
                  </w:r>
                </w:p>
              </w:tc>
              <w:tc>
                <w:tcPr/>
                <w:p>
                  <w:pPr>
                    <w:pStyle w:val="Compact"/>
                    <w:jc w:val="center"/>
                  </w:pPr>
                  <w:r>
                    <w:t xml:space="preserve">Afucosylation, galactosylation and high mannose</w:t>
                  </w:r>
                </w:p>
              </w:tc>
              <w:tc>
                <w:tcPr/>
                <w:p>
                  <w:pPr>
                    <w:pStyle w:val="Compact"/>
                    <w:jc w:val="center"/>
                  </w:pPr>
                  <w:r>
                    <w:t xml:space="preserve">harvest</w:t>
                  </w:r>
                </w:p>
              </w:tc>
              <w:tc>
                <w:tcPr/>
                <w:p>
                  <w:pPr>
                    <w:pStyle w:val="Compact"/>
                    <w:jc w:val="center"/>
                  </w:pPr>
                  <w:r>
                    <w:t xml:space="preserve">2.5 % (relative)</w:t>
                  </w:r>
                </w:p>
              </w:tc>
              <w:tc>
                <w:tcPr/>
                <w:p>
                  <w:pPr>
                    <w:pStyle w:val="Compact"/>
                    <w:jc w:val="center"/>
                  </w:pPr>
                  <w:r>
                    <w:t xml:space="preserve">0.5 % glycan</w:t>
                  </w:r>
                </w:p>
              </w:tc>
            </w:tr>
            <w:tr>
              <w:tc>
                <w:tcPr/>
                <w:p>
                  <w:pPr>
                    <w:pStyle w:val="Compact"/>
                    <w:jc w:val="center"/>
                  </w:pPr>
                  <w:r>
                    <w:t xml:space="preserve">Size-Variants (SEC-HPLC)</w:t>
                  </w:r>
                </w:p>
              </w:tc>
              <w:tc>
                <w:tcPr/>
                <w:p>
                  <w:pPr>
                    <w:pStyle w:val="Compact"/>
                    <w:jc w:val="center"/>
                  </w:pPr>
                  <w:r>
                    <w:t xml:space="preserve">SOP-3011</w:t>
                  </w:r>
                </w:p>
              </w:tc>
              <w:tc>
                <w:tcPr/>
                <w:p>
                  <w:pPr>
                    <w:pStyle w:val="Compact"/>
                    <w:jc w:val="center"/>
                  </w:pPr>
                  <w:r>
                    <w:t xml:space="preserve">AMV-3011</w:t>
                  </w:r>
                </w:p>
              </w:tc>
              <w:tc>
                <w:tcPr/>
                <w:p>
                  <w:pPr>
                    <w:pStyle w:val="Compact"/>
                    <w:jc w:val="center"/>
                  </w:pPr>
                  <w:r>
                    <w:t xml:space="preserve">Aggregate (HMW)</w:t>
                  </w:r>
                </w:p>
              </w:tc>
              <w:tc>
                <w:tcPr/>
                <w:p>
                  <w:pPr>
                    <w:pStyle w:val="Compact"/>
                    <w:jc w:val="center"/>
                  </w:pPr>
                  <w:r>
                    <w:t xml:space="preserve">harvest</w:t>
                  </w:r>
                </w:p>
              </w:tc>
              <w:tc>
                <w:tcPr/>
                <w:p>
                  <w:pPr>
                    <w:pStyle w:val="Compact"/>
                    <w:jc w:val="center"/>
                  </w:pPr>
                  <w:r>
                    <w:t xml:space="preserve">0.04 points (absolute SD)</w:t>
                  </w:r>
                </w:p>
              </w:tc>
              <w:tc>
                <w:tcPr/>
                <w:p>
                  <w:pPr>
                    <w:pStyle w:val="Compact"/>
                    <w:jc w:val="center"/>
                  </w:pPr>
                  <w:r>
                    <w:t xml:space="preserve">not in the record</w:t>
                  </w:r>
                </w:p>
              </w:tc>
            </w:tr>
            <w:tr>
              <w:tc>
                <w:tcPr/>
                <w:p>
                  <w:pPr>
                    <w:pStyle w:val="Compact"/>
                    <w:jc w:val="center"/>
                  </w:pPr>
                  <w:r>
                    <w:t xml:space="preserve">Charge Variants (icIEF)</w:t>
                  </w:r>
                </w:p>
              </w:tc>
              <w:tc>
                <w:tcPr/>
                <w:p>
                  <w:pPr>
                    <w:pStyle w:val="Compact"/>
                    <w:jc w:val="center"/>
                  </w:pPr>
                  <w:r>
                    <w:t xml:space="preserve">SOP-3013</w:t>
                  </w:r>
                </w:p>
              </w:tc>
              <w:tc>
                <w:tcPr/>
                <w:p>
                  <w:pPr>
                    <w:pStyle w:val="Compact"/>
                    <w:jc w:val="center"/>
                  </w:pPr>
                  <w:r>
                    <w:t xml:space="preserve">AMV-3013</w:t>
                  </w:r>
                </w:p>
              </w:tc>
              <w:tc>
                <w:tcPr/>
                <w:p>
                  <w:pPr>
                    <w:pStyle w:val="Compact"/>
                    <w:jc w:val="center"/>
                  </w:pPr>
                  <w:r>
                    <w:t xml:space="preserve">Acidic variants</w:t>
                  </w:r>
                </w:p>
              </w:tc>
              <w:tc>
                <w:tcPr/>
                <w:p>
                  <w:pPr>
                    <w:pStyle w:val="Compact"/>
                    <w:jc w:val="center"/>
                  </w:pPr>
                  <w:r>
                    <w:t xml:space="preserve">harvest</w:t>
                  </w:r>
                </w:p>
              </w:tc>
              <w:tc>
                <w:tcPr/>
                <w:p>
                  <w:pPr>
                    <w:pStyle w:val="Compact"/>
                    <w:jc w:val="center"/>
                  </w:pPr>
                  <w:r>
                    <w:t xml:space="preserve">2 % (relative)</w:t>
                  </w:r>
                </w:p>
              </w:tc>
              <w:tc>
                <w:tcPr/>
                <w:p>
                  <w:pPr>
                    <w:pStyle w:val="Compact"/>
                    <w:jc w:val="center"/>
                  </w:pPr>
                  <w:r>
                    <w:t xml:space="preserve">1 % acidic</w:t>
                  </w:r>
                </w:p>
              </w:tc>
            </w:tr>
            <w:tr>
              <w:tc>
                <w:tcPr/>
                <w:p>
                  <w:pPr>
                    <w:pStyle w:val="Compact"/>
                    <w:jc w:val="center"/>
                  </w:pPr>
                  <w:r>
                    <w:t xml:space="preserve">Host-Cell Protein ELISA</w:t>
                  </w:r>
                </w:p>
              </w:tc>
              <w:tc>
                <w:tcPr/>
                <w:p>
                  <w:pPr>
                    <w:pStyle w:val="Compact"/>
                    <w:jc w:val="center"/>
                  </w:pPr>
                  <w:r>
                    <w:t xml:space="preserve">SOP-3012</w:t>
                  </w:r>
                </w:p>
              </w:tc>
              <w:tc>
                <w:tcPr/>
                <w:p>
                  <w:pPr>
                    <w:pStyle w:val="Compact"/>
                    <w:jc w:val="center"/>
                  </w:pPr>
                  <w:r>
                    <w:t xml:space="preserve">AMV-3012</w:t>
                  </w:r>
                </w:p>
              </w:tc>
              <w:tc>
                <w:tcPr/>
                <w:p>
                  <w:pPr>
                    <w:pStyle w:val="Compact"/>
                    <w:jc w:val="center"/>
                  </w:pPr>
                  <w:r>
                    <w:t xml:space="preserve">Host cell protein</w:t>
                  </w:r>
                </w:p>
              </w:tc>
              <w:tc>
                <w:tcPr/>
                <w:p>
                  <w:pPr>
                    <w:pStyle w:val="Compact"/>
                    <w:jc w:val="center"/>
                  </w:pPr>
                  <w:r>
                    <w:t xml:space="preserve">clarified harvest</w:t>
                  </w:r>
                </w:p>
              </w:tc>
              <w:tc>
                <w:tcPr/>
                <w:p>
                  <w:pPr>
                    <w:pStyle w:val="Compact"/>
                    <w:jc w:val="center"/>
                  </w:pPr>
                  <w:r>
                    <w:t xml:space="preserve">9.5 % (relative)</w:t>
                  </w:r>
                </w:p>
              </w:tc>
              <w:tc>
                <w:tcPr/>
                <w:p>
                  <w:pPr>
                    <w:pStyle w:val="Compact"/>
                    <w:jc w:val="center"/>
                  </w:pPr>
                  <w:r>
                    <w:t xml:space="preserve">1 ng/mg</w:t>
                  </w:r>
                </w:p>
              </w:tc>
            </w:tr>
            <w:tr>
              <w:tc>
                <w:tcPr/>
                <w:p>
                  <w:pPr>
                    <w:pStyle w:val="Compact"/>
                    <w:jc w:val="center"/>
                  </w:pPr>
                  <w:r>
                    <w:t xml:space="preserve">Residual DNA (qPCR)</w:t>
                  </w:r>
                </w:p>
              </w:tc>
              <w:tc>
                <w:tcPr/>
                <w:p>
                  <w:pPr>
                    <w:pStyle w:val="Compact"/>
                    <w:jc w:val="center"/>
                  </w:pPr>
                  <w:r>
                    <w:t xml:space="preserve">SOP-3014</w:t>
                  </w:r>
                </w:p>
              </w:tc>
              <w:tc>
                <w:tcPr/>
                <w:p>
                  <w:pPr>
                    <w:pStyle w:val="Compact"/>
                    <w:jc w:val="center"/>
                  </w:pPr>
                  <w:r>
                    <w:t xml:space="preserve">AMV-3014</w:t>
                  </w:r>
                </w:p>
              </w:tc>
              <w:tc>
                <w:tcPr/>
                <w:p>
                  <w:pPr>
                    <w:pStyle w:val="Compact"/>
                    <w:jc w:val="center"/>
                  </w:pPr>
                  <w:r>
                    <w:t xml:space="preserve">Residual DNA</w:t>
                  </w:r>
                </w:p>
              </w:tc>
              <w:tc>
                <w:tcPr/>
                <w:p>
                  <w:pPr>
                    <w:pStyle w:val="Compact"/>
                    <w:jc w:val="center"/>
                  </w:pPr>
                  <w:r>
                    <w:t xml:space="preserve">clarified harvest</w:t>
                  </w:r>
                </w:p>
              </w:tc>
              <w:tc>
                <w:tcPr/>
                <w:p>
                  <w:pPr>
                    <w:pStyle w:val="Compact"/>
                    <w:jc w:val="center"/>
                  </w:pPr>
                  <w:r>
                    <w:t xml:space="preserve">15 % (relative)</w:t>
                  </w:r>
                </w:p>
              </w:tc>
              <w:tc>
                <w:tcPr/>
                <w:p>
                  <w:pPr>
                    <w:pStyle w:val="Compact"/>
                    <w:jc w:val="center"/>
                  </w:pPr>
                  <w:r>
                    <w:t xml:space="preserve">1 pg/mg</w:t>
                  </w:r>
                </w:p>
              </w:tc>
            </w:tr>
            <w:tr>
              <w:tc>
                <w:tcPr>
                  <w:gridSpan w:val="7"/>
                </w:tcPr>
                <w:p>
                  <w:pPr>
                    <w:pStyle w:val="Compact"/>
                    <w:jc w:val="center"/>
                  </w:pPr>
                  <w:r>
                    <w:t xml:space="preserve">Precision as the relative standard deviation of repeat results, or for SEC as an absolute standard deviation in percentage points of HMW. LOQ, limit of quantitation.</w:t>
                  </w:r>
                </w:p>
              </w:tc>
            </w:tr>
          </w:tbl>
          <w:bookmarkEnd w:id="179"/>
          <w:p/>
        </w:tc>
      </w:tr>
    </w:tbl>
    <w:bookmarkEnd w:id="180"/>
    <w:bookmarkStart w:id="193" w:name="references"/>
    <w:p>
      <w:pPr>
        <w:pStyle w:val="Heading1"/>
      </w:pPr>
      <w:r>
        <w:t xml:space="preserve">References</w:t>
      </w:r>
    </w:p>
    <w:bookmarkStart w:id="192" w:name="refs"/>
    <w:bookmarkStart w:id="181"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81"/>
    <w:bookmarkStart w:id="182"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182"/>
    <w:bookmarkStart w:id="183"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83"/>
    <w:bookmarkStart w:id="184" w:name="ref-fedorov1972"/>
    <w:p>
      <w:pPr>
        <w:pStyle w:val="Bibliography"/>
      </w:pPr>
      <w:r>
        <w:t xml:space="preserve">Fedorov, Valerii V. 1972.</w:t>
      </w:r>
      <w:r>
        <w:t xml:space="preserve"> </w:t>
      </w:r>
      <w:r>
        <w:rPr>
          <w:i/>
          <w:iCs/>
        </w:rPr>
        <w:t xml:space="preserve">Theory of Optimal Experiments</w:t>
      </w:r>
      <w:r>
        <w:t xml:space="preserve">. New York: Academic Press.</w:t>
      </w:r>
    </w:p>
    <w:bookmarkEnd w:id="184"/>
    <w:bookmarkStart w:id="185"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85"/>
    <w:bookmarkStart w:id="186"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186"/>
    <w:bookmarkStart w:id="187" w:name="ref-ichq8"/>
    <w:p>
      <w:pPr>
        <w:pStyle w:val="Bibliography"/>
      </w:pPr>
      <w:r>
        <w:t xml:space="preserve">———. 2009.</w:t>
      </w:r>
      <w:r>
        <w:t xml:space="preserve"> </w:t>
      </w:r>
      <w:r>
        <w:t xml:space="preserve">“ICH Q8(R2): Pharmaceutical Development.”</w:t>
      </w:r>
      <w:r>
        <w:t xml:space="preserve"> </w:t>
      </w:r>
      <w:r>
        <w:t xml:space="preserve">ICH.</w:t>
      </w:r>
    </w:p>
    <w:bookmarkEnd w:id="187"/>
    <w:bookmarkStart w:id="188" w:name="ref-ichq11"/>
    <w:p>
      <w:pPr>
        <w:pStyle w:val="Bibliography"/>
      </w:pPr>
      <w:r>
        <w:t xml:space="preserve">———. 2012.</w:t>
      </w:r>
      <w:r>
        <w:t xml:space="preserve"> </w:t>
      </w:r>
      <w:r>
        <w:t xml:space="preserve">“ICH Q11: Development and Manufacture of Drug Substances.”</w:t>
      </w:r>
      <w:r>
        <w:t xml:space="preserve"> </w:t>
      </w:r>
      <w:r>
        <w:t xml:space="preserve">ICH.</w:t>
      </w:r>
    </w:p>
    <w:bookmarkEnd w:id="188"/>
    <w:bookmarkStart w:id="189" w:name="ref-ichq9"/>
    <w:p>
      <w:pPr>
        <w:pStyle w:val="Bibliography"/>
      </w:pPr>
      <w:r>
        <w:t xml:space="preserve">———. 2023.</w:t>
      </w:r>
      <w:r>
        <w:t xml:space="preserve"> </w:t>
      </w:r>
      <w:r>
        <w:t xml:space="preserve">“ICH Q9(R1): Quality Risk Management.”</w:t>
      </w:r>
      <w:r>
        <w:t xml:space="preserve"> </w:t>
      </w:r>
      <w:r>
        <w:t xml:space="preserve">ICH.</w:t>
      </w:r>
    </w:p>
    <w:bookmarkEnd w:id="189"/>
    <w:bookmarkStart w:id="190"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90"/>
    <w:bookmarkStart w:id="191"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91"/>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 Type="http://schemas.openxmlformats.org/officeDocument/2006/relationships/image" Id="rId103" Target="media/rId103.png" /><Relationship Type="http://schemas.openxmlformats.org/officeDocument/2006/relationships/image" Id="rId75" Target="media/rId75.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125" Target="media/rId125.png" /><Relationship Type="http://schemas.openxmlformats.org/officeDocument/2006/relationships/image" Id="rId113" Target="media/rId113.png" /><Relationship Type="http://schemas.openxmlformats.org/officeDocument/2006/relationships/image" Id="rId129" Target="media/rId129.png" /><Relationship Type="http://schemas.openxmlformats.org/officeDocument/2006/relationships/image" Id="rId117" Target="media/rId117.png" /><Relationship Type="http://schemas.openxmlformats.org/officeDocument/2006/relationships/image" Id="rId121" Target="media/rId1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2026-10-11T08:17:16Z</dcterms:created>
  <dcterms:modified xsi:type="dcterms:W3CDTF">2026-10-11T08:17:16Z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Production Bioreactor (Step 3) — PCR-003</vt:lpwstr>
  </property>
  <property fmtid="{D5CDD505-2E9C-101B-9397-08002B2CF9AE}" pid="15" name="tbl-cap-location">
    <vt:lpwstr>top</vt:lpwstr>
  </property>
  <property fmtid="{D5CDD505-2E9C-101B-9397-08002B2CF9AE}" pid="16" name="toc-title">
    <vt:lpwstr>Table of contents</vt:lpwstr>
  </property>
</Properties>
</file>