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Plan</w:t>
      </w:r>
    </w:p>
    <w:p>
      <w:pPr>
        <w:pStyle w:val="Subtitle"/>
      </w:pPr>
      <w:r>
        <w:t xml:space="preserve">A-Mab Drug Substance — PCMP-001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 mediated cytotoxicity; AMV, analytical method validation; CDC,</w:t>
      </w:r>
      <w:r>
        <w:t xml:space="preserve"> </w:t>
      </w:r>
      <w:r>
        <w:t xml:space="preserve">complement dependent cytotoxicity; Cpk, process capability index; CPP, critical process</w:t>
      </w:r>
      <w:r>
        <w:t xml:space="preserve"> </w:t>
      </w:r>
      <w:r>
        <w:t xml:space="preserve">parameter; CQA, critical quality attribute; DoE, design of experiments; DS, drug substance;</w:t>
      </w:r>
      <w:r>
        <w:t xml:space="preserve"> </w:t>
      </w:r>
      <w:r>
        <w:t xml:space="preserve">GPP, general process parameter; HCP, host cell protein; HMW, high molecular weight; ICH,</w:t>
      </w:r>
      <w:r>
        <w:t xml:space="preserve"> </w:t>
      </w:r>
      <w:r>
        <w:t xml:space="preserve">International Council for Harmonisation; KPP, key process parameter; MSAT, Manufacturing</w:t>
      </w:r>
      <w:r>
        <w:t xml:space="preserve"> </w:t>
      </w:r>
      <w:r>
        <w:t xml:space="preserve">Science and Technology; MVM, minute virus of mice; OLS, ordinary least squares; PPQ, process</w:t>
      </w:r>
      <w:r>
        <w:t xml:space="preserve"> </w:t>
      </w:r>
      <w:r>
        <w:t xml:space="preserve">performance qualification; PRESS, predicted residual error sum of squares; SEC, size</w:t>
      </w:r>
      <w:r>
        <w:t xml:space="preserve"> </w:t>
      </w:r>
      <w:r>
        <w:t xml:space="preserve">exclusion chromatography; SOP, standard operating procedure; UF/DF, ultrafiltration and</w:t>
      </w:r>
      <w:r>
        <w:t xml:space="preserve"> </w:t>
      </w:r>
      <w:r>
        <w:t xml:space="preserve">diafiltration; WC-CPP, well controlled critical process parameter; XMuLV, xenotropic murine</w:t>
      </w:r>
      <w:r>
        <w:t xml:space="preserve"> </w:t>
      </w:r>
      <w:r>
        <w:t xml:space="preserve">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master plan governs the Stage 1 characterization of the A-Mab drug substance process.</w:t>
      </w:r>
      <w:r>
        <w:t xml:space="preserve"> </w:t>
      </w:r>
      <w:r>
        <w:t xml:space="preserve">It covers the 8 unit operations of the drug substance train, from the</w:t>
      </w:r>
      <w:r>
        <w:t xml:space="preserve"> </w:t>
      </w:r>
      <w:r>
        <w:t xml:space="preserve">production bioreactor through to ultrafiltration and diafiltration (Steps</w:t>
      </w:r>
      <w:r>
        <w:t xml:space="preserve"> </w:t>
      </w:r>
      <w:r>
        <w:t xml:space="preserve">3 to 10). All studies are executed on qualified</w:t>
      </w:r>
      <w:r>
        <w:t xml:space="preserve"> </w:t>
      </w:r>
      <w:r>
        <w:t xml:space="preserve">scale-down models at the sending site (Novacyte Biologics — Cambridge, MA (Development)), and their purpose is to</w:t>
      </w:r>
      <w:r>
        <w:t xml:space="preserve"> </w:t>
      </w:r>
      <w:r>
        <w:t xml:space="preserve">establish the operating ranges, the proven acceptable ranges and the control strategy under</w:t>
      </w:r>
      <w:r>
        <w:t xml:space="preserve"> </w:t>
      </w:r>
      <w:r>
        <w:t xml:space="preserve">which the process will run at the receiving site (Novacyte Biologics — Grafton, WI (Commercial DS)) after transfer.</w:t>
      </w:r>
    </w:p>
    <w:p>
      <w:pPr>
        <w:pStyle w:val="BodyText"/>
      </w:pPr>
      <w:r>
        <w:t xml:space="preserve">The plan exists so that the individual characterization plans do not each restate the same</w:t>
      </w:r>
      <w:r>
        <w:t xml:space="preserve"> </w:t>
      </w:r>
      <w:r>
        <w:t xml:space="preserve">framework. It states once, for the whole campaign, which quality attributes the process</w:t>
      </w:r>
      <w:r>
        <w:t xml:space="preserve"> </w:t>
      </w:r>
      <w:r>
        <w:t xml:space="preserve">must control, how the risk assessment scoped the studies, how scale-down models are</w:t>
      </w:r>
      <w:r>
        <w:t xml:space="preserve"> </w:t>
      </w:r>
      <w:r>
        <w:t xml:space="preserve">qualified, how the data are analysed, and what the acceptance criteria are. Each</w:t>
      </w:r>
      <w:r>
        <w:t xml:space="preserve"> </w:t>
      </w:r>
      <w:r>
        <w:t xml:space="preserve">characterization plan then carries only what is specific to its own unit operation. Where a</w:t>
      </w:r>
      <w:r>
        <w:t xml:space="preserve"> </w:t>
      </w:r>
      <w:r>
        <w:t xml:space="preserve">step-specific matter is treated in both documents, the characterization plan governs.</w:t>
      </w:r>
    </w:p>
    <w:p>
      <w:pPr>
        <w:pStyle w:val="BodyText"/>
      </w:pPr>
      <w:r>
        <w:t xml:space="preserve">The campaign covers 37 process parameters and 10 drug</w:t>
      </w:r>
      <w:r>
        <w:t xml:space="preserve"> </w:t>
      </w:r>
      <w:r>
        <w:t xml:space="preserve">substance quality attributes. The commercial process runs at a</w:t>
      </w:r>
      <w:r>
        <w:t xml:space="preserve"> </w:t>
      </w:r>
      <w:r>
        <w:t xml:space="preserve">15,000 L production bioreactor working volume and delivers drug substance</w:t>
      </w:r>
      <w:r>
        <w:t xml:space="preserve"> </w:t>
      </w:r>
      <w:r>
        <w:t xml:space="preserve">at a target concentration of 75 g/L, and every range studied in the</w:t>
      </w:r>
      <w:r>
        <w:t xml:space="preserve"> </w:t>
      </w:r>
      <w:r>
        <w:t xml:space="preserve">campaign contains the set-point of that process.</w:t>
      </w:r>
    </w:p>
    <w:p>
      <w:pPr>
        <w:pStyle w:val="BodyText"/>
      </w:pPr>
      <w:r>
        <w:t xml:space="preserve">This plan sits inside the transfer package described in PTP-001, which is its parent</w:t>
      </w:r>
      <w:r>
        <w:t xml:space="preserve"> </w:t>
      </w:r>
      <w:r>
        <w:t xml:space="preserve">(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). RA-001 provides the risk basis, and its study assignment is the input to</w:t>
      </w:r>
      <w:r>
        <w:t xml:space="preserve"> </w:t>
      </w:r>
      <w:r>
        <w:t xml:space="preserve">every characterization plan. The characterization plans PCP-003 to</w:t>
      </w:r>
      <w:r>
        <w:t xml:space="preserve"> </w:t>
      </w:r>
      <w:r>
        <w:t xml:space="preserve">PCP-010 are the children of this plan and are registered in §8. The reports</w:t>
      </w:r>
      <w:r>
        <w:t xml:space="preserve"> </w:t>
      </w:r>
      <w:r>
        <w:t xml:space="preserve">they produce are consolidated in PCMR-001, which is the document that states whether the</w:t>
      </w:r>
      <w:r>
        <w:t xml:space="preserve"> </w:t>
      </w:r>
      <w:r>
        <w:t xml:space="preserve">process is ready for Stage 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Parent documents of this master plan and the report the campaign rolls up into.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Several activities are outside the scope of this plan. Drug product manufacture and its</w:t>
      </w:r>
      <w:r>
        <w:t xml:space="preserve"> </w:t>
      </w:r>
      <w:r>
        <w:t xml:space="preserve">characterization are covered elsewhere. Validation of the analytical methods is covered by</w:t>
      </w:r>
      <w:r>
        <w:t xml:space="preserve"> </w:t>
      </w:r>
      <w:r>
        <w:t xml:space="preserve">the method validation documents listed in</w:t>
      </w:r>
      <w:r>
        <w:t xml:space="preserve"> </w:t>
      </w:r>
      <w:hyperlink w:anchor="tbl-docs">
        <w:r>
          <w:rPr>
            <w:rStyle w:val="Hyperlink"/>
          </w:rPr>
          <w:t xml:space="preserve">Table 5</w:t>
        </w:r>
      </w:hyperlink>
      <w:r>
        <w:t xml:space="preserve">, and the campaign uses those methods as</w:t>
      </w:r>
      <w:r>
        <w:t xml:space="preserve"> </w:t>
      </w:r>
      <w:r>
        <w:t xml:space="preserve">validated. The execution and reporting of the Stage 2 process performance qualification</w:t>
      </w:r>
      <w:r>
        <w:t xml:space="preserve"> </w:t>
      </w:r>
      <w:r>
        <w:t xml:space="preserve">belongs to a separate protocol under PTP-001. The design of each individual study is also</w:t>
      </w:r>
      <w:r>
        <w:t xml:space="preserve"> </w:t>
      </w:r>
      <w:r>
        <w:t xml:space="preserve">outside this plan, because it is set in the characterization plan for the step.</w:t>
      </w:r>
    </w:p>
    <w:bookmarkEnd w:id="13"/>
    <w:bookmarkStart w:id="14" w:name="stage-1-characterization-strategy"/>
    <w:p>
      <w:pPr>
        <w:pStyle w:val="Heading1"/>
      </w:pPr>
      <w:r>
        <w:t xml:space="preserve">2. Stage 1 characterization strategy</w:t>
      </w:r>
    </w:p>
    <w:p>
      <w:pPr>
        <w:pStyle w:val="FirstParagraph"/>
      </w:pPr>
      <w:r>
        <w:t xml:space="preserve">The campaign follows the enhanced development approach of ICH Q8 inside the lifecycle model</w:t>
      </w:r>
      <w:r>
        <w:t xml:space="preserve"> </w:t>
      </w:r>
      <w:r>
        <w:t xml:space="preserve">of the process validation guidance</w:t>
      </w:r>
      <w:r>
        <w:t xml:space="preserve"> </w:t>
      </w:r>
      <w:r>
        <w:t xml:space="preserve">(International Council for Harmonisation 2009; U.S. Food and Drug Administration 2011)</w:t>
      </w:r>
      <w:r>
        <w:t xml:space="preserve">. Prior knowledge and a formal risk</w:t>
      </w:r>
      <w:r>
        <w:t xml:space="preserve"> </w:t>
      </w:r>
      <w:r>
        <w:t xml:space="preserve">assessment identify what has to be studied, characterization then bounds the process over</w:t>
      </w:r>
      <w:r>
        <w:t xml:space="preserve"> </w:t>
      </w:r>
      <w:r>
        <w:t xml:space="preserve">ranges wider than routine operation, and the outcome is a control strategy that holds each</w:t>
      </w:r>
      <w:r>
        <w:t xml:space="preserve"> </w:t>
      </w:r>
      <w:r>
        <w:t xml:space="preserve">parameter where the data support it and monitors the attributes those parameters govern. The</w:t>
      </w:r>
      <w:r>
        <w:t xml:space="preserve"> </w:t>
      </w:r>
      <w:r>
        <w:t xml:space="preserve">A-Mab case study is the methodological model for the whole package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Stage 1 of the lifecycle is process design, and these studies are its record</w:t>
      </w:r>
      <w:r>
        <w:t xml:space="preserve"> </w:t>
      </w:r>
      <w:r>
        <w:t xml:space="preserve">(U.S. Food and Drug Administration 2011)</w:t>
      </w:r>
      <w:r>
        <w:t xml:space="preserve">.</w:t>
      </w:r>
      <w:r>
        <w:t xml:space="preserve"> </w:t>
      </w:r>
      <w:r>
        <w:t xml:space="preserve">Characterization is a set of documented studies in which process parameters are varied on</w:t>
      </w:r>
      <w:r>
        <w:t xml:space="preserve"> </w:t>
      </w:r>
      <w:r>
        <w:t xml:space="preserve">purpose, so that their effect on quality attributes and on process performance can be</w:t>
      </w:r>
      <w:r>
        <w:t xml:space="preserve"> </w:t>
      </w:r>
      <w:r>
        <w:t xml:space="preserve">measured</w:t>
      </w:r>
      <w:r>
        <w:t xml:space="preserve"> </w:t>
      </w:r>
      <w:r>
        <w:t xml:space="preserve">(International Council for Harmonisation 2012)</w:t>
      </w:r>
      <w:r>
        <w:t xml:space="preserve">. The studies are not a demonstration that the process works. They are</w:t>
      </w:r>
      <w:r>
        <w:t xml:space="preserve"> </w:t>
      </w:r>
      <w:r>
        <w:t xml:space="preserve">the evidence from which the ranges, the classification of each parameter and the in-process</w:t>
      </w:r>
      <w:r>
        <w:t xml:space="preserve"> </w:t>
      </w:r>
      <w:r>
        <w:t xml:space="preserve">controls are derived.</w:t>
      </w:r>
    </w:p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Each attribute</w:t>
      </w:r>
      <w:r>
        <w:t xml:space="preserve"> </w:t>
      </w:r>
      <w:r>
        <w:t xml:space="preserve">carries a criticality level from the impact and uncertainty assessment described in §3, and</w:t>
      </w:r>
      <w:r>
        <w:t xml:space="preserve"> </w:t>
      </w:r>
      <w:r>
        <w:t xml:space="preserve">the attributes at the high and very high levels are called critical. The same principle</w:t>
      </w:r>
      <w:r>
        <w:t xml:space="preserve"> </w:t>
      </w:r>
      <w:r>
        <w:t xml:space="preserve">applies to parameters. A parameter is classified from the size of its effect on a critical</w:t>
      </w:r>
      <w:r>
        <w:t xml:space="preserve"> </w:t>
      </w:r>
      <w:r>
        <w:t xml:space="preserve">quality attribute and from the risk that it moves outside the region in which that</w:t>
      </w:r>
      <w:r>
        <w:t xml:space="preserve"> </w:t>
      </w:r>
      <w:r>
        <w:t xml:space="preserve">attribute is controlled.</w:t>
      </w:r>
    </w:p>
    <w:p>
      <w:pPr>
        <w:pStyle w:val="BodyText"/>
      </w:pPr>
      <w:r>
        <w:t xml:space="preserve">The ranges studied define the knowledge space, which is deliberately wider than the region</w:t>
      </w:r>
      <w:r>
        <w:t xml:space="preserve"> </w:t>
      </w:r>
      <w:r>
        <w:t xml:space="preserve">the process will run in. The design space is the part of the knowledge space in which every</w:t>
      </w:r>
      <w:r>
        <w:t xml:space="preserve"> </w:t>
      </w:r>
      <w:r>
        <w:t xml:space="preserve">governed attribute stays inside its acceptance criterion. The normal operating range sits</w:t>
      </w:r>
      <w:r>
        <w:t xml:space="preserve"> </w:t>
      </w:r>
      <w:r>
        <w:t xml:space="preserve">inside the design space and is where the process is held in routine manufacture. Ranges are</w:t>
      </w:r>
      <w:r>
        <w:t xml:space="preserve"> </w:t>
      </w:r>
      <w:r>
        <w:t xml:space="preserve">studied beyond the normal operating range for two reasons: an excursion outside the routine</w:t>
      </w:r>
      <w:r>
        <w:t xml:space="preserve"> </w:t>
      </w:r>
      <w:r>
        <w:t xml:space="preserve">range can then be assessed against data instead of against judgement, and a later process</w:t>
      </w:r>
      <w:r>
        <w:t xml:space="preserve"> </w:t>
      </w:r>
      <w:r>
        <w:t xml:space="preserve">improvement has a basis that does not need a new characterization campaign.</w:t>
      </w:r>
    </w:p>
    <w:p>
      <w:pPr>
        <w:pStyle w:val="BodyText"/>
      </w:pPr>
      <w:r>
        <w:t xml:space="preserve">The control strategy that this campaign feeds has four elements. The first is the set of</w:t>
      </w:r>
      <w:r>
        <w:t xml:space="preserve"> </w:t>
      </w:r>
      <w:r>
        <w:t xml:space="preserve">parameter ranges and the classification behind each of them. The second is the in-process</w:t>
      </w:r>
      <w:r>
        <w:t xml:space="preserve"> </w:t>
      </w:r>
      <w:r>
        <w:t xml:space="preserve">monitoring and the in-process limits at the points where a deviation can still be caught.</w:t>
      </w:r>
      <w:r>
        <w:t xml:space="preserve"> </w:t>
      </w:r>
      <w:r>
        <w:t xml:space="preserve">The third is release testing of the drug substance against the criteria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, which</w:t>
      </w:r>
      <w:r>
        <w:t xml:space="preserve"> </w:t>
      </w:r>
      <w:r>
        <w:t xml:space="preserve">is the final confirmation that each attribute is where the process design says it should be.</w:t>
      </w:r>
      <w:r>
        <w:t xml:space="preserve"> </w:t>
      </w:r>
      <w:r>
        <w:t xml:space="preserve">The fourth is the set of</w:t>
      </w:r>
      <w:r>
        <w:t xml:space="preserve"> </w:t>
      </w:r>
      <w:r>
        <w:t xml:space="preserve">lifecycle controls, such as resin and membrane use limits, buffer and feed controls, and</w:t>
      </w:r>
      <w:r>
        <w:t xml:space="preserve"> </w:t>
      </w:r>
      <w:r>
        <w:t xml:space="preserve">the change control that governs movement inside and outside the design space. Each</w:t>
      </w:r>
      <w:r>
        <w:t xml:space="preserve"> </w:t>
      </w:r>
      <w:r>
        <w:t xml:space="preserve">characterization plan states which of these elements its step is expected to contribute to,</w:t>
      </w:r>
      <w:r>
        <w:t xml:space="preserve"> </w:t>
      </w:r>
      <w:r>
        <w:t xml:space="preserve">and the report for the step states what it in fact contributed.</w:t>
      </w:r>
    </w:p>
    <w:p>
      <w:pPr>
        <w:pStyle w:val="BodyText"/>
      </w:pPr>
      <w:r>
        <w:t xml:space="preserve">Prior platform knowledge carries a large part of the argument. A-Mab is produced on a</w:t>
      </w:r>
      <w:r>
        <w:t xml:space="preserve"> </w:t>
      </w:r>
      <w:r>
        <w:t xml:space="preserve">humanized IgG1 platform that has supported three licensed antibodies (X-Mab, Y-Mab and</w:t>
      </w:r>
      <w:r>
        <w:t xml:space="preserve"> </w:t>
      </w:r>
      <w:r>
        <w:t xml:space="preserve">Z-Mab) and several clinical programmes. The mechanisms by which the platform steps act on</w:t>
      </w:r>
      <w:r>
        <w:t xml:space="preserve"> </w:t>
      </w:r>
      <w:r>
        <w:t xml:space="preserve">quality attributes are established, so this campaign confirms and bounds platform behaviour</w:t>
      </w:r>
      <w:r>
        <w:t xml:space="preserve"> </w:t>
      </w:r>
      <w:r>
        <w:t xml:space="preserve">instead of discovering it. Where prior knowledge is transferred to A-Mab, the plan for the</w:t>
      </w:r>
      <w:r>
        <w:t xml:space="preserve"> </w:t>
      </w:r>
      <w:r>
        <w:t xml:space="preserve">step states the mechanism that makes the transfer valid, and does not rest on similarity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The plan and the report for a step deliver, between them, a characterized region for the</w:t>
      </w:r>
      <w:r>
        <w:t xml:space="preserve"> </w:t>
      </w:r>
      <w:r>
        <w:t xml:space="preserve">parameters studied, proven acceptable ranges for the parameters that govern an attribute, a</w:t>
      </w:r>
      <w:r>
        <w:t xml:space="preserve"> </w:t>
      </w:r>
      <w:r>
        <w:t xml:space="preserve">classification for every parameter of the step, and a statement of what the step</w:t>
      </w:r>
      <w:r>
        <w:t xml:space="preserve"> </w:t>
      </w:r>
      <w:r>
        <w:t xml:space="preserve">contributes to the control strategy. Characterization on scale-down models does not qualify</w:t>
      </w:r>
      <w:r>
        <w:t xml:space="preserve"> </w:t>
      </w:r>
      <w:r>
        <w:t xml:space="preserve">the commercial process. That is the purpose of Stage 2, in which 5 process</w:t>
      </w:r>
      <w:r>
        <w:t xml:space="preserve"> </w:t>
      </w:r>
      <w:r>
        <w:t xml:space="preserve">performance qualification batches are run at commercial scale under a separate protocol.</w:t>
      </w:r>
    </w:p>
    <w:bookmarkEnd w:id="14"/>
    <w:bookmarkStart w:id="16" w:name="critical-quality-attribute-framework"/>
    <w:p>
      <w:pPr>
        <w:pStyle w:val="Heading1"/>
      </w:pPr>
      <w:r>
        <w:t xml:space="preserve">3. Critical quality attribute framework</w:t>
      </w:r>
    </w:p>
    <w:p>
      <w:pPr>
        <w:pStyle w:val="FirstParagraph"/>
      </w:pPr>
      <w:r>
        <w:t xml:space="preserve">The process must control 10 drug substance quality attributes. They are given</w:t>
      </w:r>
      <w:r>
        <w:t xml:space="preserve"> </w:t>
      </w:r>
      <w:r>
        <w:t xml:space="preserve">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with their acceptance criteria, their criticality and the step the register</w:t>
      </w:r>
      <w:r>
        <w:t xml:space="preserve"> </w:t>
      </w:r>
      <w:r>
        <w:t xml:space="preserve">names as governing each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Drug substance quality attributes in scope of the campaign, with acceptance criteria, criticality (Tool #1 score) and the governing process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06"/>
              <w:gridCol w:w="950"/>
              <w:gridCol w:w="1478"/>
              <w:gridCol w:w="792"/>
              <w:gridCol w:w="580"/>
              <w:gridCol w:w="21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Governing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3 — 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3 — 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3 — 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3 — 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3 — 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3 — 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3 — 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5 — 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6 — 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8 — Anion Exchange Chromatography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register carries 6 attributes of high or very high criticality, and</w:t>
      </w:r>
      <w:r>
        <w:t xml:space="preserve"> </w:t>
      </w:r>
      <w:r>
        <w:t xml:space="preserve">those are the ones treated as critical</w:t>
      </w:r>
      <w:r>
        <w:t xml:space="preserve"> </w:t>
      </w:r>
      <w:r>
        <w:t xml:space="preserve">(CMC Biotech Working Group 2009)</w:t>
      </w:r>
      <w:r>
        <w:t xml:space="preserve">. Criticality follows the impact and</w:t>
      </w:r>
      <w:r>
        <w:t xml:space="preserve"> </w:t>
      </w:r>
      <w:r>
        <w:t xml:space="preserve">uncertainty assessment of the case study (Tool #1), in which the score is the product of the</w:t>
      </w:r>
      <w:r>
        <w:t xml:space="preserve"> </w:t>
      </w:r>
      <w:r>
        <w:t xml:space="preserve">impact of the attribute on the patient and the uncertainty in that impact, so that an</w:t>
      </w:r>
      <w:r>
        <w:t xml:space="preserve"> </w:t>
      </w:r>
      <w:r>
        <w:t xml:space="preserve">attribute of moderate impact can still be ranked critical when little is known about how it</w:t>
      </w:r>
      <w:r>
        <w:t xml:space="preserve"> </w:t>
      </w:r>
      <w:r>
        <w:t xml:space="preserve">behaves. High mannose carries the highest score in the register, which combines a high</w:t>
      </w:r>
      <w:r>
        <w:t xml:space="preserve"> </w:t>
      </w:r>
      <w:r>
        <w:t xml:space="preserve">impact with the largest uncertainty of the glycan attributes. Afucosylation and</w:t>
      </w:r>
      <w:r>
        <w:t xml:space="preserve"> </w:t>
      </w:r>
      <w:r>
        <w:t xml:space="preserve">galactosylation are linked to efficacy through the effector functions of the antibody (ADCC</w:t>
      </w:r>
      <w:r>
        <w:t xml:space="preserve"> </w:t>
      </w:r>
      <w:r>
        <w:t xml:space="preserve">and CDC), and all three glycan attributes are formed in cell culture.</w:t>
      </w:r>
    </w:p>
    <w:p>
      <w:pPr>
        <w:pStyle w:val="BodyText"/>
      </w:pPr>
      <w:r>
        <w:t xml:space="preserve">The 2 attributes at the low end of the register are still carried through</w:t>
      </w:r>
      <w:r>
        <w:t xml:space="preserve"> </w:t>
      </w:r>
      <w:r>
        <w:t xml:space="preserve">the campaign. Acidic charge variants (deamidation) and residual DNA are both assigned very</w:t>
      </w:r>
      <w:r>
        <w:t xml:space="preserve"> </w:t>
      </w:r>
      <w:r>
        <w:t xml:space="preserve">low criticality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, and that assignment is an input to this plan and is not</w:t>
      </w:r>
      <w:r>
        <w:t xml:space="preserve"> </w:t>
      </w:r>
      <w:r>
        <w:t xml:space="preserve">revisited here. Both are measured in the studies of the steps that could plausibly move</w:t>
      </w:r>
      <w:r>
        <w:t xml:space="preserve"> </w:t>
      </w:r>
      <w:r>
        <w:t xml:space="preserve">them, and both are tested at release. An attribute of low criticality is not dropped from</w:t>
      </w:r>
      <w:r>
        <w:t xml:space="preserve"> </w:t>
      </w:r>
      <w:r>
        <w:t xml:space="preserve">the assessment, because the assignment itself carries uncertainty and because such an</w:t>
      </w:r>
      <w:r>
        <w:t xml:space="preserve"> </w:t>
      </w:r>
      <w:r>
        <w:t xml:space="preserve">attribute can still show that a step is behaving as the process model says it should (§2).</w:t>
      </w:r>
    </w:p>
    <w:p>
      <w:pPr>
        <w:pStyle w:val="BodyText"/>
      </w:pPr>
      <w:r>
        <w:t xml:space="preserve">The form of the criterion follows the kind of risk the attribute carries.</w:t>
      </w:r>
      <w:r>
        <w:t xml:space="preserve"> </w:t>
      </w:r>
      <w:r>
        <w:t xml:space="preserve">3 attributes carry a two-sided range, because both a low and a high</w:t>
      </w:r>
      <w:r>
        <w:t xml:space="preserve"> </w:t>
      </w:r>
      <w:r>
        <w:t xml:space="preserve">result are a quality concern (the glycan attributes). The process impurities and the size</w:t>
      </w:r>
      <w:r>
        <w:t xml:space="preserve"> </w:t>
      </w:r>
      <w:r>
        <w:t xml:space="preserve">and charge variants carry an upper limit only, since the concern is an elevated level. The</w:t>
      </w:r>
      <w:r>
        <w:t xml:space="preserve"> </w:t>
      </w:r>
      <w:r>
        <w:t xml:space="preserve">2 viral safety attributes carry a lower limit, expressed as a cumulative</w:t>
      </w:r>
      <w:r>
        <w:t xml:space="preserve"> </w:t>
      </w:r>
      <w:r>
        <w:t xml:space="preserve">log reduction across the process. The acceptance column of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prints an interval for</w:t>
      </w:r>
      <w:r>
        <w:t xml:space="preserve"> </w:t>
      </w:r>
      <w:r>
        <w:t xml:space="preserve">every attribute, so a one-sided criterion appears there with both of its bounds. Only the</w:t>
      </w:r>
      <w:r>
        <w:t xml:space="preserve"> </w:t>
      </w:r>
      <w:r>
        <w:t xml:space="preserve">upper bound of the charge variant criterion is a limit, and for the viral safety attributes</w:t>
      </w:r>
      <w:r>
        <w:t xml:space="preserve"> </w:t>
      </w:r>
      <w:r>
        <w:t xml:space="preserve">only the lower bound is.</w:t>
      </w:r>
    </w:p>
    <w:p>
      <w:pPr>
        <w:pStyle w:val="BodyText"/>
      </w:pPr>
      <w:r>
        <w:t xml:space="preserve">Most of the attributes are attributed to the production bioreactor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(7 of 10), which is why Step</w:t>
      </w:r>
      <w:r>
        <w:t xml:space="preserve"> </w:t>
      </w:r>
      <w:r>
        <w:t xml:space="preserve">3 carries the largest study of the campaign (§4). The attribution needs qualifying for the process impurities. Host cell</w:t>
      </w:r>
      <w:r>
        <w:t xml:space="preserve"> </w:t>
      </w:r>
      <w:r>
        <w:t xml:space="preserve">protein and residual DNA arise in cell culture, but the level in drug substance is set by</w:t>
      </w:r>
      <w:r>
        <w:t xml:space="preserve"> </w:t>
      </w:r>
      <w:r>
        <w:t xml:space="preserve">the clearance achieved in the purification train, and that clearance is characterized in</w:t>
      </w:r>
      <w:r>
        <w:t xml:space="preserve"> </w:t>
      </w:r>
      <w:r>
        <w:t xml:space="preserve">PCP-005, PCP-007 and PCP-008. Leached Protein A sits differently again. It is attributed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to the</w:t>
      </w:r>
      <w:r>
        <w:t xml:space="preserve"> </w:t>
      </w:r>
      <w:r>
        <w:t xml:space="preserve">capture step, because it leaches from the resin there, and the parameters that govern how</w:t>
      </w:r>
      <w:r>
        <w:t xml:space="preserve"> </w:t>
      </w:r>
      <w:r>
        <w:t xml:space="preserve">much of it appears are studied in PCP-005.</w:t>
      </w:r>
    </w:p>
    <w:p>
      <w:pPr>
        <w:pStyle w:val="BodyText"/>
      </w:pPr>
      <w:r>
        <w:t xml:space="preserve">The 2 viral clearance attributes are cumulative claims, and no single step</w:t>
      </w:r>
      <w:r>
        <w:t xml:space="preserve"> </w:t>
      </w:r>
      <w:r>
        <w:t xml:space="preserve">delivers either of them.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the enveloped virus claim is attributed to low-pH viral</w:t>
      </w:r>
      <w:r>
        <w:t xml:space="preserve"> </w:t>
      </w:r>
      <w:r>
        <w:t xml:space="preserve">inactivation and the parvovirus claim to anion exchange chromatography. Those attributions</w:t>
      </w:r>
      <w:r>
        <w:t xml:space="preserve"> </w:t>
      </w:r>
      <w:r>
        <w:t xml:space="preserve">name the step that sets the cumulative result, and not the only step that clears virus. The</w:t>
      </w:r>
      <w:r>
        <w:t xml:space="preserve"> </w:t>
      </w:r>
      <w:r>
        <w:t xml:space="preserve">enveloped virus claim is carried by three steps with orthogonal mechanisms, which are the</w:t>
      </w:r>
      <w:r>
        <w:t xml:space="preserve"> </w:t>
      </w:r>
      <w:r>
        <w:t xml:space="preserve">low-pH hold, anion exchange chromatography and small virus retentive filtration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The parvovirus claim is carried by anion exchange chromatography and small virus retentive</w:t>
      </w:r>
      <w:r>
        <w:t xml:space="preserve"> </w:t>
      </w:r>
      <w:r>
        <w:t xml:space="preserve">filtration alone, because a low-pH hold does not inactivate a virus that has no envelope.</w:t>
      </w:r>
      <w:r>
        <w:t xml:space="preserve"> </w:t>
      </w:r>
      <w:r>
        <w:t xml:space="preserve">The plan for each of those steps states the log reduction its own study must support for the</w:t>
      </w:r>
      <w:r>
        <w:t xml:space="preserve"> </w:t>
      </w:r>
      <w:r>
        <w:t xml:space="preserve">attribute that step clears, and both cumulative claims are consolidated in PCMR-001.</w:t>
      </w:r>
    </w:p>
    <w:p>
      <w:pPr>
        <w:pStyle w:val="BodyText"/>
      </w:pPr>
      <w:r>
        <w:t xml:space="preserve">The criteria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inputs to this campaign. They come from the clinical and</w:t>
      </w:r>
      <w:r>
        <w:t xml:space="preserve"> </w:t>
      </w:r>
      <w:r>
        <w:t xml:space="preserve">non-clinical data package and from prior product experience, and this plan does not</w:t>
      </w:r>
      <w:r>
        <w:t xml:space="preserve"> </w:t>
      </w:r>
      <w:r>
        <w:t xml:space="preserve">re-derive them. Where a study shows that a criterion cannot be met across the ranges</w:t>
      </w:r>
      <w:r>
        <w:t xml:space="preserve"> </w:t>
      </w:r>
      <w:r>
        <w:t xml:space="preserve">studied, the finding is reported in the step’s report and the criterion is not adjusted to</w:t>
      </w:r>
      <w:r>
        <w:t xml:space="preserve"> </w:t>
      </w:r>
      <w:r>
        <w:t xml:space="preserve">fit the result.</w:t>
      </w:r>
    </w:p>
    <w:bookmarkEnd w:id="16"/>
    <w:bookmarkStart w:id="18" w:name="risk-based-prioritization"/>
    <w:p>
      <w:pPr>
        <w:pStyle w:val="Heading1"/>
      </w:pPr>
      <w:r>
        <w:t xml:space="preserve">4. Risk-based prioritization</w:t>
      </w:r>
    </w:p>
    <w:p>
      <w:pPr>
        <w:pStyle w:val="FirstParagraph"/>
      </w:pPr>
      <w:r>
        <w:t xml:space="preserve">RA-001 sets the scope of the campaign, and this plan does not repeat the assessment. The</w:t>
      </w:r>
      <w:r>
        <w:t xml:space="preserve"> </w:t>
      </w:r>
      <w:r>
        <w:t xml:space="preserve">output of RA-001 is a study type for every parameter, summarized by unit operation in</w:t>
      </w:r>
      <w:r>
        <w:t xml:space="preserve"> </w:t>
      </w:r>
      <w:hyperlink w:anchor="tbl-scope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Characterization scope by unit operation. Parameters carried into the campaign, the study-type split assigned by RA-001, and the covering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3"/>
              <w:gridCol w:w="2564"/>
              <w:gridCol w:w="1056"/>
              <w:gridCol w:w="1206"/>
              <w:gridCol w:w="1056"/>
              <w:gridCol w:w="14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The assessment ranks each parameter twice, once on its potential impact on a quality</w:t>
      </w:r>
      <w:r>
        <w:t xml:space="preserve"> </w:t>
      </w:r>
      <w:r>
        <w:t xml:space="preserve">attribute and once on its potential to interact with other parameters</w:t>
      </w:r>
      <w:r>
        <w:t xml:space="preserve"> </w:t>
      </w:r>
      <w:r>
        <w:t xml:space="preserve">(CMC Biotech Working Group 2009; International Council for Harmonisation 2023b)</w:t>
      </w:r>
      <w:r>
        <w:t xml:space="preserve">.</w:t>
      </w:r>
      <w:r>
        <w:t xml:space="preserve"> </w:t>
      </w:r>
      <w:r>
        <w:t xml:space="preserve">The two rankings are combined into a score, and the score decides the study type. Where no</w:t>
      </w:r>
      <w:r>
        <w:t xml:space="preserve"> </w:t>
      </w:r>
      <w:r>
        <w:t xml:space="preserve">data or rationale was available for a parameter it was ranked at the highest level, which is</w:t>
      </w:r>
      <w:r>
        <w:t xml:space="preserve"> </w:t>
      </w:r>
      <w:r>
        <w:t xml:space="preserve">the conservative default of the case study. No parameter was excluded from the campaign by</w:t>
      </w:r>
      <w:r>
        <w:t xml:space="preserve"> </w:t>
      </w:r>
      <w:r>
        <w:t xml:space="preserve">the assessment, and the parameters that RA-001 does not link to a quality attribute are</w:t>
      </w:r>
      <w:r>
        <w:t xml:space="preserve"> </w:t>
      </w:r>
      <w:r>
        <w:t xml:space="preserve">studied against the performance of their own step.</w:t>
      </w:r>
    </w:p>
    <w:p>
      <w:pPr>
        <w:pStyle w:val="BodyText"/>
      </w:pPr>
      <w:r>
        <w:t xml:space="preserve">Of the 37 parameters carried into the assessment, 22 are</w:t>
      </w:r>
      <w:r>
        <w:t xml:space="preserve"> </w:t>
      </w:r>
      <w:r>
        <w:t xml:space="preserve">assigned to a multivariate design and 15 to univariate study.</w:t>
      </w:r>
      <w:r>
        <w:t xml:space="preserve"> </w:t>
      </w:r>
      <w:r>
        <w:t xml:space="preserve">6 of the 8 unit operations therefore carry a</w:t>
      </w:r>
      <w:r>
        <w:t xml:space="preserve"> </w:t>
      </w:r>
      <w:r>
        <w:t xml:space="preserve">multivariate design. The other 2 are harvest and clarification</w:t>
      </w:r>
      <w:r>
        <w:t xml:space="preserve"> </w:t>
      </w:r>
      <w:r>
        <w:t xml:space="preserve">(PCP-004) and the UF/DF step (PCP-010). Neither of them governs an attribute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, so</w:t>
      </w:r>
      <w:r>
        <w:t xml:space="preserve"> </w:t>
      </w:r>
      <w:r>
        <w:t xml:space="preserve">their parameters are studied one at a time and are assessed against process performance and</w:t>
      </w:r>
      <w:r>
        <w:t xml:space="preserve"> </w:t>
      </w:r>
      <w:r>
        <w:t xml:space="preserve">against the material each step delivers to the step after it.</w:t>
      </w:r>
    </w:p>
    <w:p>
      <w:pPr>
        <w:pStyle w:val="BodyText"/>
      </w:pPr>
      <w:r>
        <w:t xml:space="preserve">The production bioreactor carries the most parameters and the largest multivariate design</w:t>
      </w:r>
      <w:r>
        <w:t xml:space="preserve"> </w:t>
      </w:r>
      <w:r>
        <w:t xml:space="preserve">(5 of 9), which follows</w:t>
      </w:r>
      <w:r>
        <w:t xml:space="preserve"> </w:t>
      </w:r>
      <w:r>
        <w:t xml:space="preserve">from the number of attributes it governs. Small virus retentive filtration carries the</w:t>
      </w:r>
      <w:r>
        <w:t xml:space="preserve"> </w:t>
      </w:r>
      <w:r>
        <w:t xml:space="preserve">fewest parameters, and both go into its multivariate design, because RA-001 expects</w:t>
      </w:r>
      <w:r>
        <w:t xml:space="preserve"> </w:t>
      </w:r>
      <w:r>
        <w:t xml:space="preserve">volumetric load and pressure to act together on virus retention. The capture and polishing</w:t>
      </w:r>
      <w:r>
        <w:t xml:space="preserve"> </w:t>
      </w:r>
      <w:r>
        <w:t xml:space="preserve">steps sit between the two.</w:t>
      </w:r>
      <w:r>
        <w:t xml:space="preserve"> </w:t>
      </w:r>
      <w:r>
        <w:t xml:space="preserve">Each carries a multivariate design in the parameters that govern its clearance and its pool</w:t>
      </w:r>
      <w:r>
        <w:t xml:space="preserve"> </w:t>
      </w:r>
      <w:r>
        <w:t xml:space="preserve">quality, and the remaining parameters are studied univariately.</w:t>
      </w:r>
    </w:p>
    <w:p>
      <w:pPr>
        <w:pStyle w:val="BodyText"/>
      </w:pPr>
      <w:r>
        <w:t xml:space="preserve">The assignment is prospective. It reflects what was known before the studies were executed,</w:t>
      </w:r>
      <w:r>
        <w:t xml:space="preserve"> </w:t>
      </w:r>
      <w:r>
        <w:t xml:space="preserve">and it is revisited when the reports are written. A parameter that shows no significant</w:t>
      </w:r>
      <w:r>
        <w:t xml:space="preserve"> </w:t>
      </w:r>
      <w:r>
        <w:t xml:space="preserve">effect is still classified, and it stays in the knowledge space as evidence of robustness. A</w:t>
      </w:r>
      <w:r>
        <w:t xml:space="preserve"> </w:t>
      </w:r>
      <w:r>
        <w:t xml:space="preserve">parameter assigned to univariate study is not moved into a multivariate design during</w:t>
      </w:r>
      <w:r>
        <w:t xml:space="preserve"> </w:t>
      </w:r>
      <w:r>
        <w:t xml:space="preserve">execution without a documented change to its plan.</w:t>
      </w:r>
    </w:p>
    <w:bookmarkEnd w:id="18"/>
    <w:bookmarkStart w:id="20" w:name="scale-down-model-strategy"/>
    <w:p>
      <w:pPr>
        <w:pStyle w:val="Heading1"/>
      </w:pPr>
      <w:r>
        <w:t xml:space="preserve">5. Scale-down model strategy</w:t>
      </w:r>
    </w:p>
    <w:p>
      <w:pPr>
        <w:pStyle w:val="FirstParagraph"/>
      </w:pPr>
      <w:r>
        <w:t xml:space="preserve">Every characterization study is executed on a scale-down model that has been qualified</w:t>
      </w:r>
      <w:r>
        <w:t xml:space="preserve"> </w:t>
      </w:r>
      <w:r>
        <w:t xml:space="preserve">against the commercial scale process before the study starts. Qualification is performed</w:t>
      </w:r>
      <w:r>
        <w:t xml:space="preserve"> </w:t>
      </w:r>
      <w:r>
        <w:t xml:space="preserve">under SOP-1001 and is reported in the step’s report. The model is the warrant for applying a</w:t>
      </w:r>
      <w:r>
        <w:t xml:space="preserve"> </w:t>
      </w:r>
      <w:r>
        <w:t xml:space="preserve">small scale result to commercial manufacture, so each plan states its qualification before</w:t>
      </w:r>
      <w:r>
        <w:t xml:space="preserve"> </w:t>
      </w:r>
      <w:r>
        <w:t xml:space="preserve">it states the study design.</w:t>
      </w:r>
    </w:p>
    <w:p>
      <w:pPr>
        <w:pStyle w:val="BodyText"/>
      </w:pPr>
      <w:r>
        <w:t xml:space="preserve">The models are built on the principle that scale-independent parameters (pH, temperature,</w:t>
      </w:r>
      <w:r>
        <w:t xml:space="preserve"> </w:t>
      </w:r>
      <w:r>
        <w:t xml:space="preserve">dissolved oxygen, culture duration) are operated at the commercial set-points, while</w:t>
      </w:r>
      <w:r>
        <w:t xml:space="preserve"> </w:t>
      </w:r>
      <w:r>
        <w:t xml:space="preserve">scale-dependent parameters (agitation, gas flow, pressure, working volume) are set so that</w:t>
      </w:r>
      <w:r>
        <w:t xml:space="preserve"> </w:t>
      </w:r>
      <w:r>
        <w:t xml:space="preserve">the small system matches the performance of the large one. For the production bioreactor</w:t>
      </w:r>
      <w:r>
        <w:t xml:space="preserve"> </w:t>
      </w:r>
      <w:r>
        <w:t xml:space="preserve">this means reproducing the mass transfer and the dissolved carbon dioxide profile of the</w:t>
      </w:r>
      <w:r>
        <w:t xml:space="preserve"> </w:t>
      </w:r>
      <w:r>
        <w:t xml:space="preserve">15,000 L vessel, and it does not mean geometric similarity to it. In</w:t>
      </w:r>
      <w:r>
        <w:t xml:space="preserve"> </w:t>
      </w:r>
      <w:r>
        <w:t xml:space="preserve">chromatography, bed height, linear velocity, load in grams per litre of resin and all wash</w:t>
      </w:r>
      <w:r>
        <w:t xml:space="preserve"> </w:t>
      </w:r>
      <w:r>
        <w:t xml:space="preserve">and elution volumes in column volumes are kept as they are at commercial scale, and column</w:t>
      </w:r>
      <w:r>
        <w:t xml:space="preserve"> </w:t>
      </w:r>
      <w:r>
        <w:t xml:space="preserve">efficiency is confirmed by plate count and peak asymmetry.</w:t>
      </w:r>
    </w:p>
    <w:p>
      <w:pPr>
        <w:pStyle w:val="BodyText"/>
      </w:pPr>
      <w:r>
        <w:t xml:space="preserve">Qualification compares replicate runs at set-point conditions with commercial or pilot scale</w:t>
      </w:r>
      <w:r>
        <w:t xml:space="preserve"> </w:t>
      </w:r>
      <w:r>
        <w:t xml:space="preserve">data, on the attributes the step governs and on step performance. The comparison is</w:t>
      </w:r>
      <w:r>
        <w:t xml:space="preserve"> </w:t>
      </w:r>
      <w:r>
        <w:t xml:space="preserve">quantitative and its acceptance criterion is set in the step’s plan, because the attributes</w:t>
      </w:r>
      <w:r>
        <w:t xml:space="preserve"> </w:t>
      </w:r>
      <w:r>
        <w:t xml:space="preserve">and the amount of data available at scale differ from step to step. Where a difference is</w:t>
      </w:r>
      <w:r>
        <w:t xml:space="preserve"> </w:t>
      </w:r>
      <w:r>
        <w:t xml:space="preserve">found, the plan states whether the model is modified or the difference is bounded and</w:t>
      </w:r>
      <w:r>
        <w:t xml:space="preserve"> </w:t>
      </w:r>
      <w:r>
        <w:t xml:space="preserve">carried forward as a limitation on the claims the study can support.</w:t>
      </w:r>
    </w:p>
    <w:p>
      <w:pPr>
        <w:pStyle w:val="BodyText"/>
      </w:pPr>
      <w:r>
        <w:t xml:space="preserve">A downstream step is characterized on load material that represents the nominal output of</w:t>
      </w:r>
      <w:r>
        <w:t xml:space="preserve"> </w:t>
      </w:r>
      <w:r>
        <w:t xml:space="preserve">the step before it, so that the effect of the parameters under study is not confounded with</w:t>
      </w:r>
      <w:r>
        <w:t xml:space="preserve"> </w:t>
      </w:r>
      <w:r>
        <w:t xml:space="preserve">variation in the load. Where a study deliberately challenges the load with an extreme input,</w:t>
      </w:r>
      <w:r>
        <w:t xml:space="preserve"> </w:t>
      </w:r>
      <w:r>
        <w:t xml:space="preserve">that challenge is described in the plan and the input is carried as a factor of the design.</w:t>
      </w:r>
      <w:r>
        <w:t xml:space="preserve"> </w:t>
      </w:r>
      <w:r>
        <w:t xml:space="preserve">The load for a given design is prepared under the same conditions across all of its runs,</w:t>
      </w:r>
      <w:r>
        <w:t xml:space="preserve"> </w:t>
      </w:r>
      <w:r>
        <w:t xml:space="preserve">and its identity and quality are confirmed before the study starts, because a shift in the</w:t>
      </w:r>
      <w:r>
        <w:t xml:space="preserve"> </w:t>
      </w:r>
      <w:r>
        <w:t xml:space="preserve">load during execution appears in the analysis as an effect of whatever parameter happened to</w:t>
      </w:r>
      <w:r>
        <w:t xml:space="preserve"> </w:t>
      </w:r>
      <w:r>
        <w:t xml:space="preserve">change with it.</w:t>
      </w:r>
    </w:p>
    <w:p>
      <w:pPr>
        <w:pStyle w:val="BodyText"/>
      </w:pPr>
      <w:r>
        <w:t xml:space="preserve">The viral clearance steps need a further model. Spiked runs cannot be performed in the</w:t>
      </w:r>
      <w:r>
        <w:t xml:space="preserve"> </w:t>
      </w:r>
      <w:r>
        <w:t xml:space="preserve">manufacturing facility, so the whole clearance claim rests on a qualified small scale</w:t>
      </w:r>
      <w:r>
        <w:t xml:space="preserve"> </w:t>
      </w:r>
      <w:r>
        <w:t xml:space="preserve">spiking model</w:t>
      </w:r>
      <w:r>
        <w:t xml:space="preserve"> </w:t>
      </w:r>
      <w:r>
        <w:t xml:space="preserve">(International Council for Harmonisation 2023a)</w:t>
      </w:r>
      <w:r>
        <w:t xml:space="preserve">. Each of the three viral step plans (PCP-006, PCP-008 and PCP-009)</w:t>
      </w:r>
      <w:r>
        <w:t xml:space="preserve"> </w:t>
      </w:r>
      <w:r>
        <w:t xml:space="preserve">states how the spiking model is qualified, how the virus stock is prepared and titred, and</w:t>
      </w:r>
      <w:r>
        <w:t xml:space="preserve"> </w:t>
      </w:r>
      <w:r>
        <w:t xml:space="preserve">how the cytotoxicity and interference controls are run. The limitations of the spiking</w:t>
      </w:r>
      <w:r>
        <w:t xml:space="preserve"> </w:t>
      </w:r>
      <w:r>
        <w:t xml:space="preserve">approach are stated in those plans and are carried into the cumulative claim in PCMR-001.</w:t>
      </w:r>
    </w:p>
    <w:p>
      <w:pPr>
        <w:pStyle w:val="BodyText"/>
      </w:pPr>
      <w:r>
        <w:t xml:space="preserve">Each multivariate design includes replicated centre points at the centre of the region</w:t>
      </w:r>
      <w:r>
        <w:t xml:space="preserve"> </w:t>
      </w:r>
      <w:r>
        <w:t xml:space="preserve">studied. They provide the pure error estimate that the lack-of-fit test needs (§6), and they</w:t>
      </w:r>
      <w:r>
        <w:t xml:space="preserve"> </w:t>
      </w:r>
      <w:r>
        <w:t xml:space="preserve">act as a check inside the study that the scale-down system still reproduces its centre-point</w:t>
      </w:r>
      <w:r>
        <w:t xml:space="preserve"> </w:t>
      </w:r>
      <w:r>
        <w:t xml:space="preserve">condition after the extreme runs of the design have been executed.</w:t>
      </w:r>
    </w:p>
    <w:p>
      <w:pPr>
        <w:pStyle w:val="BodyText"/>
      </w:pPr>
      <w:r>
        <w:t xml:space="preserve">The scale-down systems are instrumented and are held under calibration and change control.</w:t>
      </w:r>
      <w:r>
        <w:t xml:space="preserve"> </w:t>
      </w:r>
      <w:r>
        <w:t xml:space="preserve">An excursion in calibration status, in a material lot or in the operation of a run is</w:t>
      </w:r>
      <w:r>
        <w:t xml:space="preserve"> </w:t>
      </w:r>
      <w:r>
        <w:t xml:space="preserve">recorded as a deviation, investigated, and assessed for impact in the report of the affected</w:t>
      </w:r>
      <w:r>
        <w:t xml:space="preserve"> </w:t>
      </w:r>
      <w:r>
        <w:t xml:space="preserve">step. The controlled procedures and validated analytical methods the campaign is executed</w:t>
      </w:r>
      <w:r>
        <w:t xml:space="preserve"> </w:t>
      </w:r>
      <w:r>
        <w:t xml:space="preserve">under are listed in</w:t>
      </w:r>
      <w:r>
        <w:t xml:space="preserve"> </w:t>
      </w:r>
      <w:hyperlink w:anchor="tbl-doc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do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under which the characterization campaign is executed. Numbers are placeholders in this synthetic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A qualified scale-down model supports conclusions about the effect of a parameter and about</w:t>
      </w:r>
      <w:r>
        <w:t xml:space="preserve"> </w:t>
      </w:r>
      <w:r>
        <w:t xml:space="preserve">the width of a range. It does not demonstrate commercial scale performance on its own.</w:t>
      </w:r>
      <w:r>
        <w:t xml:space="preserve"> </w:t>
      </w:r>
      <w:r>
        <w:t xml:space="preserve">Confirmation at scale is a Stage 2 activity, and each report states that boundary where it</w:t>
      </w:r>
      <w:r>
        <w:t xml:space="preserve"> </w:t>
      </w:r>
      <w:r>
        <w:t xml:space="preserve">states a capability.</w:t>
      </w:r>
    </w:p>
    <w:bookmarkEnd w:id="20"/>
    <w:bookmarkStart w:id="21" w:name="common-statistical-approach"/>
    <w:p>
      <w:pPr>
        <w:pStyle w:val="Heading1"/>
      </w:pPr>
      <w:r>
        <w:t xml:space="preserve">6. Common statistical approach</w:t>
      </w:r>
    </w:p>
    <w:p>
      <w:pPr>
        <w:pStyle w:val="FirstParagraph"/>
      </w:pPr>
      <w:r>
        <w:t xml:space="preserve">One analysis method is used at every step that has a multivariate design, so that results</w:t>
      </w:r>
      <w:r>
        <w:t xml:space="preserve"> </w:t>
      </w:r>
      <w:r>
        <w:t xml:space="preserve">can be compared across the train. The design is executed in two stages. A two-level</w:t>
      </w:r>
      <w:r>
        <w:t xml:space="preserve"> </w:t>
      </w:r>
      <w:r>
        <w:t xml:space="preserve">screening design identifies which parameters affect each response, and a response-surface</w:t>
      </w:r>
      <w:r>
        <w:t xml:space="preserve"> </w:t>
      </w:r>
      <w:r>
        <w:t xml:space="preserve">design in the parameters carried forward gives the predictive model. All analyses are</w:t>
      </w:r>
      <w:r>
        <w:t xml:space="preserve"> </w:t>
      </w:r>
      <w:r>
        <w:t xml:space="preserve">performed under SOP-1002.</w:t>
      </w:r>
    </w:p>
    <w:p>
      <w:pPr>
        <w:pStyle w:val="BodyText"/>
      </w:pPr>
      <w:r>
        <w:t xml:space="preserve">Factors are coded before analysis, so that effects can be compared between parameters</w:t>
      </w:r>
      <w:r>
        <w:t xml:space="preserve"> </w:t>
      </w:r>
      <w:r>
        <w:t xml:space="preserve">measured in different units. The coding is set by the range studied and not by the</w:t>
      </w:r>
      <w:r>
        <w:t xml:space="preserve"> </w:t>
      </w:r>
      <w:r>
        <w:t xml:space="preserve">set-point. The centre of the range is the coded level 0 and its edges are the coded levels</w:t>
      </w:r>
      <w:r>
        <w:t xml:space="preserve"> </w:t>
      </w:r>
      <w:r>
        <w:t xml:space="preserve">−1 and +1. The set-point lies inside the range for every parameter of the campaign, and it</w:t>
      </w:r>
      <w:r>
        <w:t xml:space="preserve"> </w:t>
      </w:r>
      <w:r>
        <w:t xml:space="preserve">lies at the centre of the range for 16 of the 22</w:t>
      </w:r>
      <w:r>
        <w:t xml:space="preserve"> </w:t>
      </w:r>
      <w:r>
        <w:t xml:space="preserve">parameters carried into a multivariate design. An effect is reported as the change in the</w:t>
      </w:r>
      <w:r>
        <w:t xml:space="preserve"> </w:t>
      </w:r>
      <w:r>
        <w:t xml:space="preserve">response across the whole range studied, which is twice the coded coefficient.</w:t>
      </w:r>
    </w:p>
    <w:p>
      <w:pPr>
        <w:pStyle w:val="BodyText"/>
      </w:pPr>
      <w:r>
        <w:t xml:space="preserve">The screening design is a two-level factorial in the parameters assigned to multivariate</w:t>
      </w:r>
      <w:r>
        <w:t xml:space="preserve"> </w:t>
      </w:r>
      <w:r>
        <w:t xml:space="preserve">study, augmented with replicated centre points. A full factorial is used where four or fewer</w:t>
      </w:r>
      <w:r>
        <w:t xml:space="preserve"> </w:t>
      </w:r>
      <w:r>
        <w:t xml:space="preserve">parameters are carried. Where five are carried, a Resolution V half fraction is used, which</w:t>
      </w:r>
      <w:r>
        <w:t xml:space="preserve"> </w:t>
      </w:r>
      <w:r>
        <w:t xml:space="preserve">keeps the main effects and the two-factor interactions unaliased with each other. The model</w:t>
      </w:r>
      <w:r>
        <w:t xml:space="preserve"> </w:t>
      </w:r>
      <w:r>
        <w:t xml:space="preserve">fitted to the screening data carries main effects and two-factor interactions, it is fitted</w:t>
      </w:r>
      <w:r>
        <w:t xml:space="preserve"> </w:t>
      </w:r>
      <w:r>
        <w:t xml:space="preserve">by ordinary least squares (OLS) on the coded factors, and terms are judged at α = 0.05.</w:t>
      </w:r>
    </w:p>
    <w:p>
      <w:pPr>
        <w:pStyle w:val="BodyText"/>
      </w:pPr>
      <w:r>
        <w:t xml:space="preserve">The response-surface design is a face-centred central composite design in the parameters</w:t>
      </w:r>
      <w:r>
        <w:t xml:space="preserve"> </w:t>
      </w:r>
      <w:r>
        <w:t xml:space="preserve">carried forward from screening. Its axial points sit on the faces of the cube, so every run</w:t>
      </w:r>
      <w:r>
        <w:t xml:space="preserve"> </w:t>
      </w:r>
      <w:r>
        <w:t xml:space="preserve">stays inside the range the plan justified. The fitted model is a full quadratic. The</w:t>
      </w:r>
      <w:r>
        <w:t xml:space="preserve"> </w:t>
      </w:r>
      <w:r>
        <w:t xml:space="preserve">screening model identifies the active parameters, and the response-surface model is the</w:t>
      </w:r>
      <w:r>
        <w:t xml:space="preserve"> </w:t>
      </w:r>
      <w:r>
        <w:t xml:space="preserve">predictive model and the basis of the design space. The screening design is close to</w:t>
      </w:r>
      <w:r>
        <w:t xml:space="preserve"> </w:t>
      </w:r>
      <w:r>
        <w:t xml:space="preserve">saturated, and its fit is not used to predict.</w:t>
      </w:r>
    </w:p>
    <w:p>
      <w:pPr>
        <w:pStyle w:val="BodyText"/>
      </w:pPr>
      <w:r>
        <w:t xml:space="preserve">The parameters assigned to univariate study are assessed one at a time across their range,</w:t>
      </w:r>
      <w:r>
        <w:t xml:space="preserve"> </w:t>
      </w:r>
      <w:r>
        <w:t xml:space="preserve">with the other parameters of the step held at their set-points. The response is compared</w:t>
      </w:r>
      <w:r>
        <w:t xml:space="preserve"> </w:t>
      </w:r>
      <w:r>
        <w:t xml:space="preserve">with its criterion and the range over which the criterion is met is reported as the proven</w:t>
      </w:r>
      <w:r>
        <w:t xml:space="preserve"> </w:t>
      </w:r>
      <w:r>
        <w:t xml:space="preserve">acceptable range for that parameter. A univariate study cannot detect an interaction, so a</w:t>
      </w:r>
      <w:r>
        <w:t xml:space="preserve"> </w:t>
      </w:r>
      <w:r>
        <w:t xml:space="preserve">parameter is assigned to one only where prior knowledge and the mechanism of the step give</w:t>
      </w:r>
      <w:r>
        <w:t xml:space="preserve"> </w:t>
      </w:r>
      <w:r>
        <w:t xml:space="preserve">no reason to expect that it interacts with the parameters in the multivariate design (§4).</w:t>
      </w:r>
    </w:p>
    <w:p>
      <w:pPr>
        <w:pStyle w:val="BodyText"/>
      </w:pPr>
      <w:r>
        <w:t xml:space="preserve">Responses that describe process performance, such as step yield, are modelled in the same</w:t>
      </w:r>
      <w:r>
        <w:t xml:space="preserve"> </w:t>
      </w:r>
      <w:r>
        <w:t xml:space="preserve">way as the quality attributes. They are judged against the performance expected of the step</w:t>
      </w:r>
      <w:r>
        <w:t xml:space="preserve"> </w:t>
      </w:r>
      <w:r>
        <w:t xml:space="preserve">and not against a drug substance criterion, and a parameter that moves a performance</w:t>
      </w:r>
      <w:r>
        <w:t xml:space="preserve"> </w:t>
      </w:r>
      <w:r>
        <w:t xml:space="preserve">response without moving a quality attribute is classified as a key process parameter (§7).</w:t>
      </w:r>
    </w:p>
    <w:p>
      <w:pPr>
        <w:pStyle w:val="BodyText"/>
      </w:pPr>
      <w:r>
        <w:t xml:space="preserve">Model adequacy is judged on four criteria, and all four are reported. The overall regression</w:t>
      </w:r>
      <w:r>
        <w:t xml:space="preserve"> </w:t>
      </w:r>
      <w:r>
        <w:t xml:space="preserve">must be significant. The adjusted coefficient of determination and the predicted coefficient</w:t>
      </w:r>
      <w:r>
        <w:t xml:space="preserve"> </w:t>
      </w:r>
      <w:r>
        <w:t xml:space="preserve">of determination, which comes from the PRESS statistic, must agree closely enough to show</w:t>
      </w:r>
      <w:r>
        <w:t xml:space="preserve"> </w:t>
      </w:r>
      <w:r>
        <w:t xml:space="preserve">that the model is not merely fitting its own data. The ANOVA lack-of-fit test against the</w:t>
      </w:r>
      <w:r>
        <w:t xml:space="preserve"> </w:t>
      </w:r>
      <w:r>
        <w:t xml:space="preserve">pure error from the centre point replicates must not be significant. The residual</w:t>
      </w:r>
      <w:r>
        <w:t xml:space="preserve"> </w:t>
      </w:r>
      <w:r>
        <w:t xml:space="preserve">diagnostics (residuals against predicted values, a normal probability plot, and observed</w:t>
      </w:r>
      <w:r>
        <w:t xml:space="preserve"> </w:t>
      </w:r>
      <w:r>
        <w:t xml:space="preserve">against predicted values) must show no structure. A model that fails the lack-of-fit test is</w:t>
      </w:r>
      <w:r>
        <w:t xml:space="preserve"> </w:t>
      </w:r>
      <w:r>
        <w:t xml:space="preserve">reported as descriptive and is not used to predict, because a model that cannot reproduce</w:t>
      </w:r>
      <w:r>
        <w:t xml:space="preserve"> </w:t>
      </w:r>
      <w:r>
        <w:t xml:space="preserve">its own centre points within the pure error of the assay gives no assurance at the edges of</w:t>
      </w:r>
      <w:r>
        <w:t xml:space="preserve"> </w:t>
      </w:r>
      <w:r>
        <w:t xml:space="preserve">the region, which is exactly where the design space is set.</w:t>
      </w:r>
    </w:p>
    <w:p>
      <w:pPr>
        <w:pStyle w:val="BodyText"/>
      </w:pPr>
      <w:r>
        <w:t xml:space="preserve">Proven acceptable ranges are derived from the fitted response-surface model, and two</w:t>
      </w:r>
      <w:r>
        <w:t xml:space="preserve"> </w:t>
      </w:r>
      <w:r>
        <w:t xml:space="preserve">analyses are reported for each parameter that governs an attribute. The first scans the</w:t>
      </w:r>
      <w:r>
        <w:t xml:space="preserve"> </w:t>
      </w:r>
      <w:r>
        <w:t xml:space="preserve">parameter across the range studied with the other parameters of the design held fixed, and</w:t>
      </w:r>
      <w:r>
        <w:t xml:space="preserve"> </w:t>
      </w:r>
      <w:r>
        <w:t xml:space="preserve">each plan states the settings it uses. The second propagates the variation of the other</w:t>
      </w:r>
      <w:r>
        <w:t xml:space="preserve"> </w:t>
      </w:r>
      <w:r>
        <w:t xml:space="preserve">parameters within their normal operating ranges by Monte-Carlo, which is the analysis the</w:t>
      </w:r>
      <w:r>
        <w:t xml:space="preserve"> </w:t>
      </w:r>
      <w:r>
        <w:t xml:space="preserve">control strategy relies on. Both are presented with the acceptance limit drawn, the</w:t>
      </w:r>
      <w:r>
        <w:t xml:space="preserve"> </w:t>
      </w:r>
      <w:r>
        <w:t xml:space="preserve">acceptable region shaded, and the set-point and the normal operating range marked.</w:t>
      </w:r>
    </w:p>
    <w:p>
      <w:pPr>
        <w:pStyle w:val="BodyText"/>
      </w:pPr>
      <w:r>
        <w:t xml:space="preserve">Capability is estimated by simulation. 2,000 commercial scale batches are</w:t>
      </w:r>
      <w:r>
        <w:t xml:space="preserve"> </w:t>
      </w:r>
      <w:r>
        <w:t xml:space="preserve">simulated with every parameter drawn about its set-point, from a normal distribution whose</w:t>
      </w:r>
      <w:r>
        <w:t xml:space="preserve"> </w:t>
      </w:r>
      <w:r>
        <w:t xml:space="preserve">standard deviation is one sixth of the width of the normal operating range and which is</w:t>
      </w:r>
      <w:r>
        <w:t xml:space="preserve"> </w:t>
      </w:r>
      <w:r>
        <w:t xml:space="preserve">truncated at the edges of the range studied. The resulting distribution of each drug</w:t>
      </w:r>
      <w:r>
        <w:t xml:space="preserve"> </w:t>
      </w:r>
      <w:r>
        <w:t xml:space="preserve">substance attribute is compared with its acceptance criterion. Capability is reported as a</w:t>
      </w:r>
      <w:r>
        <w:t xml:space="preserve"> </w:t>
      </w:r>
      <w:r>
        <w:t xml:space="preserve">one-sided capability index (Cpk) for the impurities and for viral clearance, where only one</w:t>
      </w:r>
      <w:r>
        <w:t xml:space="preserve"> </w:t>
      </w:r>
      <w:r>
        <w:t xml:space="preserve">limit is at risk, and against both limits where the criterion is two-sided.</w:t>
      </w:r>
    </w:p>
    <w:p>
      <w:pPr>
        <w:pStyle w:val="BodyText"/>
      </w:pPr>
      <w:r>
        <w:t xml:space="preserve">The capability estimate describes the process as represented by the qualified scale-down</w:t>
      </w:r>
      <w:r>
        <w:t xml:space="preserve"> </w:t>
      </w:r>
      <w:r>
        <w:t xml:space="preserve">models, with every parameter inside its normal operating range. It does not carry commercial</w:t>
      </w:r>
      <w:r>
        <w:t xml:space="preserve"> </w:t>
      </w:r>
      <w:r>
        <w:t xml:space="preserve">scale variation that the models do not reproduce, and it is confirmed against the process</w:t>
      </w:r>
      <w:r>
        <w:t xml:space="preserve"> </w:t>
      </w:r>
      <w:r>
        <w:t xml:space="preserve">performance qualification (PPQ) batches in Stage 2.</w:t>
      </w:r>
    </w:p>
    <w:bookmarkEnd w:id="21"/>
    <w:bookmarkStart w:id="26" w:name="acceptance-criteria-framework"/>
    <w:p>
      <w:pPr>
        <w:pStyle w:val="Heading1"/>
      </w:pPr>
      <w:r>
        <w:t xml:space="preserve">7. Acceptance criteria framework</w:t>
      </w:r>
    </w:p>
    <w:p>
      <w:pPr>
        <w:pStyle w:val="FirstParagraph"/>
      </w:pPr>
      <w:r>
        <w:t xml:space="preserve">Each characterization plan states its acceptance criteria before its studies are executed.</w:t>
      </w:r>
      <w:r>
        <w:t xml:space="preserve"> </w:t>
      </w:r>
      <w:r>
        <w:t xml:space="preserve">This section gives the framework those criteria instantiate. Where a threshold depends on</w:t>
      </w:r>
      <w:r>
        <w:t xml:space="preserve"> </w:t>
      </w:r>
      <w:r>
        <w:t xml:space="preserve">the step, this plan gives the form of the criterion and the plan for the step sets the</w:t>
      </w:r>
      <w:r>
        <w:t xml:space="preserve"> </w:t>
      </w:r>
      <w:r>
        <w:t xml:space="preserve">value.</w:t>
      </w:r>
    </w:p>
    <w:bookmarkStart w:id="22" w:name="a-qualified-scale-down-model"/>
    <w:p>
      <w:pPr>
        <w:pStyle w:val="Heading2"/>
      </w:pPr>
      <w:r>
        <w:t xml:space="preserve">7.1 A qualified scale-down model</w:t>
      </w:r>
    </w:p>
    <w:p>
      <w:pPr>
        <w:pStyle w:val="FirstParagraph"/>
      </w:pPr>
      <w:r>
        <w:t xml:space="preserve">A model is qualified when its performance at set-point conditions is comparable to the</w:t>
      </w:r>
      <w:r>
        <w:t xml:space="preserve"> </w:t>
      </w:r>
      <w:r>
        <w:t xml:space="preserve">commercial or pilot scale process, both for the attributes the step governs and for step</w:t>
      </w:r>
      <w:r>
        <w:t xml:space="preserve"> </w:t>
      </w:r>
      <w:r>
        <w:t xml:space="preserve">performance. Comparability is assessed statistically on replicate runs, and the numeric</w:t>
      </w:r>
      <w:r>
        <w:t xml:space="preserve"> </w:t>
      </w:r>
      <w:r>
        <w:t xml:space="preserve">limit is set in the step’s plan. A model that is not qualified cannot support a range claim,</w:t>
      </w:r>
      <w:r>
        <w:t xml:space="preserve"> </w:t>
      </w:r>
      <w:r>
        <w:t xml:space="preserve">so the study is not executed until the qualification is complete and approved.</w:t>
      </w:r>
    </w:p>
    <w:bookmarkEnd w:id="22"/>
    <w:bookmarkStart w:id="23" w:name="an-adequate-model"/>
    <w:p>
      <w:pPr>
        <w:pStyle w:val="Heading2"/>
      </w:pPr>
      <w:r>
        <w:t xml:space="preserve">7.2 An adequate model</w:t>
      </w:r>
    </w:p>
    <w:p>
      <w:pPr>
        <w:pStyle w:val="FirstParagraph"/>
      </w:pPr>
      <w:r>
        <w:t xml:space="preserve">A model is adequate when it meets the four criteria of §6. The overall regression is</w:t>
      </w:r>
      <w:r>
        <w:t xml:space="preserve"> </w:t>
      </w:r>
      <w:r>
        <w:t xml:space="preserve">significant, the adjusted and predicted coefficients of determination agree, the lack of fit</w:t>
      </w:r>
      <w:r>
        <w:t xml:space="preserve"> </w:t>
      </w:r>
      <w:r>
        <w:t xml:space="preserve">is not significant against pure error, and the residuals show no structure. The thresholds are</w:t>
      </w:r>
      <w:r>
        <w:t xml:space="preserve"> </w:t>
      </w:r>
      <w:r>
        <w:t xml:space="preserve">stated per study, because the responses differ in precision from one assay to another. A</w:t>
      </w:r>
      <w:r>
        <w:t xml:space="preserve"> </w:t>
      </w:r>
      <w:r>
        <w:t xml:space="preserve">response for which no parameter is active is a valid outcome and is reported as one. It is</w:t>
      </w:r>
      <w:r>
        <w:t xml:space="preserve"> </w:t>
      </w:r>
      <w:r>
        <w:t xml:space="preserve">presented with the effect estimates and their significance, and the parameters are then</w:t>
      </w:r>
      <w:r>
        <w:t xml:space="preserve"> </w:t>
      </w:r>
      <w:r>
        <w:t xml:space="preserve">classified on that evidence.</w:t>
      </w:r>
    </w:p>
    <w:bookmarkEnd w:id="23"/>
    <w:bookmarkStart w:id="24" w:name="an-acceptable-operating-region"/>
    <w:p>
      <w:pPr>
        <w:pStyle w:val="Heading2"/>
      </w:pPr>
      <w:r>
        <w:t xml:space="preserve">7.3 An acceptable operating region</w:t>
      </w:r>
    </w:p>
    <w:p>
      <w:pPr>
        <w:pStyle w:val="FirstParagraph"/>
      </w:pPr>
      <w:r>
        <w:t xml:space="preserve">An operating region is acceptable when every attribute the step governs stays inside its</w:t>
      </w:r>
      <w:r>
        <w:t xml:space="preserve"> </w:t>
      </w:r>
      <w:r>
        <w:t xml:space="preserve">acceptance criterion across the region, including at the worst-case corner of the region.</w:t>
      </w:r>
      <w:r>
        <w:t xml:space="preserve"> </w:t>
      </w:r>
      <w:r>
        <w:t xml:space="preserve">For a formed attribute or an impurity the criterion is the drug substance criterion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. For a viral clearance attribute the criterion is the step’s own required log</w:t>
      </w:r>
      <w:r>
        <w:t xml:space="preserve"> </w:t>
      </w:r>
      <w:r>
        <w:t xml:space="preserve">reduction, back-calculated from the cumulative requirement less the clearance credited to</w:t>
      </w:r>
      <w:r>
        <w:t xml:space="preserve"> </w:t>
      </w:r>
      <w:r>
        <w:t xml:space="preserve">the other steps. No step is asked to carry the whole viral claim and no clearance is</w:t>
      </w:r>
      <w:r>
        <w:t xml:space="preserve"> </w:t>
      </w:r>
      <w:r>
        <w:t xml:space="preserve">credited twice. Movement inside the design space is not a change to the process from the</w:t>
      </w:r>
      <w:r>
        <w:t xml:space="preserve"> </w:t>
      </w:r>
      <w:r>
        <w:t xml:space="preserve">point of view of the regulatory filing</w:t>
      </w:r>
      <w:r>
        <w:t xml:space="preserve"> </w:t>
      </w:r>
      <w:r>
        <w:t xml:space="preserve">(International Council for Harmonisation 2009)</w:t>
      </w:r>
      <w:r>
        <w:t xml:space="preserve">, although every planned move is assessed</w:t>
      </w:r>
      <w:r>
        <w:t xml:space="preserve"> </w:t>
      </w:r>
      <w:r>
        <w:t xml:space="preserve">under the pharmaceutical quality system before it is made, and that assessment records the</w:t>
      </w:r>
      <w:r>
        <w:t xml:space="preserve"> </w:t>
      </w:r>
      <w:r>
        <w:t xml:space="preserve">risk of the particular move and the knowledge that supports it</w:t>
      </w:r>
      <w:r>
        <w:t xml:space="preserve"> </w:t>
      </w:r>
      <w:r>
        <w:t xml:space="preserve">(International Council for Harmonisation 2008)</w:t>
      </w:r>
      <w:r>
        <w:t xml:space="preserve">. Movement outside</w:t>
      </w:r>
      <w:r>
        <w:t xml:space="preserve"> </w:t>
      </w:r>
      <w:r>
        <w:t xml:space="preserve">the design space requires change control, and a submission where the registered ranges are</w:t>
      </w:r>
      <w:r>
        <w:t xml:space="preserve"> </w:t>
      </w:r>
      <w:r>
        <w:t xml:space="preserve">affected.</w:t>
      </w:r>
    </w:p>
    <w:bookmarkEnd w:id="24"/>
    <w:bookmarkStart w:id="25" w:name="parameter-classification"/>
    <w:p>
      <w:pPr>
        <w:pStyle w:val="Heading2"/>
      </w:pPr>
      <w:r>
        <w:t xml:space="preserve">7.4 Parameter classification</w:t>
      </w:r>
    </w:p>
    <w:p>
      <w:pPr>
        <w:pStyle w:val="FirstParagraph"/>
      </w:pPr>
      <w:r>
        <w:t xml:space="preserve">Every parameter is classified in its step’s report under SOP-4001, and the classification is</w:t>
      </w:r>
      <w:r>
        <w:t xml:space="preserve"> </w:t>
      </w:r>
      <w:r>
        <w:t xml:space="preserve">the input to the control strategy. A parameter with a demonstrated effect on a critical</w:t>
      </w:r>
      <w:r>
        <w:t xml:space="preserve"> </w:t>
      </w:r>
      <w:r>
        <w:t xml:space="preserve">quality attribute is a critical process parameter. It is called well controlled (WC-CPP)</w:t>
      </w:r>
      <w:r>
        <w:t xml:space="preserve"> </w:t>
      </w:r>
      <w:r>
        <w:t xml:space="preserve">where the equipment and the control system hold it comfortably inside the design space, and</w:t>
      </w:r>
      <w:r>
        <w:t xml:space="preserve"> </w:t>
      </w:r>
      <w:r>
        <w:t xml:space="preserve">critical (CPP) without that qualification where the risk of leaving the design space is</w:t>
      </w:r>
      <w:r>
        <w:t xml:space="preserve"> </w:t>
      </w:r>
      <w:r>
        <w:t xml:space="preserve">material</w:t>
      </w:r>
      <w:r>
        <w:t xml:space="preserve"> </w:t>
      </w:r>
      <w:r>
        <w:t xml:space="preserve">(CMC Biotech Working Group 2009)</w:t>
      </w:r>
      <w:r>
        <w:t xml:space="preserve">. A parameter that affects process performance but no quality attribute</w:t>
      </w:r>
      <w:r>
        <w:t xml:space="preserve"> </w:t>
      </w:r>
      <w:r>
        <w:t xml:space="preserve">is a key process parameter (KPP). A parameter with no demonstrated effect on either is a</w:t>
      </w:r>
      <w:r>
        <w:t xml:space="preserve"> </w:t>
      </w:r>
      <w:r>
        <w:t xml:space="preserve">general process parameter (GPP), and the evidence for the absence of an effect is stated</w:t>
      </w:r>
      <w:r>
        <w:t xml:space="preserve"> </w:t>
      </w:r>
      <w:r>
        <w:t xml:space="preserve">with the classification and not merely implied by it.</w:t>
      </w:r>
    </w:p>
    <w:p>
      <w:pPr>
        <w:pStyle w:val="BodyText"/>
      </w:pPr>
      <w:r>
        <w:t xml:space="preserve">This plan sets no campaign-wide numeric threshold for capability. Each report states the</w:t>
      </w:r>
      <w:r>
        <w:t xml:space="preserve"> </w:t>
      </w:r>
      <w:r>
        <w:t xml:space="preserve">capability achieved for each attribute together with the margin to the limit, and any</w:t>
      </w:r>
      <w:r>
        <w:t xml:space="preserve"> </w:t>
      </w:r>
      <w:r>
        <w:t xml:space="preserve">threshold agreed for a particular step is stated in that step’s plan. A capability figure is</w:t>
      </w:r>
      <w:r>
        <w:t xml:space="preserve"> </w:t>
      </w:r>
      <w:r>
        <w:t xml:space="preserve">not by itself evidence that the process is in a state of control. That is established over</w:t>
      </w:r>
      <w:r>
        <w:t xml:space="preserve"> </w:t>
      </w:r>
      <w:r>
        <w:t xml:space="preserve">the commercial batches of Stage 2 and the continued process verification that follows them.</w:t>
      </w:r>
    </w:p>
    <w:bookmarkEnd w:id="25"/>
    <w:bookmarkEnd w:id="26"/>
    <w:bookmarkStart w:id="28" w:name="register-of-characterization-plans"/>
    <w:p>
      <w:pPr>
        <w:pStyle w:val="Heading1"/>
      </w:pPr>
      <w:r>
        <w:t xml:space="preserve">8. Register of characterization plans</w:t>
      </w:r>
    </w:p>
    <w:p>
      <w:pPr>
        <w:pStyle w:val="FirstParagraph"/>
      </w:pPr>
      <w:r>
        <w:t xml:space="preserve">The characterization plans this master plan governs are listed in</w:t>
      </w:r>
      <w:r>
        <w:t xml:space="preserve"> </w:t>
      </w:r>
      <w:hyperlink w:anchor="tbl-plans">
        <w:r>
          <w:rPr>
            <w:rStyle w:val="Hyperlink"/>
          </w:rPr>
          <w:t xml:space="preserve">Table 6</w:t>
        </w:r>
      </w:hyperlink>
      <w:r>
        <w:t xml:space="preserve">. Each is</w:t>
      </w:r>
      <w:r>
        <w:t xml:space="preserve"> </w:t>
      </w:r>
      <w:r>
        <w:t xml:space="preserve">approved before the studies it covers are executed, and each is paired with the report that</w:t>
      </w:r>
      <w:r>
        <w:t xml:space="preserve"> </w:t>
      </w:r>
      <w:r>
        <w:t xml:space="preserve">presents those studies. A plan is revised under change control where its design changes</w:t>
      </w:r>
      <w:r>
        <w:t xml:space="preserve"> </w:t>
      </w:r>
      <w:r>
        <w:t xml:space="preserve">before execution, and the revision is approved before the affected runs are executed. The</w:t>
      </w:r>
      <w:r>
        <w:t xml:space="preserve"> </w:t>
      </w:r>
      <w:r>
        <w:t xml:space="preserve">study type each plan covers follows the assignment in</w:t>
      </w:r>
      <w:r>
        <w:t xml:space="preserve"> </w:t>
      </w:r>
      <w:hyperlink w:anchor="tbl-scope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pl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Register of the characterization plans governed by this master plan, with their paired reports.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33"/>
              <w:gridCol w:w="4935"/>
              <w:gridCol w:w="19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Paired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27"/>
          <w:p/>
        </w:tc>
      </w:tr>
    </w:tbl>
    <w:bookmarkEnd w:id="28"/>
    <w:bookmarkStart w:id="29" w:name="deliverables-and-schedule"/>
    <w:p>
      <w:pPr>
        <w:pStyle w:val="Heading1"/>
      </w:pPr>
      <w:r>
        <w:t xml:space="preserve">9. Deliverables and schedule</w:t>
      </w:r>
    </w:p>
    <w:p>
      <w:pPr>
        <w:pStyle w:val="FirstParagraph"/>
      </w:pPr>
      <w:r>
        <w:t xml:space="preserve">The campaign delivers this plan, 8 characterization plans, the executed</w:t>
      </w:r>
      <w:r>
        <w:t xml:space="preserve"> </w:t>
      </w:r>
      <w:r>
        <w:t xml:space="preserve">study data, 8 characterization reports and the master report PCMR-001. Each</w:t>
      </w:r>
      <w:r>
        <w:t xml:space="preserve"> </w:t>
      </w:r>
      <w:r>
        <w:t xml:space="preserve">report is issued after the studies in its plan are complete and analysed. PCMR-001 is issued</w:t>
      </w:r>
      <w:r>
        <w:t xml:space="preserve"> </w:t>
      </w:r>
      <w:r>
        <w:t xml:space="preserve">after the last report and consolidates them.</w:t>
      </w:r>
    </w:p>
    <w:p>
      <w:pPr>
        <w:pStyle w:val="BodyText"/>
      </w:pPr>
      <w:r>
        <w:t xml:space="preserve">The sequence is the same at each step that carries a multivariate design. RA-001 assigns the</w:t>
      </w:r>
      <w:r>
        <w:t xml:space="preserve"> </w:t>
      </w:r>
      <w:r>
        <w:t xml:space="preserve">study type, the plan is approved, the scale-down model is qualified, and the screening study</w:t>
      </w:r>
      <w:r>
        <w:t xml:space="preserve"> </w:t>
      </w:r>
      <w:r>
        <w:t xml:space="preserve">is executed. The response-surface study follows in the parameters that screening identified,</w:t>
      </w:r>
      <w:r>
        <w:t xml:space="preserve"> </w:t>
      </w:r>
      <w:r>
        <w:t xml:space="preserve">and the univariate studies run in parallel with both. At harvest and clarification and at</w:t>
      </w:r>
      <w:r>
        <w:t xml:space="preserve"> </w:t>
      </w:r>
      <w:r>
        <w:t xml:space="preserve">UF/DF the univariate studies stand alone, and the same approval and qualification precede</w:t>
      </w:r>
      <w:r>
        <w:t xml:space="preserve"> </w:t>
      </w:r>
      <w:r>
        <w:t xml:space="preserve">them. Analysis, parameter classification and the report close the step in either case. The</w:t>
      </w:r>
      <w:r>
        <w:t xml:space="preserve"> </w:t>
      </w:r>
      <w:r>
        <w:t xml:space="preserve">campaign itself closes when PCMR-001 is approved, which is the point at which the</w:t>
      </w:r>
      <w:r>
        <w:t xml:space="preserve"> </w:t>
      </w:r>
      <w:r>
        <w:t xml:space="preserve">5 process performance qualification batches of Stage 2 can be planned against</w:t>
      </w:r>
      <w:r>
        <w:t xml:space="preserve"> </w:t>
      </w:r>
      <w:r>
        <w:t xml:space="preserve">a defined control strategy.</w:t>
      </w:r>
    </w:p>
    <w:p>
      <w:pPr>
        <w:pStyle w:val="BodyText"/>
      </w:pPr>
      <w:r>
        <w:t xml:space="preserve">No calendar dates are fixed in this plan. The schedule of the campaign is managed under</w:t>
      </w:r>
      <w:r>
        <w:t xml:space="preserve"> </w:t>
      </w:r>
      <w:r>
        <w:t xml:space="preserve">PTP-001 together with the transfer milestones.</w:t>
      </w:r>
    </w:p>
    <w:bookmarkEnd w:id="29"/>
    <w:bookmarkStart w:id="30" w:name="approvals-1"/>
    <w:p>
      <w:pPr>
        <w:pStyle w:val="Heading1"/>
      </w:pPr>
      <w:r>
        <w:t xml:space="preserve">10. Approvals</w:t>
      </w:r>
    </w:p>
    <w:p>
      <w:pPr>
        <w:pStyle w:val="FirstParagraph"/>
      </w:pPr>
      <w:r>
        <w:t xml:space="preserve">This plan takes effect when it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It is</w:t>
      </w:r>
      <w:r>
        <w:t xml:space="preserve"> </w:t>
      </w:r>
      <w:r>
        <w:t xml:space="preserve">revised as a whole document under site change control. A change to the quality attribute</w:t>
      </w:r>
      <w:r>
        <w:t xml:space="preserve"> </w:t>
      </w:r>
      <w:r>
        <w:t xml:space="preserve">framework, to the risk basis or to the acceptance framework requires each affected</w:t>
      </w:r>
      <w:r>
        <w:t xml:space="preserve"> </w:t>
      </w:r>
      <w:r>
        <w:t xml:space="preserve">characterization plan to be reviewed for impact before its studies proceed.</w:t>
      </w:r>
    </w:p>
    <w:bookmarkEnd w:id="30"/>
    <w:bookmarkStart w:id="39" w:name="references"/>
    <w:p>
      <w:pPr>
        <w:pStyle w:val="Heading1"/>
      </w:pPr>
      <w:r>
        <w:t xml:space="preserve">References</w:t>
      </w:r>
    </w:p>
    <w:bookmarkStart w:id="38" w:name="refs"/>
    <w:bookmarkStart w:id="31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31"/>
    <w:bookmarkStart w:id="32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2"/>
    <w:bookmarkStart w:id="3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3"/>
    <w:bookmarkStart w:id="3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4"/>
    <w:bookmarkStart w:id="35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35"/>
    <w:bookmarkStart w:id="36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36"/>
    <w:bookmarkStart w:id="37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Plan</dc:title>
  <dc:creator>Process Development / Manufacturing Science &amp; Technology (MSAT)</dc:creator>
  <cp:keywords/>
  <dcterms:created xsi:type="dcterms:W3CDTF">2026-08-02T19:02:53Z</dcterms:created>
  <dcterms:modified xsi:type="dcterms:W3CDTF">2026-08-02T19:02:53Z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