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37.png" ContentType="image/png"/>
  <Override PartName="/word/media/rId20.png" ContentType="image/png"/>
  <Override PartName="/word/media/rId5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Process Characterization Master Report</w:t>
      </w:r>
    </w:p>
    <w:p>
      <w:pPr>
        <w:pStyle w:val="Subtitle"/>
      </w:pPr>
      <w:r>
        <w:t xml:space="preserve">A-Mab Drug Substance — PCMR-001</w:t>
      </w:r>
    </w:p>
    <w:p>
      <w:pPr>
        <w:pStyle w:val="Author"/>
      </w:pPr>
      <w:r>
        <w:t xml:space="preserve">Process Development / Manufacturing Science &amp; Technology (MSAT)</w:t>
      </w:r>
    </w:p>
    <w:p>
      <w:pPr>
        <w:pStyle w:val="Date"/>
      </w:pPr>
      <w:r>
        <w:t xml:space="preserve">2026-07-24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5"/>
        <w:gridCol w:w="69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PCMR-001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Master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Master Report: A-Mab Drug Substance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A-Mab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(synthetic)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Science &amp; Technology (MSAT)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/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Novacyte Biologics; Novacyte Biologics — Cambridge, MA (Development) → Novacyte Biologics — Grafton, WI (Commercial DS)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SYNTHETIC DOCUMENT — NOT A REAL RECORD.</w:t>
      </w:r>
      <w:r>
        <w:t xml:space="preserve"> </w:t>
      </w:r>
      <w:r>
        <w:t xml:space="preserve">Illustrative content generated from a seeded model of the</w:t>
      </w:r>
      <w:r>
        <w:t xml:space="preserve"> </w:t>
      </w:r>
      <w:r>
        <w:rPr>
          <w:i/>
          <w:iCs/>
        </w:rPr>
        <w:t xml:space="preserve">A-Mab</w:t>
      </w:r>
      <w:r>
        <w:t xml:space="preserve"> </w:t>
      </w:r>
      <w:r>
        <w:t xml:space="preserve">case study (CMC Biotech Working Group, 2009). Novacyte Biologics and all sites, SOP/AMV numbers and signatories are fictional. For NLP corpus development only; not for any regulated use.</w:t>
      </w:r>
    </w:p>
    <w:bookmarkStart w:id="10" w:name="approvals"/>
    <w:p>
      <w:pPr>
        <w:pStyle w:val="Heading2"/>
      </w:pPr>
      <w:r>
        <w:t xml:space="preserve">Approvals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app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Approval record (synthetic; signatures not applied).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 (synthetic)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Signature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Manufacturing Science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9"/>
          <w:p/>
        </w:tc>
      </w:tr>
    </w:tbl>
    <w:bookmarkEnd w:id="10"/>
    <w:bookmarkStart w:id="11" w:name="abbreviations"/>
    <w:p>
      <w:pPr>
        <w:pStyle w:val="Heading2"/>
      </w:pPr>
      <w:r>
        <w:t xml:space="preserve">Abbreviations</w:t>
      </w:r>
    </w:p>
    <w:p>
      <w:pPr>
        <w:pStyle w:val="FirstParagraph"/>
      </w:pPr>
      <w:r>
        <w:t xml:space="preserve">AEX, anion exchange chromatography; AMV, analytical method validation; CEX, cation</w:t>
      </w:r>
      <w:r>
        <w:t xml:space="preserve"> </w:t>
      </w:r>
      <w:r>
        <w:t xml:space="preserve">exchange chromatography; Cpk, process capability index; CPP, critical process parameter;</w:t>
      </w:r>
      <w:r>
        <w:t xml:space="preserve"> </w:t>
      </w:r>
      <w:r>
        <w:t xml:space="preserve">CQA, critical quality attribute; DoE, design of experiments; DS, drug substance; ELISA,</w:t>
      </w:r>
      <w:r>
        <w:t xml:space="preserve"> </w:t>
      </w:r>
      <w:r>
        <w:t xml:space="preserve">enzyme-linked immunosorbent assay; GPP, general process parameter; HCP, host cell protein;</w:t>
      </w:r>
      <w:r>
        <w:t xml:space="preserve"> </w:t>
      </w:r>
      <w:r>
        <w:t xml:space="preserve">HMW, high molecular weight; icIEF, imaged capillary isoelectric focusing; KPP, key process</w:t>
      </w:r>
      <w:r>
        <w:t xml:space="preserve"> </w:t>
      </w:r>
      <w:r>
        <w:t xml:space="preserve">parameter; LRF, log reduction factor; MSAT, Manufacturing Science and Technology; MVM,</w:t>
      </w:r>
      <w:r>
        <w:t xml:space="preserve"> </w:t>
      </w:r>
      <w:r>
        <w:t xml:space="preserve">minute virus of mice; NOR, normal operating range; RSD, relative standard deviation; RSM,</w:t>
      </w:r>
      <w:r>
        <w:t xml:space="preserve"> </w:t>
      </w:r>
      <w:r>
        <w:t xml:space="preserve">response surface methodology; SEC, size exclusion chromatography; SOP, standard operating</w:t>
      </w:r>
      <w:r>
        <w:t xml:space="preserve"> </w:t>
      </w:r>
      <w:r>
        <w:t xml:space="preserve">procedure; TFF, tangential flow filtration; TMP, transmembrane pressure; UF/DF,</w:t>
      </w:r>
      <w:r>
        <w:t xml:space="preserve"> </w:t>
      </w:r>
      <w:r>
        <w:t xml:space="preserve">ultrafiltration and diafiltration; UV, ultraviolet; WC-CPP, well-controlled critical</w:t>
      </w:r>
      <w:r>
        <w:t xml:space="preserve"> </w:t>
      </w:r>
      <w:r>
        <w:t xml:space="preserve">process parameter; XMuLV, xenotropic murine leukaemia virus.</w:t>
      </w:r>
    </w:p>
    <w:p>
      <w:r>
        <w:br w:type="page"/>
      </w:r>
    </w:p>
    <w:bookmarkEnd w:id="11"/>
    <w:bookmarkStart w:id="12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The A-Mab drug substance process is characterized and its control strategy is defined. The</w:t>
      </w:r>
      <w:r>
        <w:t xml:space="preserve"> </w:t>
      </w:r>
      <w:r>
        <w:t xml:space="preserve">8 unit operations of the drug substance train, Steps 3–10, were each</w:t>
      </w:r>
      <w:r>
        <w:t xml:space="preserve"> </w:t>
      </w:r>
      <w:r>
        <w:t xml:space="preserve">studied under an approved plan and reported separately, and the work was executed on</w:t>
      </w:r>
      <w:r>
        <w:t xml:space="preserve"> </w:t>
      </w:r>
      <w:r>
        <w:t xml:space="preserve">qualified scale-down models at the sending site under the master plan PCMP-001 and the</w:t>
      </w:r>
      <w:r>
        <w:t xml:space="preserve"> </w:t>
      </w:r>
      <w:r>
        <w:t xml:space="preserve">pre-characterization risk assessment RA-001. The campaign supports the technology transfer</w:t>
      </w:r>
      <w:r>
        <w:t xml:space="preserve"> </w:t>
      </w:r>
      <w:r>
        <w:t xml:space="preserve">planned in PTP-001, and this report consolidates its results. It follows the lifecycle</w:t>
      </w:r>
      <w:r>
        <w:t xml:space="preserve"> </w:t>
      </w:r>
      <w:r>
        <w:t xml:space="preserve">approach to process validation</w:t>
      </w:r>
      <w:r>
        <w:t xml:space="preserve"> </w:t>
      </w:r>
      <w:r>
        <w:t xml:space="preserve">(U.S. Food and Drug Administration 2011)</w:t>
      </w:r>
      <w:r>
        <w:t xml:space="preserve"> </w:t>
      </w:r>
      <w:r>
        <w:t xml:space="preserve">and the enhanced development approach of ICH Q8,</w:t>
      </w:r>
      <w:r>
        <w:t xml:space="preserve"> </w:t>
      </w:r>
      <w:r>
        <w:t xml:space="preserve">Q9 and Q11</w:t>
      </w:r>
      <w:r>
        <w:t xml:space="preserve"> </w:t>
      </w:r>
      <w:r>
        <w:t xml:space="preserve">(International Council for Harmonisation 2009, 2023b, 2012)</w:t>
      </w:r>
      <w:r>
        <w:t xml:space="preserve">, and it takes the process model, the quality</w:t>
      </w:r>
      <w:r>
        <w:t xml:space="preserve"> </w:t>
      </w:r>
      <w:r>
        <w:t xml:space="preserve">attribute framework and the criticality framework from the A-Mab case study</w:t>
      </w:r>
      <w:r>
        <w:t xml:space="preserve"> </w:t>
      </w:r>
      <w:r>
        <w:t xml:space="preserve">(CMC Biotech Working Group 2009)</w:t>
      </w:r>
      <w:r>
        <w:t xml:space="preserve">,</w:t>
      </w:r>
      <w:r>
        <w:t xml:space="preserve"> </w:t>
      </w:r>
      <w:r>
        <w:t xml:space="preserve">which is also the source of the risk methodology RA-001 applies.</w:t>
      </w:r>
    </w:p>
    <w:p>
      <w:pPr>
        <w:pStyle w:val="BodyText"/>
      </w:pPr>
      <w:r>
        <w:t xml:space="preserve">The campaign carried 37 process parameters into study, of which</w:t>
      </w:r>
      <w:r>
        <w:t xml:space="preserve"> </w:t>
      </w:r>
      <w:r>
        <w:t xml:space="preserve">21 are linked to a critical quality attribute and are held inside</w:t>
      </w:r>
      <w:r>
        <w:t xml:space="preserve"> </w:t>
      </w:r>
      <w:r>
        <w:t xml:space="preserve">the design space. Of those, 1 parameter is classified as a critical process</w:t>
      </w:r>
      <w:r>
        <w:t xml:space="preserve"> </w:t>
      </w:r>
      <w:r>
        <w:t xml:space="preserve">parameter and 20 as well-controlled critical process parameters. The remaining</w:t>
      </w:r>
      <w:r>
        <w:t xml:space="preserve"> </w:t>
      </w:r>
      <w:r>
        <w:t xml:space="preserve">16 are key or general process parameters, and they are controlled and</w:t>
      </w:r>
      <w:r>
        <w:t xml:space="preserve"> </w:t>
      </w:r>
      <w:r>
        <w:t xml:space="preserve">monitored because a consistent process is part of the control strategy, not because any of</w:t>
      </w:r>
      <w:r>
        <w:t xml:space="preserve"> </w:t>
      </w:r>
      <w:r>
        <w:t xml:space="preserve">them was shown to move a quality attribute. The single critical process parameter is the pH</w:t>
      </w:r>
      <w:r>
        <w:t xml:space="preserve"> </w:t>
      </w:r>
      <w:r>
        <w:t xml:space="preserve">of the low-pH viral inactivation hold (</w:t>
      </w:r>
      <w:hyperlink w:anchor="sec-classification">
        <w:r>
          <w:rPr>
            <w:rStyle w:val="Hyperlink"/>
          </w:rPr>
          <w:t xml:space="preserve">Section 4</w:t>
        </w:r>
      </w:hyperlink>
      <w:r>
        <w:t xml:space="preserve">).</w:t>
      </w:r>
    </w:p>
    <w:p>
      <w:pPr>
        <w:pStyle w:val="BodyText"/>
      </w:pPr>
      <w:r>
        <w:t xml:space="preserve">All 10 drug substance quality attributes met their acceptance criteria.</w:t>
      </w:r>
      <w:r>
        <w:t xml:space="preserve"> </w:t>
      </w:r>
      <w:r>
        <w:t xml:space="preserve">Capability was estimated by simulating 2,000 commercial</w:t>
      </w:r>
      <w:r>
        <w:t xml:space="preserve"> </w:t>
      </w:r>
      <w:r>
        <w:t xml:space="preserve">batches, with every parameter varying about its set-point on a spread set by its normal</w:t>
      </w:r>
      <w:r>
        <w:t xml:space="preserve"> </w:t>
      </w:r>
      <w:r>
        <w:t xml:space="preserve">operating range, and no simulated batch produced a value outside a criterion</w:t>
      </w:r>
      <w:r>
        <w:t xml:space="preserve"> </w:t>
      </w:r>
      <w:r>
        <w:t xml:space="preserve">(</w:t>
      </w:r>
      <w:hyperlink w:anchor="sec-outcomes">
        <w:r>
          <w:rPr>
            <w:rStyle w:val="Hyperlink"/>
          </w:rPr>
          <w:t xml:space="preserve">Section 3</w:t>
        </w:r>
      </w:hyperlink>
      <w:r>
        <w:t xml:space="preserve">). The lowest capability index in the set is</w:t>
      </w:r>
      <w:r>
        <w:t xml:space="preserve"> </w:t>
      </w:r>
      <w:r>
        <w:t xml:space="preserve">1.51, for cumulative MVM clearance, whose simulated mean lies</w:t>
      </w:r>
      <w:r>
        <w:t xml:space="preserve"> </w:t>
      </w:r>
      <w:r>
        <w:t xml:space="preserve">1.78 log₁₀ above the required floor. The tightest of the</w:t>
      </w:r>
      <w:r>
        <w:t xml:space="preserve"> </w:t>
      </w:r>
      <w:r>
        <w:t xml:space="preserve">attributes the process itself forms is high mannose at 1.94, with</w:t>
      </w:r>
      <w:r>
        <w:t xml:space="preserve"> </w:t>
      </w:r>
      <w:r>
        <w:t xml:space="preserve">2.99 percentage points between its simulated mean and the nearer</w:t>
      </w:r>
      <w:r>
        <w:t xml:space="preserve"> </w:t>
      </w:r>
      <w:r>
        <w:t xml:space="preserve">of its two limits.</w:t>
      </w:r>
    </w:p>
    <w:p>
      <w:pPr>
        <w:pStyle w:val="BodyText"/>
      </w:pPr>
      <w:r>
        <w:t xml:space="preserve">Cumulative viral clearance exceeds its requirement for both model viruses.</w:t>
      </w:r>
      <w:r>
        <w:t xml:space="preserve"> </w:t>
      </w:r>
      <w:r>
        <w:t xml:space="preserve">The claim rests on 3 steps with independent mechanisms of removal</w:t>
      </w:r>
      <w:r>
        <w:t xml:space="preserve"> </w:t>
      </w:r>
      <w:r>
        <w:t xml:space="preserve">or inactivation, and gives 18.87 log₁₀ for XMuLV</w:t>
      </w:r>
      <w:r>
        <w:t xml:space="preserve"> </w:t>
      </w:r>
      <w:r>
        <w:t xml:space="preserve">against a requirement of 16.70, and</w:t>
      </w:r>
      <w:r>
        <w:t xml:space="preserve"> </w:t>
      </w:r>
      <w:r>
        <w:t xml:space="preserve">10.03 log₁₀ for MVM against</w:t>
      </w:r>
      <w:r>
        <w:t xml:space="preserve"> </w:t>
      </w:r>
      <w:r>
        <w:t xml:space="preserve">8.60. No clearance is claimed for the Protein A step or</w:t>
      </w:r>
      <w:r>
        <w:t xml:space="preserve"> </w:t>
      </w:r>
      <w:r>
        <w:t xml:space="preserve">for the cation exchange step, so the cumulative figures are conservative to the extent of</w:t>
      </w:r>
      <w:r>
        <w:t xml:space="preserve"> </w:t>
      </w:r>
      <w:r>
        <w:t xml:space="preserve">whatever those two steps deliver.</w:t>
      </w:r>
    </w:p>
    <w:p>
      <w:pPr>
        <w:pStyle w:val="BodyText"/>
      </w:pPr>
      <w:r>
        <w:t xml:space="preserve">The campaign recorded 17 deviations. Each was investigated and dispositioned</w:t>
      </w:r>
      <w:r>
        <w:t xml:space="preserve"> </w:t>
      </w:r>
      <w:r>
        <w:t xml:space="preserve">in the report for its step, and one of them invalidated a designed experiment. The first anion exchange execution ran on a load that was not representative</w:t>
      </w:r>
      <w:r>
        <w:t xml:space="preserve"> </w:t>
      </w:r>
      <w:r>
        <w:t xml:space="preserve">of routine material, so the affected screening and response surface designs were</w:t>
      </w:r>
      <w:r>
        <w:t xml:space="preserve"> </w:t>
      </w:r>
      <w:r>
        <w:t xml:space="preserve">re-executed in full on requalified load (PCR-008). Of the rest,</w:t>
      </w:r>
      <w:r>
        <w:t xml:space="preserve"> </w:t>
      </w:r>
      <w:r>
        <w:t xml:space="preserve">15 were retained with a bounded impact argument and one was</w:t>
      </w:r>
      <w:r>
        <w:t xml:space="preserve"> </w:t>
      </w:r>
      <w:r>
        <w:t xml:space="preserve">corrected by modelling and verification runs.</w:t>
      </w:r>
    </w:p>
    <w:p>
      <w:pPr>
        <w:pStyle w:val="BodyText"/>
      </w:pPr>
      <w:r>
        <w:t xml:space="preserve">Two bounds apply to everything reported here. Capability, proven acceptable ranges and</w:t>
      </w:r>
      <w:r>
        <w:t xml:space="preserve"> </w:t>
      </w:r>
      <w:r>
        <w:t xml:space="preserve">viral clearance are estimated from qualified scale-down models with the parameters held</w:t>
      </w:r>
      <w:r>
        <w:t xml:space="preserve"> </w:t>
      </w:r>
      <w:r>
        <w:t xml:space="preserve">close to their set-points, so the edges of the design space have not been run at commercial</w:t>
      </w:r>
      <w:r>
        <w:t xml:space="preserve"> </w:t>
      </w:r>
      <w:r>
        <w:t xml:space="preserve">scale and nothing in this report describes the behaviour of the process there. Stage 2 has</w:t>
      </w:r>
      <w:r>
        <w:t xml:space="preserve"> </w:t>
      </w:r>
      <w:r>
        <w:t xml:space="preserve">not been executed, so this report presents no process performance qualification data and</w:t>
      </w:r>
      <w:r>
        <w:t xml:space="preserve"> </w:t>
      </w:r>
      <w:r>
        <w:t xml:space="preserve">makes no claim about the performance of any batch made at commercial scale.</w:t>
      </w:r>
    </w:p>
    <w:bookmarkEnd w:id="12"/>
    <w:bookmarkStart w:id="18" w:name="sec-intro"/>
    <w:p>
      <w:pPr>
        <w:pStyle w:val="Heading1"/>
      </w:pPr>
      <w:r>
        <w:t xml:space="preserve">1. Introduction</w:t>
      </w:r>
    </w:p>
    <w:bookmarkStart w:id="14" w:name="the-campaign-and-its-documents"/>
    <w:p>
      <w:pPr>
        <w:pStyle w:val="Heading2"/>
      </w:pPr>
      <w:r>
        <w:t xml:space="preserve">1.1 The campaign and its documents</w:t>
      </w:r>
    </w:p>
    <w:p>
      <w:pPr>
        <w:pStyle w:val="FirstParagraph"/>
      </w:pPr>
      <w:r>
        <w:t xml:space="preserve">The A-Mab drug substance process was characterized in a single campaign covering Steps</w:t>
      </w:r>
      <w:r>
        <w:t xml:space="preserve"> </w:t>
      </w:r>
      <w:r>
        <w:t xml:space="preserve">3–10, in which each unit operation was studied over ranges wider than its routine control</w:t>
      </w:r>
      <w:r>
        <w:t xml:space="preserve"> </w:t>
      </w:r>
      <w:r>
        <w:t xml:space="preserve">range so that the effect of every parameter on product quality and on process performance</w:t>
      </w:r>
      <w:r>
        <w:t xml:space="preserve"> </w:t>
      </w:r>
      <w:r>
        <w:t xml:space="preserve">could be measured and bounded. The scope of the work was fixed before execution by RA-001,</w:t>
      </w:r>
      <w:r>
        <w:t xml:space="preserve"> </w:t>
      </w:r>
      <w:r>
        <w:t xml:space="preserve">which assigned every parameter to a multivariate study, to a univariate assessment, or to</w:t>
      </w:r>
      <w:r>
        <w:t xml:space="preserve"> </w:t>
      </w:r>
      <w:r>
        <w:t xml:space="preserve">no study at all, and the common methods, the acceptance framework and the criticality</w:t>
      </w:r>
      <w:r>
        <w:t xml:space="preserve"> </w:t>
      </w:r>
      <w:r>
        <w:t xml:space="preserve">framework were fixed by PCMP-001. This report consolidates the results and states the</w:t>
      </w:r>
      <w:r>
        <w:t xml:space="preserve"> </w:t>
      </w:r>
      <w:r>
        <w:t xml:space="preserve">outcome against each requirement the drug substance has to meet.</w:t>
      </w:r>
    </w:p>
    <w:p>
      <w:pPr>
        <w:pStyle w:val="BodyText"/>
      </w:pPr>
      <w:r>
        <w:t xml:space="preserve">The package is listed in</w:t>
      </w:r>
      <w:r>
        <w:t xml:space="preserve"> </w:t>
      </w:r>
      <w:hyperlink w:anchor="tbl-corpus">
        <w:r>
          <w:rPr>
            <w:rStyle w:val="Hyperlink"/>
          </w:rPr>
          <w:t xml:space="preserve">Table 2</w:t>
        </w:r>
      </w:hyperlink>
      <w:r>
        <w:t xml:space="preserve">, and three documents sit above the per-step work.</w:t>
      </w:r>
      <w:r>
        <w:t xml:space="preserve"> </w:t>
      </w:r>
      <w:r>
        <w:t xml:space="preserve">PTP-001 defines the transfer from the sending site to the receiving site and is the reason</w:t>
      </w:r>
      <w:r>
        <w:t xml:space="preserve"> </w:t>
      </w:r>
      <w:r>
        <w:t xml:space="preserve">the campaign exists, RA-001 sets the study scope, and PCMP-001 is the umbrella plan over</w:t>
      </w:r>
      <w:r>
        <w:t xml:space="preserve"> </w:t>
      </w:r>
      <w:r>
        <w:t xml:space="preserve">the 8 characterization plans. Each unit operation then carries a plan and</w:t>
      </w:r>
      <w:r>
        <w:t xml:space="preserve"> </w:t>
      </w:r>
      <w:r>
        <w:t xml:space="preserve">a report, numbered by process step. This report rolls those reports up. It does not repeat</w:t>
      </w:r>
      <w:r>
        <w:t xml:space="preserve"> </w:t>
      </w:r>
      <w:r>
        <w:t xml:space="preserve">their analyses, and where a figure here comes from one of them, that report is named.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corp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The A-Mab drug substance document package.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142"/>
              <w:gridCol w:w="3503"/>
              <w:gridCol w:w="327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Document 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Document 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Subject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PTP-001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Transfer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A-Mab Drug Substance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Pre-Characterization Process Risk Assessment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A-Mab Drug Substance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PCMP-001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Master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A-Mab Drug Substance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 (Step 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 (Step 3)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and Clarification (Step 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and Clarification (Step 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 (Step 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 (Step 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 (Step 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 (Step 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 (Step 7)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 (Step 7)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 (Step 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 (Step 8)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Small-Virus Retentive Filtration (Step 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Small-Virus Retentive Filtration (Step 9)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Plan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Ultrafiltration / Diafiltration (Step 10)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Characterization 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Ultrafiltration / Diafiltration (Step 10)</w:t>
                  </w:r>
                </w:p>
              </w:tc>
            </w:tr>
          </w:tbl>
          <w:bookmarkEnd w:id="13"/>
          <w:p/>
        </w:tc>
      </w:tr>
    </w:tbl>
    <w:bookmarkEnd w:id="14"/>
    <w:bookmarkStart w:id="16" w:name="scope-of-the-characterization"/>
    <w:p>
      <w:pPr>
        <w:pStyle w:val="Heading2"/>
      </w:pPr>
      <w:r>
        <w:t xml:space="preserve">1.2 Scope of the characterization</w:t>
      </w:r>
    </w:p>
    <w:p>
      <w:pPr>
        <w:pStyle w:val="FirstParagraph"/>
      </w:pPr>
      <w:r>
        <w:t xml:space="preserve">37 process parameters were carried into study, of which</w:t>
      </w:r>
      <w:r>
        <w:t xml:space="preserve"> </w:t>
      </w:r>
      <w:r>
        <w:t xml:space="preserve">22 were studied in multivariate designs and</w:t>
      </w:r>
      <w:r>
        <w:t xml:space="preserve"> </w:t>
      </w:r>
      <w:r>
        <w:t xml:space="preserve">15 were assessed one at a time, and</w:t>
      </w:r>
      <w:r>
        <w:t xml:space="preserve"> </w:t>
      </w:r>
      <w:hyperlink w:anchor="tbl-scope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gives the split by step</w:t>
      </w:r>
      <w:r>
        <w:t xml:space="preserve"> </w:t>
      </w:r>
      <w:r>
        <w:t xml:space="preserve">together with the plan and report that cover it. Of the 8 steps,</w:t>
      </w:r>
      <w:r>
        <w:t xml:space="preserve"> </w:t>
      </w:r>
      <w:r>
        <w:t xml:space="preserve">6 carried a designed experiment with a screening stage followed by a</w:t>
      </w:r>
      <w:r>
        <w:t xml:space="preserve"> </w:t>
      </w:r>
      <w:r>
        <w:t xml:space="preserve">response surface stage. Harvest and clarification (Step 4) and the ultrafiltration and</w:t>
      </w:r>
      <w:r>
        <w:t xml:space="preserve"> </w:t>
      </w:r>
      <w:r>
        <w:t xml:space="preserve">diafiltration step (Step 10) carried none, because neither step forms a product quality</w:t>
      </w:r>
      <w:r>
        <w:t xml:space="preserve"> </w:t>
      </w:r>
      <w:r>
        <w:t xml:space="preserve">attribute, and both were characterized univariately with reports that are correspondingly</w:t>
      </w:r>
      <w:r>
        <w:t xml:space="preserve"> </w:t>
      </w:r>
      <w:r>
        <w:t xml:space="preserve">shorter.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sco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Characterization scope by unit operation, with the covering plan and report.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03"/>
              <w:gridCol w:w="2564"/>
              <w:gridCol w:w="1056"/>
              <w:gridCol w:w="1206"/>
              <w:gridCol w:w="1056"/>
              <w:gridCol w:w="143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 operation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Parameters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Multivariate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Univariate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Documents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PCP-003 / PCR-003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and Clarification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PCP-004 / PCR-004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PCP-005 / PCR-005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PCP-006 / PCR-006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PCP-007 / PCR-007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PCP-008 / PCR-008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Small-Virus Retentive Filtration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PCP-009 / PCR-009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Ultrafiltration / Diafiltration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PCP-010 / PCR-010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division of labour between the two design stages is the same at every step that has</w:t>
      </w:r>
      <w:r>
        <w:t xml:space="preserve"> </w:t>
      </w:r>
      <w:r>
        <w:t xml:space="preserve">one. The screening design identifies which parameters have an effect on which response,</w:t>
      </w:r>
      <w:r>
        <w:t xml:space="preserve"> </w:t>
      </w:r>
      <w:r>
        <w:t xml:space="preserve">and the response surface model is the predictive model, which makes it the basis of the</w:t>
      </w:r>
      <w:r>
        <w:t xml:space="preserve"> </w:t>
      </w:r>
      <w:r>
        <w:t xml:space="preserve">design space and of the proven acceptable ranges reported in each unit operation report.</w:t>
      </w:r>
      <w:r>
        <w:t xml:space="preserve"> </w:t>
      </w:r>
      <w:r>
        <w:t xml:space="preserve">Nothing in this report rests on a screening fit.</w:t>
      </w:r>
    </w:p>
    <w:bookmarkEnd w:id="16"/>
    <w:bookmarkStart w:id="17" w:name="regulatory-and-scientific-basis"/>
    <w:p>
      <w:pPr>
        <w:pStyle w:val="Heading2"/>
      </w:pPr>
      <w:r>
        <w:t xml:space="preserve">1.3 Regulatory and scientific basis</w:t>
      </w:r>
    </w:p>
    <w:p>
      <w:pPr>
        <w:pStyle w:val="FirstParagraph"/>
      </w:pPr>
      <w:r>
        <w:t xml:space="preserve">The campaign follows the lifecycle approach to process validation, in which Stage 1</w:t>
      </w:r>
      <w:r>
        <w:t xml:space="preserve"> </w:t>
      </w:r>
      <w:r>
        <w:t xml:space="preserve">establishes the process design and the commercial process is then qualified in Stage 2</w:t>
      </w:r>
      <w:r>
        <w:t xml:space="preserve"> </w:t>
      </w:r>
      <w:r>
        <w:t xml:space="preserve">(U.S. Food and Drug Administration 2011)</w:t>
      </w:r>
      <w:r>
        <w:t xml:space="preserve">. The enhanced development approach of ICH Q8 was used throughout, so that prior</w:t>
      </w:r>
      <w:r>
        <w:t xml:space="preserve"> </w:t>
      </w:r>
      <w:r>
        <w:t xml:space="preserve">knowledge and risk assessment identify what matters, characterization bounds it, and the</w:t>
      </w:r>
      <w:r>
        <w:t xml:space="preserve"> </w:t>
      </w:r>
      <w:r>
        <w:t xml:space="preserve">result is a control strategy</w:t>
      </w:r>
      <w:r>
        <w:t xml:space="preserve"> </w:t>
      </w:r>
      <w:r>
        <w:t xml:space="preserve">(International Council for Harmonisation 2009)</w:t>
      </w:r>
      <w:r>
        <w:t xml:space="preserve">. Criticality is treated as a continuum and not as a</w:t>
      </w:r>
      <w:r>
        <w:t xml:space="preserve"> </w:t>
      </w:r>
      <w:r>
        <w:t xml:space="preserve">binary label, following ICH Q9</w:t>
      </w:r>
      <w:r>
        <w:t xml:space="preserve"> </w:t>
      </w:r>
      <w:r>
        <w:t xml:space="preserve">(International Council for Harmonisation 2023b)</w:t>
      </w:r>
      <w:r>
        <w:t xml:space="preserve">. The classification decisions follow the</w:t>
      </w:r>
      <w:r>
        <w:t xml:space="preserve"> </w:t>
      </w:r>
      <w:r>
        <w:t xml:space="preserve">development and manufacturing principles of ICH Q11</w:t>
      </w:r>
      <w:r>
        <w:t xml:space="preserve"> </w:t>
      </w:r>
      <w:r>
        <w:t xml:space="preserve">(International Council for Harmonisation 2012)</w:t>
      </w:r>
      <w:r>
        <w:t xml:space="preserve">. Viral safety is evaluated</w:t>
      </w:r>
      <w:r>
        <w:t xml:space="preserve"> </w:t>
      </w:r>
      <w:r>
        <w:t xml:space="preserve">under ICH Q5A, which is the basis of the modular clearance claim in</w:t>
      </w:r>
      <w:r>
        <w:t xml:space="preserve"> </w:t>
      </w:r>
      <w:hyperlink w:anchor="sec-viral">
        <w:r>
          <w:rPr>
            <w:rStyle w:val="Hyperlink"/>
          </w:rPr>
          <w:t xml:space="preserve">Section 6</w:t>
        </w:r>
      </w:hyperlink>
      <w:r>
        <w:t xml:space="preserve">,</w:t>
      </w:r>
      <w:r>
        <w:t xml:space="preserve"> </w:t>
      </w:r>
      <w:r>
        <w:t xml:space="preserve">and the transfer to the receiving site is managed under the pharmaceutical quality system</w:t>
      </w:r>
      <w:r>
        <w:t xml:space="preserve"> </w:t>
      </w:r>
      <w:r>
        <w:t xml:space="preserve">of ICH Q10</w:t>
      </w:r>
      <w:r>
        <w:t xml:space="preserve"> </w:t>
      </w:r>
      <w:r>
        <w:t xml:space="preserve">(International Council for Harmonisation 2008)</w:t>
      </w:r>
      <w:r>
        <w:t xml:space="preserve"> </w:t>
      </w:r>
      <w:r>
        <w:t xml:space="preserve">and planned in PTP-001.</w:t>
      </w:r>
    </w:p>
    <w:bookmarkEnd w:id="17"/>
    <w:bookmarkEnd w:id="18"/>
    <w:bookmarkStart w:id="31" w:name="sec-process"/>
    <w:p>
      <w:pPr>
        <w:pStyle w:val="Heading1"/>
      </w:pPr>
      <w:r>
        <w:t xml:space="preserve">2. Process description and performance</w:t>
      </w:r>
    </w:p>
    <w:bookmarkStart w:id="24" w:name="the-process-train"/>
    <w:p>
      <w:pPr>
        <w:pStyle w:val="Heading2"/>
      </w:pPr>
      <w:r>
        <w:t xml:space="preserve">2.1 The process train</w:t>
      </w:r>
    </w:p>
    <w:p>
      <w:pPr>
        <w:pStyle w:val="FirstParagraph"/>
      </w:pPr>
      <w:r>
        <w:t xml:space="preserve">A-Mab is a humanized IgG1 monoclonal antibody produced by fed-batch cell culture and</w:t>
      </w:r>
      <w:r>
        <w:t xml:space="preserve"> </w:t>
      </w:r>
      <w:r>
        <w:t xml:space="preserve">purified on a platform train. Culture in the production bioreactor is followed by harvest</w:t>
      </w:r>
      <w:r>
        <w:t xml:space="preserve"> </w:t>
      </w:r>
      <w:r>
        <w:t xml:space="preserve">and clarification, Protein A capture, a low-pH viral inactivation hold, cation exchange</w:t>
      </w:r>
      <w:r>
        <w:t xml:space="preserve"> </w:t>
      </w:r>
      <w:r>
        <w:t xml:space="preserve">polishing, anion exchange polishing in flow-through mode, small-virus retentive filtration,</w:t>
      </w:r>
      <w:r>
        <w:t xml:space="preserve"> </w:t>
      </w:r>
      <w:r>
        <w:t xml:space="preserve">and ultrafiltration and diafiltration into the formulation buffer.</w:t>
      </w:r>
      <w:r>
        <w:t xml:space="preserve"> </w:t>
      </w:r>
      <w:hyperlink w:anchor="tbl-train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lists the</w:t>
      </w:r>
      <w:r>
        <w:t xml:space="preserve"> </w:t>
      </w:r>
      <w:r>
        <w:t xml:space="preserve">steps with the role</w:t>
      </w:r>
      <w:r>
        <w:t xml:space="preserve"> </w:t>
      </w:r>
      <w:r>
        <w:t xml:space="preserve">each has in the control strategy, and</w:t>
      </w:r>
      <w:r>
        <w:t xml:space="preserve"> </w:t>
      </w:r>
      <w:hyperlink w:anchor="fig-flow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same train with the principal</w:t>
      </w:r>
      <w:r>
        <w:t xml:space="preserve"> </w:t>
      </w:r>
      <w:r>
        <w:t xml:space="preserve">quality impact of each step.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trai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The A-Mab drug substance process train and the role of each step.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28"/>
              <w:gridCol w:w="2244"/>
              <w:gridCol w:w="514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 operation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Principal role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Forms the glycan, charge-variant and aggregate CQAs (design-space step)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and Clarification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recovery and clarification; forms no product-quality CQA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Capture; sets leached Protein A; principal HCP and DNA clearance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hold; sets the cumulative XMuLV (enveloped) clearance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Polish; principal aggregate reduction; major HCP/DNA/leached-PA clearance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Flow-through polish; sets the cumulative MVM clearance; clears XMuLV/HCP/DNA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Small-Virus Retentive 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Dedicated small-virus removal; principal MVM clearance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Ultrafiltration / Diafiltration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Formulation / mass balance; delivers drug substance at target concentration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flow"/>
          <w:p>
            <w:pPr>
              <w:pStyle w:val="Compact"/>
              <w:jc w:val="center"/>
            </w:pPr>
            <w:r>
              <w:drawing>
                <wp:inline>
                  <wp:extent cx="5334000" cy="160862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_process_flow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08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drug substance process train, with the principal quality impact of each unit operation.</w:t>
            </w:r>
          </w:p>
          <w:bookmarkEnd w:id="23"/>
        </w:tc>
      </w:tr>
    </w:tbl>
    <w:p>
      <w:pPr>
        <w:pStyle w:val="BodyText"/>
      </w:pPr>
      <w:r>
        <w:t xml:space="preserve">The quality burden is not spread evenly across the train. The production bioreactor sets</w:t>
      </w:r>
      <w:r>
        <w:t xml:space="preserve"> </w:t>
      </w:r>
      <w:r>
        <w:t xml:space="preserve">7 of the 10 quality attributes, which is more than</w:t>
      </w:r>
      <w:r>
        <w:t xml:space="preserve"> </w:t>
      </w:r>
      <w:r>
        <w:t xml:space="preserve">any other step (</w:t>
      </w:r>
      <w:hyperlink w:anchor="tbl-cqa-scope">
        <w:r>
          <w:rPr>
            <w:rStyle w:val="Hyperlink"/>
          </w:rPr>
          <w:t xml:space="preserve">Table 6</w:t>
        </w:r>
      </w:hyperlink>
      <w:r>
        <w:t xml:space="preserve">). Cation exchange is the principal aggregate polishing step,</w:t>
      </w:r>
      <w:r>
        <w:t xml:space="preserve"> </w:t>
      </w:r>
      <w:r>
        <w:t xml:space="preserve">and anion exchange and virus filtration together carry the small-virus clearance claim. The</w:t>
      </w:r>
      <w:r>
        <w:t xml:space="preserve"> </w:t>
      </w:r>
      <w:r>
        <w:t xml:space="preserve">low-pH hold sets the enveloped-virus clearance claim (</w:t>
      </w:r>
      <w:hyperlink w:anchor="sec-viral">
        <w:r>
          <w:rPr>
            <w:rStyle w:val="Hyperlink"/>
          </w:rPr>
          <w:t xml:space="preserve">Section 6</w:t>
        </w:r>
      </w:hyperlink>
      <w:r>
        <w:t xml:space="preserve">) and carries the only</w:t>
      </w:r>
      <w:r>
        <w:t xml:space="preserve"> </w:t>
      </w:r>
      <w:r>
        <w:t xml:space="preserve">critical process parameter in the process (</w:t>
      </w:r>
      <w:hyperlink w:anchor="sec-classification">
        <w:r>
          <w:rPr>
            <w:rStyle w:val="Hyperlink"/>
          </w:rPr>
          <w:t xml:space="preserve">Section 4</w:t>
        </w:r>
      </w:hyperlink>
      <w:r>
        <w:t xml:space="preserve">). The remaining steps are</w:t>
      </w:r>
      <w:r>
        <w:t xml:space="preserve"> </w:t>
      </w:r>
      <w:r>
        <w:t xml:space="preserve">recovery, capture and formulation operations, and their parameters act on yield, on the</w:t>
      </w:r>
      <w:r>
        <w:t xml:space="preserve"> </w:t>
      </w:r>
      <w:r>
        <w:t xml:space="preserve">impurity burden or on the physical condition of the pool. Capture is also the step at which</w:t>
      </w:r>
      <w:r>
        <w:t xml:space="preserve"> </w:t>
      </w:r>
      <w:r>
        <w:t xml:space="preserve">leached Protein A enters the pool (</w:t>
      </w:r>
      <w:hyperlink w:anchor="tbl-cqa-scope">
        <w:r>
          <w:rPr>
            <w:rStyle w:val="Hyperlink"/>
          </w:rPr>
          <w:t xml:space="preserve">Table 6</w:t>
        </w:r>
      </w:hyperlink>
      <w:r>
        <w:t xml:space="preserve">).</w:t>
      </w:r>
    </w:p>
    <w:bookmarkEnd w:id="24"/>
    <w:bookmarkStart w:id="30" w:name="nominal-batch-performance"/>
    <w:p>
      <w:pPr>
        <w:pStyle w:val="Heading2"/>
      </w:pPr>
      <w:r>
        <w:t xml:space="preserve">2.2 Nominal batch performance</w:t>
      </w:r>
    </w:p>
    <w:p>
      <w:pPr>
        <w:pStyle w:val="FirstParagraph"/>
      </w:pPr>
      <w:r>
        <w:t xml:space="preserve">The nominal batch is the run at set-point that each report describes, and it is the</w:t>
      </w:r>
      <w:r>
        <w:t xml:space="preserve"> </w:t>
      </w:r>
      <w:r>
        <w:t xml:space="preserve">reference point for the ranges studied around it. Culture at</w:t>
      </w:r>
      <w:r>
        <w:t xml:space="preserve"> </w:t>
      </w:r>
      <w:r>
        <w:t xml:space="preserve">15,000 L delivers a harvest titre of</w:t>
      </w:r>
      <w:r>
        <w:t xml:space="preserve"> </w:t>
      </w:r>
      <w:r>
        <w:t xml:space="preserve">4.37 g/L at a final viability of</w:t>
      </w:r>
      <w:r>
        <w:t xml:space="preserve"> </w:t>
      </w:r>
      <w:r>
        <w:t xml:space="preserve">67.1%, with a peak viable cell concentration of</w:t>
      </w:r>
      <w:r>
        <w:t xml:space="preserve"> </w:t>
      </w:r>
      <w:r>
        <w:t xml:space="preserve">13.5 e6 cells/mL. The drug substance is delivered at</w:t>
      </w:r>
      <w:r>
        <w:t xml:space="preserve"> </w:t>
      </w:r>
      <w:r>
        <w:t xml:space="preserve">75 g/L, and a batch yields</w:t>
      </w:r>
      <w:r>
        <w:t xml:space="preserve"> </w:t>
      </w:r>
      <w:r>
        <w:t xml:space="preserve">54.6 kg at the end of the train.</w:t>
      </w:r>
    </w:p>
    <w:p>
      <w:pPr>
        <w:pStyle w:val="BodyText"/>
      </w:pPr>
      <w:r>
        <w:t xml:space="preserve">Product yield across the train is given in</w:t>
      </w:r>
      <w:r>
        <w:t xml:space="preserve"> </w:t>
      </w:r>
      <w:hyperlink w:anchor="tbl-yield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and plotted in</w:t>
      </w:r>
      <w:r>
        <w:t xml:space="preserve"> </w:t>
      </w:r>
      <w:hyperlink w:anchor="fig-yield">
        <w:r>
          <w:rPr>
            <w:rStyle w:val="Hyperlink"/>
          </w:rPr>
          <w:t xml:space="preserve">Figure 2</w:t>
        </w:r>
      </w:hyperlink>
      <w:r>
        <w:t xml:space="preserve">. The</w:t>
      </w:r>
      <w:r>
        <w:t xml:space="preserve"> </w:t>
      </w:r>
      <w:r>
        <w:t xml:space="preserve">cumulative yield is 83.2% and the lowest single-step yield is</w:t>
      </w:r>
      <w:r>
        <w:t xml:space="preserve"> </w:t>
      </w:r>
      <w:r>
        <w:t xml:space="preserve">95.2% at the cation exchange step. Yield is a process</w:t>
      </w:r>
      <w:r>
        <w:t xml:space="preserve"> </w:t>
      </w:r>
      <w:r>
        <w:t xml:space="preserve">performance attribute and not a quality attribute, so no step yield is an acceptance</w:t>
      </w:r>
      <w:r>
        <w:t xml:space="preserve"> </w:t>
      </w:r>
      <w:r>
        <w:t xml:space="preserve">criterion. The parameters that govern it are classified as key process parameters</w:t>
      </w:r>
      <w:r>
        <w:t xml:space="preserve"> </w:t>
      </w:r>
      <w:r>
        <w:t xml:space="preserve">(</w:t>
      </w:r>
      <w:hyperlink w:anchor="sec-classification">
        <w:r>
          <w:rPr>
            <w:rStyle w:val="Hyperlink"/>
          </w:rPr>
          <w:t xml:space="preserve">Section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yiel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Step and cumulative product yield across the drug substance train.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53"/>
              <w:gridCol w:w="3837"/>
              <w:gridCol w:w="1469"/>
              <w:gridCol w:w="195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 operation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Step yield (%)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Cumulative yield (%)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/ Clarification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94.0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89.5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87.1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 Virus Retentive Filtration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85.7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Ultrafiltration / Diafiltration (formulation)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83.2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yield"/>
          <w:p>
            <w:pPr>
              <w:pStyle w:val="Compact"/>
              <w:jc w:val="center"/>
            </w:pPr>
            <w:r>
              <w:drawing>
                <wp:inline>
                  <wp:extent cx="4800600" cy="261430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_yield_waterfal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2614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Cumulative product yield across the eight modelled unit operations.</w:t>
            </w:r>
          </w:p>
          <w:bookmarkEnd w:id="29"/>
        </w:tc>
      </w:tr>
    </w:tbl>
    <w:p>
      <w:pPr>
        <w:pStyle w:val="BodyText"/>
      </w:pPr>
      <w:r>
        <w:t xml:space="preserve">The purification train reduces the impurity burden by several orders of magnitude. In the</w:t>
      </w:r>
      <w:r>
        <w:t xml:space="preserve"> </w:t>
      </w:r>
      <w:r>
        <w:t xml:space="preserve">nominal batch, host cell protein leaves the capture step at</w:t>
      </w:r>
      <w:r>
        <w:t xml:space="preserve"> </w:t>
      </w:r>
      <w:r>
        <w:t xml:space="preserve">9,125 ng/mg, falls to</w:t>
      </w:r>
      <w:r>
        <w:t xml:space="preserve"> </w:t>
      </w:r>
      <w:r>
        <w:t xml:space="preserve">117 ng/mg across cation exchange and to</w:t>
      </w:r>
      <w:r>
        <w:t xml:space="preserve"> </w:t>
      </w:r>
      <w:r>
        <w:t xml:space="preserve">18.9 ng/mg across anion exchange. Leached</w:t>
      </w:r>
      <w:r>
        <w:t xml:space="preserve"> </w:t>
      </w:r>
      <w:r>
        <w:t xml:space="preserve">Protein A enters the pool at the capture step at</w:t>
      </w:r>
      <w:r>
        <w:t xml:space="preserve"> </w:t>
      </w:r>
      <w:r>
        <w:t xml:space="preserve">3.63 ppm and is then cleared by the</w:t>
      </w:r>
      <w:r>
        <w:t xml:space="preserve"> </w:t>
      </w:r>
      <w:r>
        <w:t xml:space="preserve">same two ion exchange steps. Aggregate rises across the low-pH hold, by</w:t>
      </w:r>
      <w:r>
        <w:t xml:space="preserve"> </w:t>
      </w:r>
      <w:r>
        <w:t xml:space="preserve">0.35 percentage points in the nominal</w:t>
      </w:r>
      <w:r>
        <w:t xml:space="preserve"> </w:t>
      </w:r>
      <w:r>
        <w:t xml:space="preserve">batch, and is reduced 2.6-fold at</w:t>
      </w:r>
      <w:r>
        <w:t xml:space="preserve"> </w:t>
      </w:r>
      <w:r>
        <w:t xml:space="preserve">cation exchange, which is why that step is described as the principal aggregate polish.</w:t>
      </w:r>
    </w:p>
    <w:bookmarkEnd w:id="30"/>
    <w:bookmarkEnd w:id="31"/>
    <w:bookmarkStart w:id="36" w:name="sec-outcomes"/>
    <w:p>
      <w:pPr>
        <w:pStyle w:val="Heading1"/>
      </w:pPr>
      <w:r>
        <w:t xml:space="preserve">3. Consolidated quality attribute outcomes</w:t>
      </w:r>
    </w:p>
    <w:bookmarkStart w:id="33" w:name="the-attributes-and-where-they-are-set"/>
    <w:p>
      <w:pPr>
        <w:pStyle w:val="Heading2"/>
      </w:pPr>
      <w:r>
        <w:t xml:space="preserve">3.1 The attributes and where they are set</w:t>
      </w:r>
    </w:p>
    <w:p>
      <w:pPr>
        <w:pStyle w:val="FirstParagraph"/>
      </w:pPr>
      <w:r>
        <w:t xml:space="preserve">The drug substance has 10 critical quality attributes, and every one of them</w:t>
      </w:r>
      <w:r>
        <w:t xml:space="preserve"> </w:t>
      </w:r>
      <w:r>
        <w:t xml:space="preserve">met its acceptance criterion in the characterized process.</w:t>
      </w:r>
      <w:r>
        <w:t xml:space="preserve"> </w:t>
      </w:r>
      <w:hyperlink w:anchor="tbl-cqa-scope">
        <w:r>
          <w:rPr>
            <w:rStyle w:val="Hyperlink"/>
          </w:rPr>
          <w:t xml:space="preserve">Table 6</w:t>
        </w:r>
      </w:hyperlink>
      <w:r>
        <w:t xml:space="preserve"> </w:t>
      </w:r>
      <w:r>
        <w:t xml:space="preserve">lists the</w:t>
      </w:r>
      <w:r>
        <w:t xml:space="preserve"> </w:t>
      </w:r>
      <w:r>
        <w:t xml:space="preserve">register with the criticality of each attribute, the step that sets it and the report that</w:t>
      </w:r>
      <w:r>
        <w:t xml:space="preserve"> </w:t>
      </w:r>
      <w:r>
        <w:t xml:space="preserve">characterizes it. Of the 10 attributes, 2 are cumulative</w:t>
      </w:r>
      <w:r>
        <w:t xml:space="preserve"> </w:t>
      </w:r>
      <w:r>
        <w:t xml:space="preserve">viral clearance claims delivered by several steps together, and the remaining</w:t>
      </w:r>
      <w:r>
        <w:t xml:space="preserve"> </w:t>
      </w:r>
      <w:r>
        <w:t xml:space="preserve">8 are product quality or process impurity attributes measured on the drug</w:t>
      </w:r>
      <w:r>
        <w:t xml:space="preserve"> </w:t>
      </w:r>
      <w:r>
        <w:t xml:space="preserve">substance itself.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qa-sco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drug substance quality attribute register, with the step that sets each attribute and the report that characterizes it.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49"/>
              <w:gridCol w:w="1018"/>
              <w:gridCol w:w="848"/>
              <w:gridCol w:w="1584"/>
              <w:gridCol w:w="1753"/>
              <w:gridCol w:w="56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Criticality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Acceptance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Set by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glycosylation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2–13 % of glycans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 (total %Gal)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glycosylation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10–40 % (G1+G2 equiv.)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Mannose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glycosylation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3–10 % of glycans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 variant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0–5 % HMW (SEC)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Acidic charge variants (deamidation)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charge variant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18–40 % (CEX/icIEF)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M-H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0–100 ng/mg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0–0.001 ng/dose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 impurity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L-M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 ppm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safety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16.7–30 log10 (cumulative)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MVM (parvovirus)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safety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8.6–20 log10 (cumulative)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PCR-008</w:t>
                  </w:r>
                </w:p>
              </w:tc>
            </w:tr>
          </w:tbl>
          <w:bookmarkEnd w:id="32"/>
          <w:p/>
        </w:tc>
      </w:tr>
    </w:tbl>
    <w:p>
      <w:pPr>
        <w:pStyle w:val="BodyText"/>
      </w:pPr>
      <w:r>
        <w:t xml:space="preserve">Setting an attribute and controlling it are different things, and for several attributes</w:t>
      </w:r>
      <w:r>
        <w:t xml:space="preserve"> </w:t>
      </w:r>
      <w:r>
        <w:t xml:space="preserve">they happen at different steps. Host cell protein and residual DNA are generated in the</w:t>
      </w:r>
      <w:r>
        <w:t xml:space="preserve"> </w:t>
      </w:r>
      <w:r>
        <w:t xml:space="preserve">culture and are cleared by Protein A capture (PCR-005), cation exchange (PCR-007) and anion</w:t>
      </w:r>
      <w:r>
        <w:t xml:space="preserve"> </w:t>
      </w:r>
      <w:r>
        <w:t xml:space="preserve">exchange (PCR-008). Aggregate is formed in the bioreactor (PCR-003), rises across the</w:t>
      </w:r>
      <w:r>
        <w:t xml:space="preserve"> </w:t>
      </w:r>
      <w:r>
        <w:t xml:space="preserve">low-pH hold (PCR-006) and is reduced at cation exchange (PCR-007), the principal polishing</w:t>
      </w:r>
      <w:r>
        <w:t xml:space="preserve"> </w:t>
      </w:r>
      <w:r>
        <w:t xml:space="preserve">step for it. Leached Protein A is formed at the capture step (PCR-005) and is cleared by</w:t>
      </w:r>
      <w:r>
        <w:t xml:space="preserve"> </w:t>
      </w:r>
      <w:r>
        <w:t xml:space="preserve">the two ion exchange steps. The 3 glycan attributes are formed inside the</w:t>
      </w:r>
      <w:r>
        <w:t xml:space="preserve"> </w:t>
      </w:r>
      <w:r>
        <w:t xml:space="preserve">cell and in the culture fluid. The platform purification steps do not separate</w:t>
      </w:r>
      <w:r>
        <w:t xml:space="preserve"> </w:t>
      </w:r>
      <w:r>
        <w:t xml:space="preserve">glycosylation variants of a monoclonal antibody</w:t>
      </w:r>
      <w:r>
        <w:t xml:space="preserve"> </w:t>
      </w:r>
      <w:r>
        <w:t xml:space="preserve">(CMC Biotech Working Group 2009)</w:t>
      </w:r>
      <w:r>
        <w:t xml:space="preserve">, so PCR-003 carries them alone.</w:t>
      </w:r>
      <w:r>
        <w:t xml:space="preserve"> </w:t>
      </w:r>
      <w:r>
        <w:t xml:space="preserve">Acidic charge variants are also set in the culture, and the low-pH hold reports them as a</w:t>
      </w:r>
      <w:r>
        <w:t xml:space="preserve"> </w:t>
      </w:r>
      <w:r>
        <w:t xml:space="preserve">response as well (PCR-006).</w:t>
      </w:r>
    </w:p>
    <w:bookmarkEnd w:id="33"/>
    <w:bookmarkStart w:id="35" w:name="outcome-against-the-acceptance-criteria"/>
    <w:p>
      <w:pPr>
        <w:pStyle w:val="Heading2"/>
      </w:pPr>
      <w:r>
        <w:t xml:space="preserve">3.2 Outcome against the acceptance criteria</w:t>
      </w:r>
    </w:p>
    <w:p>
      <w:pPr>
        <w:pStyle w:val="FirstParagraph"/>
      </w:pPr>
      <w:hyperlink w:anchor="tbl-cqa-outcome">
        <w:r>
          <w:rPr>
            <w:rStyle w:val="Hyperlink"/>
          </w:rPr>
          <w:t xml:space="preserve">Table 7</w:t>
        </w:r>
      </w:hyperlink>
      <w:r>
        <w:t xml:space="preserve"> </w:t>
      </w:r>
      <w:r>
        <w:t xml:space="preserve">gives the outcome of the campaign attribute by attribute, and each row</w:t>
      </w:r>
      <w:r>
        <w:t xml:space="preserve"> </w:t>
      </w:r>
      <w:r>
        <w:t xml:space="preserve">compares the simulated commercial-scale distribution with the criterion that governs the</w:t>
      </w:r>
      <w:r>
        <w:t xml:space="preserve"> </w:t>
      </w:r>
      <w:r>
        <w:t xml:space="preserve">attribute. For the impurity, size variant and charge variant attributes only the upper</w:t>
      </w:r>
      <w:r>
        <w:t xml:space="preserve"> </w:t>
      </w:r>
      <w:r>
        <w:t xml:space="preserve">limit is an acceptance limit, so the criterion is one-sided and the capability index in</w:t>
      </w:r>
      <w:r>
        <w:t xml:space="preserve"> </w:t>
      </w:r>
      <w:hyperlink w:anchor="tbl-cap">
        <w:r>
          <w:rPr>
            <w:rStyle w:val="Hyperlink"/>
          </w:rPr>
          <w:t xml:space="preserve">Table 9</w:t>
        </w:r>
      </w:hyperlink>
      <w:r>
        <w:t xml:space="preserve"> </w:t>
      </w:r>
      <w:r>
        <w:t xml:space="preserve">is one-sided with it. For the viral clearance attributes the criterion is a floor, and for the</w:t>
      </w:r>
      <w:r>
        <w:t xml:space="preserve"> </w:t>
      </w:r>
      <w:r>
        <w:t xml:space="preserve">glycan attributes both limits apply. Across 2,000 simulated</w:t>
      </w:r>
      <w:r>
        <w:t xml:space="preserve"> </w:t>
      </w:r>
      <w:r>
        <w:t xml:space="preserve">batches, 10 attributes met their criterion and none produced a value outside</w:t>
      </w:r>
      <w:r>
        <w:t xml:space="preserve"> </w:t>
      </w:r>
      <w:r>
        <w:t xml:space="preserve">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tbl-cqa-outcom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Simulated commercial-scale outcome for every drug substance quality attribute.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2250"/>
              <w:gridCol w:w="1584"/>
              <w:gridCol w:w="91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Criterion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Simulated range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Outcome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2–13 % of glycans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6.265 – 9.967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 (total %Gal)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10–40 % (G1+G2 equiv.)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20.94 – 32.22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Mannose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3–10 % of glycans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4.284 – 7.978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5 % HMW (SEC)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0.5011 – 1.15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Acidic charge variants (deamidation)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40 % (CEX/icIEF)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17.21 – 27.22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100 ng/mg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5.538 – 42.32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0.001 ng/dose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0.0001 – 0.0003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≤ 5 ppm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0.0014 – 0.0056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≥ 16.7 log10 (cumulative)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17.51 – 22.38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MVM (parvovirus)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≥ 8.6 log10 (cumulative)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9.076 – 11.96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</w:t>
                  </w:r>
                </w:p>
              </w:tc>
            </w:tr>
          </w:tbl>
          <w:bookmarkEnd w:id="34"/>
          <w:p/>
        </w:tc>
      </w:tr>
    </w:tbl>
    <w:p>
      <w:pPr>
        <w:pStyle w:val="BodyText"/>
      </w:pPr>
      <w:r>
        <w:t xml:space="preserve">Two rows repay a second look. The simulated range for acidic charge variants extends below</w:t>
      </w:r>
      <w:r>
        <w:t xml:space="preserve"> </w:t>
      </w:r>
      <w:r>
        <w:t xml:space="preserve">the lower figure shown for that attribute in</w:t>
      </w:r>
      <w:r>
        <w:t xml:space="preserve"> </w:t>
      </w:r>
      <w:hyperlink w:anchor="tbl-cqa-scope">
        <w:r>
          <w:rPr>
            <w:rStyle w:val="Hyperlink"/>
          </w:rPr>
          <w:t xml:space="preserve">Table 6</w:t>
        </w:r>
      </w:hyperlink>
      <w:r>
        <w:t xml:space="preserve">, which is not an acceptance</w:t>
      </w:r>
      <w:r>
        <w:t xml:space="preserve"> </w:t>
      </w:r>
      <w:r>
        <w:t xml:space="preserve">limit, because the specification for acidic charge variants is one-sided and the risk it</w:t>
      </w:r>
      <w:r>
        <w:t xml:space="preserve"> </w:t>
      </w:r>
      <w:r>
        <w:t xml:space="preserve">addresses is an elevated level. The second is leached Protein A, whose simulated</w:t>
      </w:r>
      <w:r>
        <w:t xml:space="preserve"> </w:t>
      </w:r>
      <w:r>
        <w:t xml:space="preserve">concentrations lie far below the limit, so its capability index is correspondingly large</w:t>
      </w:r>
      <w:r>
        <w:t xml:space="preserve"> </w:t>
      </w:r>
      <w:r>
        <w:t xml:space="preserve">and carries no information beyond that.</w:t>
      </w:r>
    </w:p>
    <w:p>
      <w:pPr>
        <w:pStyle w:val="BodyText"/>
      </w:pPr>
      <w:r>
        <w:t xml:space="preserve">The margins are not uniform. High mannose and the two viral clearance attributes sit</w:t>
      </w:r>
      <w:r>
        <w:t xml:space="preserve"> </w:t>
      </w:r>
      <w:r>
        <w:t xml:space="preserve">closest to their limits, and they are the attributes on which the operating region is</w:t>
      </w:r>
      <w:r>
        <w:t xml:space="preserve"> </w:t>
      </w:r>
      <w:r>
        <w:t xml:space="preserve">effectively binding, with the capability figures given in</w:t>
      </w:r>
      <w:r>
        <w:t xml:space="preserve"> </w:t>
      </w:r>
      <w:hyperlink w:anchor="sec-capability">
        <w:r>
          <w:rPr>
            <w:rStyle w:val="Hyperlink"/>
          </w:rPr>
          <w:t xml:space="preserve">Section 5</w:t>
        </w:r>
      </w:hyperlink>
      <w:r>
        <w:t xml:space="preserve">. The impurity</w:t>
      </w:r>
      <w:r>
        <w:t xml:space="preserve"> </w:t>
      </w:r>
      <w:r>
        <w:t xml:space="preserve">attributes clear their limits by a wide margin, which is a property of a train in which</w:t>
      </w:r>
      <w:r>
        <w:t xml:space="preserve"> </w:t>
      </w:r>
      <w:r>
        <w:t xml:space="preserve">the capture step and both polishing steps remove them, and not a property of any single</w:t>
      </w:r>
      <w:r>
        <w:t xml:space="preserve"> </w:t>
      </w:r>
      <w:r>
        <w:t xml:space="preserve">step.</w:t>
      </w:r>
    </w:p>
    <w:p>
      <w:pPr>
        <w:pStyle w:val="BodyText"/>
      </w:pPr>
      <w:r>
        <w:t xml:space="preserve">The outcome in each row is a simulated one. The simulation varies the process parameters and</w:t>
      </w:r>
      <w:r>
        <w:t xml:space="preserve"> </w:t>
      </w:r>
      <w:r>
        <w:t xml:space="preserve">propagates them through the fitted models of the scale-down studies, so it covers the</w:t>
      </w:r>
      <w:r>
        <w:t xml:space="preserve"> </w:t>
      </w:r>
      <w:r>
        <w:t xml:space="preserve">variation those models describe and no other, and it does not cover raw material</w:t>
      </w:r>
      <w:r>
        <w:t xml:space="preserve"> </w:t>
      </w:r>
      <w:r>
        <w:t xml:space="preserve">variability beyond what the models carry. It is not a measurement of commercial equipment,</w:t>
      </w:r>
      <w:r>
        <w:t xml:space="preserve"> </w:t>
      </w:r>
      <w:r>
        <w:t xml:space="preserve">and the attribute levels are confirmed at scale during Stage 2.</w:t>
      </w:r>
    </w:p>
    <w:bookmarkEnd w:id="35"/>
    <w:bookmarkEnd w:id="36"/>
    <w:bookmarkStart w:id="45" w:name="sec-classification"/>
    <w:p>
      <w:pPr>
        <w:pStyle w:val="Heading1"/>
      </w:pPr>
      <w:r>
        <w:t xml:space="preserve">4. Parameter classification summary</w:t>
      </w:r>
    </w:p>
    <w:bookmarkStart w:id="42" w:name="the-classification-across-the-train"/>
    <w:p>
      <w:pPr>
        <w:pStyle w:val="Heading2"/>
      </w:pPr>
      <w:r>
        <w:t xml:space="preserve">4.1 The classification across the train</w:t>
      </w:r>
    </w:p>
    <w:p>
      <w:pPr>
        <w:pStyle w:val="FirstParagraph"/>
      </w:pPr>
      <w:r>
        <w:t xml:space="preserve">Every parameter carried into the campaign has a classification, and the counts are</w:t>
      </w:r>
      <w:r>
        <w:t xml:space="preserve"> </w:t>
      </w:r>
      <w:r>
        <w:t xml:space="preserve">1 critical process parameter, 20 well-controlled critical</w:t>
      </w:r>
      <w:r>
        <w:t xml:space="preserve"> </w:t>
      </w:r>
      <w:r>
        <w:t xml:space="preserve">process parameters, 10 key process parameters and 6 general</w:t>
      </w:r>
      <w:r>
        <w:t xml:space="preserve"> </w:t>
      </w:r>
      <w:r>
        <w:t xml:space="preserve">process parameters.</w:t>
      </w:r>
      <w:r>
        <w:t xml:space="preserve"> </w:t>
      </w:r>
      <w:hyperlink w:anchor="fig-class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how they fall across the train.</w:t>
      </w:r>
      <w:r>
        <w:t xml:space="preserve"> </w:t>
      </w:r>
      <w:hyperlink w:anchor="tbl-cpp">
        <w:r>
          <w:rPr>
            <w:rStyle w:val="Hyperlink"/>
          </w:rPr>
          <w:t xml:space="preserve">Table 8</w:t>
        </w:r>
      </w:hyperlink>
      <w:r>
        <w:t xml:space="preserve"> </w:t>
      </w:r>
      <w:r>
        <w:t xml:space="preserve">lists the</w:t>
      </w:r>
      <w:r>
        <w:t xml:space="preserve"> </w:t>
      </w:r>
      <w:r>
        <w:t xml:space="preserve">21 quality-linked parameters with their set-points and normal</w:t>
      </w:r>
      <w:r>
        <w:t xml:space="preserve"> </w:t>
      </w:r>
      <w:r>
        <w:t xml:space="preserve">operating ranges, and those ranges are the ranges the commercial process is asked to hold.</w:t>
      </w:r>
      <w:r>
        <w:t xml:space="preserve"> </w:t>
      </w:r>
      <w:r>
        <w:t xml:space="preserve">The classification decisions are made in the report for each step, under SOP-4001.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class"/>
          <w:p>
            <w:pPr>
              <w:pStyle w:val="Compact"/>
              <w:jc w:val="center"/>
            </w:pPr>
            <w:r>
              <w:drawing>
                <wp:inline>
                  <wp:extent cx="5334000" cy="22691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_param_classification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6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Post-characterization classification of process parameters by unit operation.</w:t>
            </w:r>
          </w:p>
          <w:bookmarkEnd w:id="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tbl-cp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8: The quality-linked process parameters of the drug substance train, with their set-points and normal operating ranges.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564"/>
              <w:gridCol w:w="2036"/>
              <w:gridCol w:w="829"/>
              <w:gridCol w:w="980"/>
              <w:gridCol w:w="829"/>
              <w:gridCol w:w="67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 operation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6.75–6.95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34.5–35.5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 CO2 (pCO2)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mmHg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70–130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Osmolality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mOsm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375–425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Bioreactor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Culture duration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days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16–18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20–40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A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3.4–3.7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Inactivation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3.4–3.6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Hold time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60–120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Temperature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°C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19–23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18–32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Load/Wash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4–6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buffer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5.85–6.15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Cation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 stop collect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OD desc.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0.7–1.3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pH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7.35–7.65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Equil/Wash-1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2.1–3.1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 conductivity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mS/cm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4–7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g/L resin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120–280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Chromatography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Operating flow rate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cm/hr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200–400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 Virus Retentive 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Filtration volume (load)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L/m2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50–105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Small Virus Retentive 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Filtration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psi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WC-CPP</w:t>
                  </w:r>
                </w:p>
              </w:tc>
            </w:tr>
          </w:tbl>
          <w:bookmarkEnd w:id="41"/>
          <w:p/>
        </w:tc>
      </w:tr>
    </w:tbl>
    <w:p>
      <w:pPr>
        <w:pStyle w:val="BodyText"/>
      </w:pPr>
      <w:r>
        <w:t xml:space="preserve">The distinction between the two quality-linked classes is the risk of leaving the design</w:t>
      </w:r>
      <w:r>
        <w:t xml:space="preserve"> </w:t>
      </w:r>
      <w:r>
        <w:t xml:space="preserve">space and not the size of the effect</w:t>
      </w:r>
      <w:r>
        <w:t xml:space="preserve"> </w:t>
      </w:r>
      <w:r>
        <w:t xml:space="preserve">(CMC Biotech Working Group 2009)</w:t>
      </w:r>
      <w:r>
        <w:t xml:space="preserve">. A well-controlled critical process</w:t>
      </w:r>
      <w:r>
        <w:t xml:space="preserve"> </w:t>
      </w:r>
      <w:r>
        <w:t xml:space="preserve">parameter affects a critical quality attribute and has a low risk of moving outside the</w:t>
      </w:r>
      <w:r>
        <w:t xml:space="preserve"> </w:t>
      </w:r>
      <w:r>
        <w:t xml:space="preserve">design space, whereas a critical process parameter carries a high risk of it. The class</w:t>
      </w:r>
      <w:r>
        <w:t xml:space="preserve"> </w:t>
      </w:r>
      <w:r>
        <w:t xml:space="preserve">therefore follows from the control capability of the equipment as much as from the result</w:t>
      </w:r>
      <w:r>
        <w:t xml:space="preserve"> </w:t>
      </w:r>
      <w:r>
        <w:t xml:space="preserve">of the study. The 20 well-controlled critical process parameters are spread across</w:t>
      </w:r>
      <w:r>
        <w:t xml:space="preserve"> </w:t>
      </w:r>
      <w:r>
        <w:t xml:space="preserve">6 unit operations, and every one of them is held within a normal</w:t>
      </w:r>
      <w:r>
        <w:t xml:space="preserve"> </w:t>
      </w:r>
      <w:r>
        <w:t xml:space="preserve">operating range that lies at or inside the edges of the range characterized for it. The</w:t>
      </w:r>
      <w:r>
        <w:t xml:space="preserve"> </w:t>
      </w:r>
      <w:r>
        <w:t xml:space="preserve">characterized range is given parameter by parameter in the report for each step.</w:t>
      </w:r>
    </w:p>
    <w:bookmarkEnd w:id="42"/>
    <w:bookmarkStart w:id="43" w:name="the-exceptions"/>
    <w:p>
      <w:pPr>
        <w:pStyle w:val="Heading2"/>
      </w:pPr>
      <w:r>
        <w:t xml:space="preserve">4.2 The exceptions</w:t>
      </w:r>
    </w:p>
    <w:p>
      <w:pPr>
        <w:pStyle w:val="FirstParagraph"/>
      </w:pPr>
      <w:r>
        <w:t xml:space="preserve">The process has 1 critical process parameter, the pH of the low-pH viral</w:t>
      </w:r>
      <w:r>
        <w:t xml:space="preserve"> </w:t>
      </w:r>
      <w:r>
        <w:t xml:space="preserve">inactivation hold. Its normal operating range is 0.2 pH units</w:t>
      </w:r>
      <w:r>
        <w:t xml:space="preserve"> </w:t>
      </w:r>
      <w:r>
        <w:t xml:space="preserve">wide, and the study characterized 0.8 pH units around it. The</w:t>
      </w:r>
      <w:r>
        <w:t xml:space="preserve"> </w:t>
      </w:r>
      <w:r>
        <w:t xml:space="preserve">parameter governs the enveloped-virus clearance claim, an attribute of very high criticality</w:t>
      </w:r>
      <w:r>
        <w:t xml:space="preserve"> </w:t>
      </w:r>
      <w:r>
        <w:t xml:space="preserve">(</w:t>
      </w:r>
      <w:hyperlink w:anchor="tbl-cqa-scope">
        <w:r>
          <w:rPr>
            <w:rStyle w:val="Hyperlink"/>
          </w:rPr>
          <w:t xml:space="preserve">Table 6</w:t>
        </w:r>
      </w:hyperlink>
      <w:r>
        <w:t xml:space="preserve">), which satisfies the first half of the definition. The second half is a</w:t>
      </w:r>
      <w:r>
        <w:t xml:space="preserve"> </w:t>
      </w:r>
      <w:r>
        <w:t xml:space="preserve">judgement about how closely the step can be held to its range, and the assessment behind it</w:t>
      </w:r>
      <w:r>
        <w:t xml:space="preserve"> </w:t>
      </w:r>
      <w:r>
        <w:t xml:space="preserve">is in PCR-006, which also records the classification. No other step needed the more</w:t>
      </w:r>
      <w:r>
        <w:t xml:space="preserve"> </w:t>
      </w:r>
      <w:r>
        <w:t xml:space="preserve">stringent class.</w:t>
      </w:r>
    </w:p>
    <w:p>
      <w:pPr>
        <w:pStyle w:val="BodyText"/>
      </w:pPr>
      <w:r>
        <w:t xml:space="preserve">The campaign classified 1 quality-linked parameter on a univariate</w:t>
      </w:r>
      <w:r>
        <w:t xml:space="preserve"> </w:t>
      </w:r>
      <w:r>
        <w:t xml:space="preserve">assessment and not on a multivariate effect estimate. It is the operating flow rate of the anion</w:t>
      </w:r>
      <w:r>
        <w:t xml:space="preserve"> </w:t>
      </w:r>
      <w:r>
        <w:t xml:space="preserve">exchange step, which RA-001 assigned to a univariate assessment and which PCR-008 then</w:t>
      </w:r>
      <w:r>
        <w:t xml:space="preserve"> </w:t>
      </w:r>
      <w:r>
        <w:t xml:space="preserve">classified from the range given in</w:t>
      </w:r>
      <w:r>
        <w:t xml:space="preserve"> </w:t>
      </w:r>
      <w:hyperlink w:anchor="tbl-cpp">
        <w:r>
          <w:rPr>
            <w:rStyle w:val="Hyperlink"/>
          </w:rPr>
          <w:t xml:space="preserve">Table 8</w:t>
        </w:r>
      </w:hyperlink>
      <w:r>
        <w:t xml:space="preserve">, so its classification rests on a bounding</w:t>
      </w:r>
      <w:r>
        <w:t xml:space="preserve"> </w:t>
      </w:r>
      <w:r>
        <w:t xml:space="preserve">argument and not on a measured multivariate effect.</w:t>
      </w:r>
    </w:p>
    <w:p>
      <w:pPr>
        <w:pStyle w:val="BodyText"/>
      </w:pPr>
      <w:r>
        <w:t xml:space="preserve">Neither harvest and clarification nor the formulation step carries a quality-linked</w:t>
      </w:r>
      <w:r>
        <w:t xml:space="preserve"> </w:t>
      </w:r>
      <w:r>
        <w:t xml:space="preserve">parameter (</w:t>
      </w:r>
      <w:hyperlink w:anchor="fig-class">
        <w:r>
          <w:rPr>
            <w:rStyle w:val="Hyperlink"/>
          </w:rPr>
          <w:t xml:space="preserve">Figure 3</w:t>
        </w:r>
      </w:hyperlink>
      <w:r>
        <w:t xml:space="preserve">). Neither step sets a critical quality attribute (</w:t>
      </w:r>
      <w:hyperlink w:anchor="tbl-cqa-scope">
        <w:r>
          <w:rPr>
            <w:rStyle w:val="Hyperlink"/>
          </w:rPr>
          <w:t xml:space="preserve">Table 6</w:t>
        </w:r>
      </w:hyperlink>
      <w:r>
        <w:t xml:space="preserve">), so</w:t>
      </w:r>
      <w:r>
        <w:t xml:space="preserve"> </w:t>
      </w:r>
      <w:r>
        <w:t xml:space="preserve">their parameters are classified for process performance. The ranges they are held to</w:t>
      </w:r>
      <w:r>
        <w:t xml:space="preserve"> </w:t>
      </w:r>
      <w:r>
        <w:t xml:space="preserve">protect yield, filter capacity and the concentration of the delivered pool.</w:t>
      </w:r>
    </w:p>
    <w:bookmarkEnd w:id="43"/>
    <w:bookmarkStart w:id="44" w:name="null-results-and-what-they-are-worth"/>
    <w:p>
      <w:pPr>
        <w:pStyle w:val="Heading2"/>
      </w:pPr>
      <w:r>
        <w:t xml:space="preserve">4.3 Null results and what they are worth</w:t>
      </w:r>
    </w:p>
    <w:p>
      <w:pPr>
        <w:pStyle w:val="FirstParagraph"/>
      </w:pPr>
      <w:r>
        <w:t xml:space="preserve">A parameter that produced no measurable effect over the range studied is still classified,</w:t>
      </w:r>
      <w:r>
        <w:t xml:space="preserve"> </w:t>
      </w:r>
      <w:r>
        <w:t xml:space="preserve">and the range over which nothing happened is recorded in the report for its step.</w:t>
      </w:r>
      <w:r>
        <w:t xml:space="preserve"> </w:t>
      </w:r>
      <w:r>
        <w:t xml:space="preserve">On that basis 6 parameters are classified as general process parameters. The absence of an</w:t>
      </w:r>
      <w:r>
        <w:t xml:space="preserve"> </w:t>
      </w:r>
      <w:r>
        <w:t xml:space="preserve">effect over a characterized range is evidence that the attribute is robust to the parameter</w:t>
      </w:r>
      <w:r>
        <w:t xml:space="preserve"> </w:t>
      </w:r>
      <w:r>
        <w:t xml:space="preserve">over that range, but it is not evidence about conditions outside it. Each report states the</w:t>
      </w:r>
      <w:r>
        <w:t xml:space="preserve"> </w:t>
      </w:r>
      <w:r>
        <w:t xml:space="preserve">range it covered.</w:t>
      </w:r>
    </w:p>
    <w:bookmarkEnd w:id="44"/>
    <w:bookmarkEnd w:id="45"/>
    <w:bookmarkStart w:id="51" w:name="sec-capability"/>
    <w:p>
      <w:pPr>
        <w:pStyle w:val="Heading1"/>
      </w:pPr>
      <w:r>
        <w:t xml:space="preserve">5. Process capability</w:t>
      </w:r>
    </w:p>
    <w:p>
      <w:pPr>
        <w:pStyle w:val="FirstParagraph"/>
      </w:pPr>
      <w:r>
        <w:t xml:space="preserve">Commercial-scale capability was estimated for every drug substance quality attribute, and</w:t>
      </w:r>
      <w:r>
        <w:t xml:space="preserve"> </w:t>
      </w:r>
      <w:r>
        <w:t xml:space="preserve">the lowest capability index in the set is 1.51. The estimate</w:t>
      </w:r>
      <w:r>
        <w:t xml:space="preserve"> </w:t>
      </w:r>
      <w:r>
        <w:t xml:space="preserve">comes from simulating 2,000 batches, in which each batch</w:t>
      </w:r>
      <w:r>
        <w:t xml:space="preserve"> </w:t>
      </w:r>
      <w:r>
        <w:t xml:space="preserve">draws every process parameter about its set-point, with a spread set by the width of its</w:t>
      </w:r>
      <w:r>
        <w:t xml:space="preserve"> </w:t>
      </w:r>
      <w:r>
        <w:t xml:space="preserve">normal operating range and bounded by the range characterized, and propagates the drawn</w:t>
      </w:r>
      <w:r>
        <w:t xml:space="preserve"> </w:t>
      </w:r>
      <w:r>
        <w:t xml:space="preserve">operating point through the fitted models of the scale-down studies. Capability is one-sided</w:t>
      </w:r>
      <w:r>
        <w:t xml:space="preserve"> </w:t>
      </w:r>
      <w:r>
        <w:t xml:space="preserve">against the governing limit for the impurity, size variant and charge variant attributes</w:t>
      </w:r>
      <w:r>
        <w:t xml:space="preserve"> </w:t>
      </w:r>
      <w:r>
        <w:t xml:space="preserve">and for the clearance attributes (</w:t>
      </w:r>
      <w:hyperlink w:anchor="tbl-cap">
        <w:r>
          <w:rPr>
            <w:rStyle w:val="Hyperlink"/>
          </w:rPr>
          <w:t xml:space="preserve">Table 9</w:t>
        </w:r>
      </w:hyperlink>
      <w:r>
        <w:t xml:space="preserve">), and two-sided for the glycan attributes.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ca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9: Commercial-scale process capability for every drug substance quality attribute.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02"/>
              <w:gridCol w:w="734"/>
              <w:gridCol w:w="898"/>
              <w:gridCol w:w="1143"/>
              <w:gridCol w:w="1306"/>
              <w:gridCol w:w="73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CQA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Crit.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Acceptance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 ± 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Cpk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Afucosylation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two_sided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2–13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7.98 ± 0.58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Galactosylation (total %Gal)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two_sided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10–40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26 ± 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Mannose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two_sided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3–10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5.99 ± 0.51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Aggregates (HMW)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0.753 ± 0.088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Acidic charge variants (deamidation)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18–40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22.3 ± 1.4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4.26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 Cell Protein (HCP)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M-H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0–100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15.2 ± 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0–0.001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0.0001 ± 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10.81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L-M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upper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0–5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0.003 ± 0.0006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2785.30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XMuLV (enveloped)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16.7–30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19.5 ± 0.61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Viral clearance — MVM (parvovirus)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8.6–20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10.4 ± 0.4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1.51</w:t>
                  </w:r>
                </w:p>
              </w:tc>
            </w:tr>
          </w:tbl>
          <w:bookmarkEnd w:id="46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ap"/>
          <w:p>
            <w:pPr>
              <w:pStyle w:val="Compact"/>
              <w:jc w:val="center"/>
            </w:pPr>
            <w:r>
              <w:drawing>
                <wp:inline>
                  <wp:extent cx="5334000" cy="29007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_capability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00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Simulated drug substance attribute distributions against their acceptance limits, annotated with the capability index.</w:t>
            </w:r>
          </w:p>
          <w:bookmarkEnd w:id="50"/>
        </w:tc>
      </w:tr>
    </w:tbl>
    <w:p>
      <w:pPr>
        <w:pStyle w:val="BodyText"/>
      </w:pPr>
      <w:r>
        <w:t xml:space="preserve">The tightest capability in the process is cumulative MVM clearance, at</w:t>
      </w:r>
      <w:r>
        <w:t xml:space="preserve"> </w:t>
      </w:r>
      <w:r>
        <w:t xml:space="preserve">1.51, with a simulated mean</w:t>
      </w:r>
      <w:r>
        <w:t xml:space="preserve"> </w:t>
      </w:r>
      <w:r>
        <w:t xml:space="preserve">1.78 log₁₀ above its floor, and cumulative XMuLV clearance</w:t>
      </w:r>
      <w:r>
        <w:t xml:space="preserve"> </w:t>
      </w:r>
      <w:r>
        <w:t xml:space="preserve">is next, at 1.53 with a margin of</w:t>
      </w:r>
      <w:r>
        <w:t xml:space="preserve"> </w:t>
      </w:r>
      <w:r>
        <w:t xml:space="preserve">2.81 log₁₀. Both are governed by more than one step, so neither</w:t>
      </w:r>
      <w:r>
        <w:t xml:space="preserve"> </w:t>
      </w:r>
      <w:r>
        <w:t xml:space="preserve">figure is the property of a single unit operation, and the contributions are set out in</w:t>
      </w:r>
      <w:r>
        <w:t xml:space="preserve"> </w:t>
      </w:r>
      <w:hyperlink w:anchor="sec-viral">
        <w:r>
          <w:rPr>
            <w:rStyle w:val="Hyperlink"/>
          </w:rPr>
          <w:t xml:space="preserve">Section 6</w:t>
        </w:r>
      </w:hyperlink>
      <w:r>
        <w:t xml:space="preserve">. High mannose is the tightest of the attributes formed in the process, at</w:t>
      </w:r>
      <w:r>
        <w:t xml:space="preserve"> </w:t>
      </w:r>
      <w:r>
        <w:t xml:space="preserve">1.94, and it is governed by the bioreactor alone (PCR-003). The</w:t>
      </w:r>
      <w:r>
        <w:t xml:space="preserve"> </w:t>
      </w:r>
      <w:r>
        <w:t xml:space="preserve">remaining attributes clear their limits by a wider margin, and the largest index in</w:t>
      </w:r>
      <w:r>
        <w:t xml:space="preserve"> </w:t>
      </w:r>
      <w:hyperlink w:anchor="tbl-cap">
        <w:r>
          <w:rPr>
            <w:rStyle w:val="Hyperlink"/>
          </w:rPr>
          <w:t xml:space="preserve">Table 9</w:t>
        </w:r>
      </w:hyperlink>
      <w:r>
        <w:t xml:space="preserve">, for leached Protein A, reflects a pool concentration far below the limit and</w:t>
      </w:r>
      <w:r>
        <w:t xml:space="preserve"> </w:t>
      </w:r>
      <w:r>
        <w:t xml:space="preserve">nothing else.</w:t>
      </w:r>
    </w:p>
    <w:p>
      <w:pPr>
        <w:pStyle w:val="BodyText"/>
      </w:pPr>
      <w:r>
        <w:t xml:space="preserve">This report sets no acceptance threshold for the capability index, and each index is</w:t>
      </w:r>
      <w:r>
        <w:t xml:space="preserve"> </w:t>
      </w:r>
      <w:r>
        <w:t xml:space="preserve">reported with the margin between the simulated mean and the governing limit, which is the</w:t>
      </w:r>
      <w:r>
        <w:t xml:space="preserve"> </w:t>
      </w:r>
      <w:r>
        <w:t xml:space="preserve">quantity a control decision acts on.</w:t>
      </w:r>
    </w:p>
    <w:p>
      <w:pPr>
        <w:pStyle w:val="BodyText"/>
      </w:pPr>
      <w:r>
        <w:t xml:space="preserve">The capability estimate is built on qualified scale-down models and</w:t>
      </w:r>
      <w:r>
        <w:t xml:space="preserve"> </w:t>
      </w:r>
      <w:r>
        <w:t xml:space="preserve">inherits their assumptions about feed states and about scale independence. It describes the</w:t>
      </w:r>
      <w:r>
        <w:t xml:space="preserve"> </w:t>
      </w:r>
      <w:r>
        <w:t xml:space="preserve">process operating near its set-points, so it says nothing about performance at the edges of</w:t>
      </w:r>
      <w:r>
        <w:t xml:space="preserve"> </w:t>
      </w:r>
      <w:r>
        <w:t xml:space="preserve">the design space, which have not been run at commercial scale. It is not a</w:t>
      </w:r>
      <w:r>
        <w:t xml:space="preserve"> </w:t>
      </w:r>
      <w:r>
        <w:t xml:space="preserve">measurement of the commercial process at all, and it is confirmed during Stage 2, when</w:t>
      </w:r>
      <w:r>
        <w:t xml:space="preserve"> </w:t>
      </w:r>
      <w:r>
        <w:t xml:space="preserve">capability is re-estimated from process performance qualification batches and from the data</w:t>
      </w:r>
      <w:r>
        <w:t xml:space="preserve"> </w:t>
      </w:r>
      <w:r>
        <w:t xml:space="preserve">of continued process verification.</w:t>
      </w:r>
    </w:p>
    <w:bookmarkEnd w:id="51"/>
    <w:bookmarkStart w:id="59" w:name="sec-viral"/>
    <w:p>
      <w:pPr>
        <w:pStyle w:val="Heading1"/>
      </w:pPr>
      <w:r>
        <w:t xml:space="preserve">6. Viral clearance summary</w:t>
      </w:r>
    </w:p>
    <w:bookmarkStart w:id="57" w:name="the-modular-claim"/>
    <w:p>
      <w:pPr>
        <w:pStyle w:val="Heading2"/>
      </w:pPr>
      <w:r>
        <w:t xml:space="preserve">6.1 The modular claim</w:t>
      </w:r>
    </w:p>
    <w:p>
      <w:pPr>
        <w:pStyle w:val="FirstParagraph"/>
      </w:pPr>
      <w:r>
        <w:t xml:space="preserve">Cumulative viral clearance exceeds its requirement for both model viruses.</w:t>
      </w:r>
      <w:r>
        <w:t xml:space="preserve"> </w:t>
      </w:r>
      <w:hyperlink w:anchor="tbl-viral">
        <w:r>
          <w:rPr>
            <w:rStyle w:val="Hyperlink"/>
          </w:rPr>
          <w:t xml:space="preserve">Table 10</w:t>
        </w:r>
      </w:hyperlink>
      <w:r>
        <w:t xml:space="preserve"> </w:t>
      </w:r>
      <w:r>
        <w:t xml:space="preserve">gives the credited log reduction of each contributing step, the cumulative</w:t>
      </w:r>
      <w:r>
        <w:t xml:space="preserve"> </w:t>
      </w:r>
      <w:r>
        <w:t xml:space="preserve">total and the requirement, and</w:t>
      </w:r>
      <w:r>
        <w:t xml:space="preserve"> </w:t>
      </w:r>
      <w:hyperlink w:anchor="fig-vi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same figures against the requirement</w:t>
      </w:r>
      <w:r>
        <w:t xml:space="preserve"> </w:t>
      </w:r>
      <w:r>
        <w:t xml:space="preserve">line. The claim is modular in the sense of ICH Q5A, which means that each step was spiked</w:t>
      </w:r>
      <w:r>
        <w:t xml:space="preserve"> </w:t>
      </w:r>
      <w:r>
        <w:t xml:space="preserve">and studied independently on a qualified small-scale model and the step increments are then</w:t>
      </w:r>
      <w:r>
        <w:t xml:space="preserve"> </w:t>
      </w:r>
      <w:r>
        <w:t xml:space="preserve">added</w:t>
      </w:r>
      <w:r>
        <w:t xml:space="preserve"> </w:t>
      </w:r>
      <w:r>
        <w:t xml:space="preserve">(International Council for Harmonisation 2023a)</w:t>
      </w:r>
      <w:r>
        <w:t xml:space="preserve">. The model viruses are XMuLV (an enveloped retrovirus) and MVM (a small non-enveloped</w:t>
      </w:r>
      <w:r>
        <w:t xml:space="preserve"> </w:t>
      </w:r>
      <w:r>
        <w:t xml:space="preserve">parvovirus chosen as the worst case for physical removal).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tbl-vi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10: Modular viral clearance by credited step, in log10 reduction, against the drug substance requirement.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XMuLV LRF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MVM LRF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Low-pH Viral Inactivation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7.10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Anion Exchange (AEX)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Virus Filtration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Cumulative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Requirement (drug substance)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8.60</w:t>
                  </w:r>
                </w:p>
              </w:tc>
            </w:tr>
          </w:tbl>
          <w:bookmarkEnd w:id="52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viral"/>
          <w:p>
            <w:pPr>
              <w:pStyle w:val="Compact"/>
              <w:jc w:val="center"/>
            </w:pPr>
            <w:r>
              <w:drawing>
                <wp:inline>
                  <wp:extent cx="5334000" cy="2140068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../outputs/figures/fig_viral_clearanc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40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Modular viral clearance by credited step for both model viruses, against the requirement.</w:t>
            </w:r>
          </w:p>
          <w:bookmarkEnd w:id="56"/>
        </w:tc>
      </w:tr>
    </w:tbl>
    <w:p>
      <w:pPr>
        <w:pStyle w:val="BodyText"/>
      </w:pPr>
      <w:hyperlink w:anchor="tbl-viral">
        <w:r>
          <w:rPr>
            <w:rStyle w:val="Hyperlink"/>
          </w:rPr>
          <w:t xml:space="preserve">Table 10</w:t>
        </w:r>
      </w:hyperlink>
      <w:r>
        <w:t xml:space="preserve"> </w:t>
      </w:r>
      <w:r>
        <w:t xml:space="preserve">credits 3 steps. The low-pH hold contributes</w:t>
      </w:r>
      <w:r>
        <w:t xml:space="preserve"> </w:t>
      </w:r>
      <w:r>
        <w:t xml:space="preserve">7.10 log₁₀ of XMuLV clearance and is the largest</w:t>
      </w:r>
      <w:r>
        <w:t xml:space="preserve"> </w:t>
      </w:r>
      <w:r>
        <w:t xml:space="preserve">single contribution to the enveloped-virus claim (PCR-006), and it contributes nothing to</w:t>
      </w:r>
      <w:r>
        <w:t xml:space="preserve"> </w:t>
      </w:r>
      <w:r>
        <w:t xml:space="preserve">the MVM claim, which</w:t>
      </w:r>
      <w:r>
        <w:t xml:space="preserve"> </w:t>
      </w:r>
      <w:hyperlink w:anchor="tbl-viral">
        <w:r>
          <w:rPr>
            <w:rStyle w:val="Hyperlink"/>
          </w:rPr>
          <w:t xml:space="preserve">Table 10</w:t>
        </w:r>
      </w:hyperlink>
      <w:r>
        <w:t xml:space="preserve"> </w:t>
      </w:r>
      <w:r>
        <w:t xml:space="preserve">records as zero, because a parvovirus has no lipid envelope</w:t>
      </w:r>
      <w:r>
        <w:t xml:space="preserve"> </w:t>
      </w:r>
      <w:r>
        <w:t xml:space="preserve">for low pH to act on. Anion exchange contributes</w:t>
      </w:r>
      <w:r>
        <w:t xml:space="preserve"> </w:t>
      </w:r>
      <w:r>
        <w:t xml:space="preserve">4.71 log₁₀ of MVM clearance in flow-through mode</w:t>
      </w:r>
      <w:r>
        <w:t xml:space="preserve"> </w:t>
      </w:r>
      <w:r>
        <w:t xml:space="preserve">(PCR-008) and virus filtration contributes</w:t>
      </w:r>
      <w:r>
        <w:t xml:space="preserve"> </w:t>
      </w:r>
      <w:r>
        <w:t xml:space="preserve">5.32 log₁₀ (PCR-009), so the two together carry the</w:t>
      </w:r>
      <w:r>
        <w:t xml:space="preserve"> </w:t>
      </w:r>
      <w:r>
        <w:t xml:space="preserve">small-virus claim, and the margins over the requirement are</w:t>
      </w:r>
      <w:r>
        <w:t xml:space="preserve"> </w:t>
      </w:r>
      <w:r>
        <w:t xml:space="preserve">2.17 log₁₀ for XMuLV and 1.43 log₁₀</w:t>
      </w:r>
      <w:r>
        <w:t xml:space="preserve"> </w:t>
      </w:r>
      <w:r>
        <w:t xml:space="preserve">for MVM.</w:t>
      </w:r>
    </w:p>
    <w:bookmarkEnd w:id="57"/>
    <w:bookmarkStart w:id="58" w:name="orthogonality-and-what-is-not-claimed"/>
    <w:p>
      <w:pPr>
        <w:pStyle w:val="Heading2"/>
      </w:pPr>
      <w:r>
        <w:t xml:space="preserve">6.2 Orthogonality, and what is not claimed</w:t>
      </w:r>
    </w:p>
    <w:p>
      <w:pPr>
        <w:pStyle w:val="FirstParagraph"/>
      </w:pPr>
      <w:r>
        <w:t xml:space="preserve">Adding the step increments is only defensible if the mechanisms are independent, and the</w:t>
      </w:r>
      <w:r>
        <w:t xml:space="preserve"> </w:t>
      </w:r>
      <w:r>
        <w:t xml:space="preserve">three mechanisms differ. Low pH inactivates by disrupting the viral envelope, anion exchange</w:t>
      </w:r>
      <w:r>
        <w:t xml:space="preserve"> </w:t>
      </w:r>
      <w:r>
        <w:t xml:space="preserve">partitions virus from product by charge in a step where the product flows through and the</w:t>
      </w:r>
      <w:r>
        <w:t xml:space="preserve"> </w:t>
      </w:r>
      <w:r>
        <w:t xml:space="preserve">impurities bind, and virus filtration removes by size on a membrane rated for small</w:t>
      </w:r>
      <w:r>
        <w:t xml:space="preserve"> </w:t>
      </w:r>
      <w:r>
        <w:t xml:space="preserve">non-enveloped viruses. A condition that reduces one of the three increments is therefore not</w:t>
      </w:r>
      <w:r>
        <w:t xml:space="preserve"> </w:t>
      </w:r>
      <w:r>
        <w:t xml:space="preserve">expected to reduce the others. The campaign did not study conditions that act on more than</w:t>
      </w:r>
      <w:r>
        <w:t xml:space="preserve"> </w:t>
      </w:r>
      <w:r>
        <w:t xml:space="preserve">one step at once, so that expectation rests on the mechanisms and not on a cross-step</w:t>
      </w:r>
      <w:r>
        <w:t xml:space="preserve"> </w:t>
      </w:r>
      <w:r>
        <w:t xml:space="preserve">experiment.</w:t>
      </w:r>
    </w:p>
    <w:p>
      <w:pPr>
        <w:pStyle w:val="BodyText"/>
      </w:pPr>
      <w:r>
        <w:t xml:space="preserve">No clearance is claimed for the Protein A step or for the cation exchange step, and</w:t>
      </w:r>
      <w:r>
        <w:t xml:space="preserve"> </w:t>
      </w:r>
      <w:r>
        <w:t xml:space="preserve">neither contributes to the totals in</w:t>
      </w:r>
      <w:r>
        <w:t xml:space="preserve"> </w:t>
      </w:r>
      <w:hyperlink w:anchor="tbl-viral">
        <w:r>
          <w:rPr>
            <w:rStyle w:val="Hyperlink"/>
          </w:rPr>
          <w:t xml:space="preserve">Table 10</w:t>
        </w:r>
      </w:hyperlink>
      <w:r>
        <w:t xml:space="preserve">. Neither step was studied for viral</w:t>
      </w:r>
      <w:r>
        <w:t xml:space="preserve"> </w:t>
      </w:r>
      <w:r>
        <w:t xml:space="preserve">clearance in this campaign, so the cumulative claim is conservative to the extent of</w:t>
      </w:r>
      <w:r>
        <w:t xml:space="preserve"> </w:t>
      </w:r>
      <w:r>
        <w:t xml:space="preserve">whatever those two steps deliver.</w:t>
      </w:r>
    </w:p>
    <w:p>
      <w:pPr>
        <w:pStyle w:val="BodyText"/>
      </w:pPr>
      <w:r>
        <w:t xml:space="preserve">The log reduction values come from spiking</w:t>
      </w:r>
      <w:r>
        <w:t xml:space="preserve"> </w:t>
      </w:r>
      <w:r>
        <w:t xml:space="preserve">studies on small-scale models and are not measurements of the commercial process. Each</w:t>
      </w:r>
      <w:r>
        <w:t xml:space="preserve"> </w:t>
      </w:r>
      <w:r>
        <w:t xml:space="preserve">step’s contribution holds over the ranges that step characterized, and the constraints are</w:t>
      </w:r>
      <w:r>
        <w:t xml:space="preserve"> </w:t>
      </w:r>
      <w:r>
        <w:t xml:space="preserve">step specific, covering pH, hold time and temperature at the low-pH hold (PCR-006), load pH</w:t>
      </w:r>
      <w:r>
        <w:t xml:space="preserve"> </w:t>
      </w:r>
      <w:r>
        <w:t xml:space="preserve">and conductivity at anion exchange (PCR-008), and volumetric load at virus filtration</w:t>
      </w:r>
      <w:r>
        <w:t xml:space="preserve"> </w:t>
      </w:r>
      <w:r>
        <w:t xml:space="preserve">(PCR-009), where clearance falls as the load rises. The clearance attributes in</w:t>
      </w:r>
      <w:r>
        <w:t xml:space="preserve"> </w:t>
      </w:r>
      <w:hyperlink w:anchor="tbl-cap">
        <w:r>
          <w:rPr>
            <w:rStyle w:val="Hyperlink"/>
          </w:rPr>
          <w:t xml:space="preserve">Table 9</w:t>
        </w:r>
      </w:hyperlink>
      <w:r>
        <w:t xml:space="preserve"> </w:t>
      </w:r>
      <w:r>
        <w:t xml:space="preserve">carry a simulated mean that differs from the nominal totals in</w:t>
      </w:r>
      <w:r>
        <w:t xml:space="preserve"> </w:t>
      </w:r>
      <w:hyperlink w:anchor="tbl-viral">
        <w:r>
          <w:rPr>
            <w:rStyle w:val="Hyperlink"/>
          </w:rPr>
          <w:t xml:space="preserve">Table 10</w:t>
        </w:r>
      </w:hyperlink>
      <w:r>
        <w:t xml:space="preserve">, because the</w:t>
      </w:r>
      <w:r>
        <w:t xml:space="preserve"> </w:t>
      </w:r>
      <w:r>
        <w:t xml:space="preserve">capability estimate varies the process parameters and the nominal batch does not.</w:t>
      </w:r>
    </w:p>
    <w:bookmarkEnd w:id="58"/>
    <w:bookmarkEnd w:id="59"/>
    <w:bookmarkStart w:id="69" w:name="sec-control"/>
    <w:p>
      <w:pPr>
        <w:pStyle w:val="Heading1"/>
      </w:pPr>
      <w:r>
        <w:t xml:space="preserve">7. Overall control strategy</w:t>
      </w:r>
    </w:p>
    <w:bookmarkStart w:id="60" w:name="what-the-control-strategy-has-to-do"/>
    <w:p>
      <w:pPr>
        <w:pStyle w:val="Heading2"/>
      </w:pPr>
      <w:r>
        <w:t xml:space="preserve">7.1 What the control strategy has to do</w:t>
      </w:r>
    </w:p>
    <w:p>
      <w:pPr>
        <w:pStyle w:val="FirstParagraph"/>
      </w:pPr>
      <w:r>
        <w:t xml:space="preserve">The control strategy has two purposes. The first is to assure product quality and patient</w:t>
      </w:r>
      <w:r>
        <w:t xml:space="preserve"> </w:t>
      </w:r>
      <w:r>
        <w:t xml:space="preserve">safety, and it does that by holding every quality-linked parameter inside the design space</w:t>
      </w:r>
      <w:r>
        <w:t xml:space="preserve"> </w:t>
      </w:r>
      <w:r>
        <w:t xml:space="preserve">established by the characterization studies. The second is to assure that the commercial</w:t>
      </w:r>
      <w:r>
        <w:t xml:space="preserve"> </w:t>
      </w:r>
      <w:r>
        <w:t xml:space="preserve">process runs consistently, and it does that by controlling the key process parameters and</w:t>
      </w:r>
      <w:r>
        <w:t xml:space="preserve"> </w:t>
      </w:r>
      <w:r>
        <w:t xml:space="preserve">by monitoring the process attributes that report on the health of a batch. The two</w:t>
      </w:r>
      <w:r>
        <w:t xml:space="preserve"> </w:t>
      </w:r>
      <w:r>
        <w:t xml:space="preserve">purposes need different evidence, which is why a key process parameter is controlled even</w:t>
      </w:r>
      <w:r>
        <w:t xml:space="preserve"> </w:t>
      </w:r>
      <w:r>
        <w:t xml:space="preserve">though it was shown not to move a quality attribute</w:t>
      </w:r>
      <w:r>
        <w:t xml:space="preserve"> </w:t>
      </w:r>
      <w:r>
        <w:t xml:space="preserve">(CMC Biotech Working Group 2009)</w:t>
      </w:r>
      <w:r>
        <w:t xml:space="preserve">.</w:t>
      </w:r>
    </w:p>
    <w:bookmarkEnd w:id="60"/>
    <w:bookmarkStart w:id="61" w:name="parameter-control"/>
    <w:p>
      <w:pPr>
        <w:pStyle w:val="Heading2"/>
      </w:pPr>
      <w:r>
        <w:t xml:space="preserve">7.2 Parameter control</w:t>
      </w:r>
    </w:p>
    <w:p>
      <w:pPr>
        <w:pStyle w:val="FirstParagraph"/>
      </w:pPr>
      <w:r>
        <w:t xml:space="preserve">The quality-linked parameters and their normal operating ranges are given in</w:t>
      </w:r>
      <w:r>
        <w:t xml:space="preserve"> </w:t>
      </w:r>
      <w:hyperlink w:anchor="tbl-cpp">
        <w:r>
          <w:rPr>
            <w:rStyle w:val="Hyperlink"/>
          </w:rPr>
          <w:t xml:space="preserve">Table 8</w:t>
        </w:r>
      </w:hyperlink>
      <w:r>
        <w:t xml:space="preserve">, each</w:t>
      </w:r>
      <w:r>
        <w:t xml:space="preserve"> </w:t>
      </w:r>
      <w:r>
        <w:t xml:space="preserve">is controlled to that range in routine manufacture, and each range sits inside the region</w:t>
      </w:r>
      <w:r>
        <w:t xml:space="preserve"> </w:t>
      </w:r>
      <w:r>
        <w:t xml:space="preserve">the characterization studies covered. Movement inside the design space is not a regulatory</w:t>
      </w:r>
      <w:r>
        <w:t xml:space="preserve"> </w:t>
      </w:r>
      <w:r>
        <w:t xml:space="preserve">change</w:t>
      </w:r>
      <w:r>
        <w:t xml:space="preserve"> </w:t>
      </w:r>
      <w:r>
        <w:t xml:space="preserve">(International Council for Harmonisation 2009)</w:t>
      </w:r>
      <w:r>
        <w:t xml:space="preserve">, but it is still assessed prospectively under the quality system before it</w:t>
      </w:r>
      <w:r>
        <w:t xml:space="preserve"> </w:t>
      </w:r>
      <w:r>
        <w:t xml:space="preserve">is made</w:t>
      </w:r>
      <w:r>
        <w:t xml:space="preserve"> </w:t>
      </w:r>
      <w:r>
        <w:t xml:space="preserve">(International Council for Harmonisation 2008)</w:t>
      </w:r>
      <w:r>
        <w:t xml:space="preserve">, and movement outside the characterized region is a change and is handled</w:t>
      </w:r>
      <w:r>
        <w:t xml:space="preserve"> </w:t>
      </w:r>
      <w:r>
        <w:t xml:space="preserve">through change control.</w:t>
      </w:r>
    </w:p>
    <w:p>
      <w:pPr>
        <w:pStyle w:val="BodyText"/>
      </w:pPr>
      <w:r>
        <w:t xml:space="preserve">The critical process parameter, the pH of the low-pH hold, carries the tightest control</w:t>
      </w:r>
      <w:r>
        <w:t xml:space="preserve"> </w:t>
      </w:r>
      <w:r>
        <w:t xml:space="preserve">requirement in the process, and its control is defined in PCR-006. The proven acceptable</w:t>
      </w:r>
      <w:r>
        <w:t xml:space="preserve"> </w:t>
      </w:r>
      <w:r>
        <w:t xml:space="preserve">ranges that support each parameter’s range are reported per step and per attribute in the</w:t>
      </w:r>
      <w:r>
        <w:t xml:space="preserve"> </w:t>
      </w:r>
      <w:r>
        <w:t xml:space="preserve">report for that step, and are not reproduced here.</w:t>
      </w:r>
    </w:p>
    <w:bookmarkEnd w:id="61"/>
    <w:bookmarkStart w:id="62" w:name="in-process-control-and-monitoring"/>
    <w:p>
      <w:pPr>
        <w:pStyle w:val="Heading2"/>
      </w:pPr>
      <w:r>
        <w:t xml:space="preserve">7.3 In-process control and monitoring</w:t>
      </w:r>
    </w:p>
    <w:p>
      <w:pPr>
        <w:pStyle w:val="FirstParagraph"/>
      </w:pPr>
      <w:r>
        <w:t xml:space="preserve">In-process controls are placed where an attribute can be measured early enough to act on</w:t>
      </w:r>
      <w:r>
        <w:t xml:space="preserve"> </w:t>
      </w:r>
      <w:r>
        <w:t xml:space="preserve">it. Post-clarification turbidity is monitored at the harvest step and is one of the</w:t>
      </w:r>
      <w:r>
        <w:t xml:space="preserve"> </w:t>
      </w:r>
      <w:r>
        <w:t xml:space="preserve">parameters that step controls (PCR-004). Pool host cell protein is measured after each</w:t>
      </w:r>
      <w:r>
        <w:t xml:space="preserve"> </w:t>
      </w:r>
      <w:r>
        <w:t xml:space="preserve">chromatography step (PCR-005, PCR-007 and PCR-008), and pool aggregate after the low-pH</w:t>
      </w:r>
      <w:r>
        <w:t xml:space="preserve"> </w:t>
      </w:r>
      <w:r>
        <w:t xml:space="preserve">hold and the cation exchange step,</w:t>
      </w:r>
      <w:r>
        <w:t xml:space="preserve"> </w:t>
      </w:r>
      <w:r>
        <w:t xml:space="preserve">which is what makes the clearance chain described in</w:t>
      </w:r>
      <w:r>
        <w:t xml:space="preserve"> </w:t>
      </w:r>
      <w:hyperlink w:anchor="sec-process">
        <w:r>
          <w:rPr>
            <w:rStyle w:val="Hyperlink"/>
          </w:rPr>
          <w:t xml:space="preserve">Section 2</w:t>
        </w:r>
      </w:hyperlink>
      <w:r>
        <w:t xml:space="preserve"> </w:t>
      </w:r>
      <w:r>
        <w:t xml:space="preserve">auditable batch by batch.</w:t>
      </w:r>
      <w:r>
        <w:t xml:space="preserve"> </w:t>
      </w:r>
      <w:r>
        <w:t xml:space="preserve">The pH and the duration of the low-pH hold are recorded against the batch record, and the</w:t>
      </w:r>
      <w:r>
        <w:t xml:space="preserve"> </w:t>
      </w:r>
      <w:r>
        <w:t xml:space="preserve">integrity test after virus filtration is a release-relevant control on the small-virus</w:t>
      </w:r>
      <w:r>
        <w:t xml:space="preserve"> </w:t>
      </w:r>
      <w:r>
        <w:t xml:space="preserve">claim. The concentration of the final pool is verified before the drug substance is</w:t>
      </w:r>
      <w:r>
        <w:t xml:space="preserve"> </w:t>
      </w:r>
      <w:r>
        <w:t xml:space="preserve">dispensed.</w:t>
      </w:r>
    </w:p>
    <w:bookmarkEnd w:id="62"/>
    <w:bookmarkStart w:id="63" w:name="release-testing"/>
    <w:p>
      <w:pPr>
        <w:pStyle w:val="Heading2"/>
      </w:pPr>
      <w:r>
        <w:t xml:space="preserve">7.4 Release testing</w:t>
      </w:r>
    </w:p>
    <w:p>
      <w:pPr>
        <w:pStyle w:val="FirstParagraph"/>
      </w:pPr>
      <w:r>
        <w:t xml:space="preserve">Release testing confirms on the batch what process control is designed to deliver. The</w:t>
      </w:r>
      <w:r>
        <w:t xml:space="preserve"> </w:t>
      </w:r>
      <w:r>
        <w:t xml:space="preserve">8 product quality and process impurity attributes in</w:t>
      </w:r>
      <w:r>
        <w:t xml:space="preserve"> </w:t>
      </w:r>
      <w:hyperlink w:anchor="tbl-cqa-outcome">
        <w:r>
          <w:rPr>
            <w:rStyle w:val="Hyperlink"/>
          </w:rPr>
          <w:t xml:space="preserve">Table 7</w:t>
        </w:r>
      </w:hyperlink>
      <w:r>
        <w:t xml:space="preserve"> </w:t>
      </w:r>
      <w:r>
        <w:t xml:space="preserve">are</w:t>
      </w:r>
      <w:r>
        <w:t xml:space="preserve"> </w:t>
      </w:r>
      <w:r>
        <w:t xml:space="preserve">measured on the drug substance and compared with the criterion given there, so each of them</w:t>
      </w:r>
      <w:r>
        <w:t xml:space="preserve"> </w:t>
      </w:r>
      <w:r>
        <w:t xml:space="preserve">is confirmed batch by batch once the process has run. The 2 viral</w:t>
      </w:r>
      <w:r>
        <w:t xml:space="preserve"> </w:t>
      </w:r>
      <w:r>
        <w:t xml:space="preserve">clearance attributes are not confirmed in that way, because no test on the drug substance</w:t>
      </w:r>
      <w:r>
        <w:t xml:space="preserve"> </w:t>
      </w:r>
      <w:r>
        <w:t xml:space="preserve">measures them. They are process claims established on spiked small-scale models</w:t>
      </w:r>
      <w:r>
        <w:t xml:space="preserve"> </w:t>
      </w:r>
      <w:r>
        <w:t xml:space="preserve">(</w:t>
      </w:r>
      <w:hyperlink w:anchor="sec-viral">
        <w:r>
          <w:rPr>
            <w:rStyle w:val="Hyperlink"/>
          </w:rPr>
          <w:t xml:space="preserve">Section 6</w:t>
        </w:r>
      </w:hyperlink>
      <w:r>
        <w:t xml:space="preserve">), and they are held by the operating ranges of the</w:t>
      </w:r>
      <w:r>
        <w:t xml:space="preserve"> </w:t>
      </w:r>
      <w:r>
        <w:t xml:space="preserve">3 credited steps and by the in-process controls above. A release</w:t>
      </w:r>
      <w:r>
        <w:t xml:space="preserve"> </w:t>
      </w:r>
      <w:r>
        <w:t xml:space="preserve">result arrives after the batch has been made, so testing at release cannot by itself control</w:t>
      </w:r>
      <w:r>
        <w:t xml:space="preserve"> </w:t>
      </w:r>
      <w:r>
        <w:t xml:space="preserve">an attribute</w:t>
      </w:r>
      <w:r>
        <w:t xml:space="preserve"> </w:t>
      </w:r>
      <w:r>
        <w:t xml:space="preserve">(International Council for Harmonisation 2009)</w:t>
      </w:r>
      <w:r>
        <w:t xml:space="preserve">. For this reason the control strategy places the burden on the</w:t>
      </w:r>
      <w:r>
        <w:t xml:space="preserve"> </w:t>
      </w:r>
      <w:r>
        <w:t xml:space="preserve">parameter ranges and the in-process controls, and uses release testing to confirm the</w:t>
      </w:r>
      <w:r>
        <w:t xml:space="preserve"> </w:t>
      </w:r>
      <w:r>
        <w:t xml:space="preserve">outcome.</w:t>
      </w:r>
    </w:p>
    <w:bookmarkEnd w:id="63"/>
    <w:bookmarkStart w:id="66" w:name="analytical-control"/>
    <w:p>
      <w:pPr>
        <w:pStyle w:val="Heading2"/>
      </w:pPr>
      <w:r>
        <w:t xml:space="preserve">7.5 Analytical control</w:t>
      </w:r>
    </w:p>
    <w:p>
      <w:pPr>
        <w:pStyle w:val="FirstParagraph"/>
      </w:pPr>
      <w:r>
        <w:t xml:space="preserve">Every attribute in</w:t>
      </w:r>
      <w:r>
        <w:t xml:space="preserve"> </w:t>
      </w:r>
      <w:hyperlink w:anchor="tbl-cqa-outcome">
        <w:r>
          <w:rPr>
            <w:rStyle w:val="Hyperlink"/>
          </w:rPr>
          <w:t xml:space="preserve">Table 7</w:t>
        </w:r>
      </w:hyperlink>
      <w:r>
        <w:t xml:space="preserve"> </w:t>
      </w:r>
      <w:r>
        <w:t xml:space="preserve">is measured by a validated method.</w:t>
      </w:r>
      <w:r>
        <w:t xml:space="preserve"> </w:t>
      </w:r>
      <w:hyperlink w:anchor="tbl-methods">
        <w:r>
          <w:rPr>
            <w:rStyle w:val="Hyperlink"/>
          </w:rPr>
          <w:t xml:space="preserve">Table 11</w:t>
        </w:r>
      </w:hyperlink>
      <w:r>
        <w:t xml:space="preserve"> </w:t>
      </w:r>
      <w:r>
        <w:t xml:space="preserve">summarises the validated performance of 8 of the methods the campaign</w:t>
      </w:r>
      <w:r>
        <w:t xml:space="preserve"> </w:t>
      </w:r>
      <w:r>
        <w:t xml:space="preserve">relies on, most of which measure a drug substance quality attribute. Turbidity and protein</w:t>
      </w:r>
      <w:r>
        <w:t xml:space="preserve"> </w:t>
      </w:r>
      <w:r>
        <w:t xml:space="preserve">concentration are in that table for a different reason, because turbidity is an in-process</w:t>
      </w:r>
      <w:r>
        <w:t xml:space="preserve"> </w:t>
      </w:r>
      <w:r>
        <w:t xml:space="preserve">control at the harvest step (PCR-004) and protein concentration governs the pool the</w:t>
      </w:r>
      <w:r>
        <w:t xml:space="preserve"> </w:t>
      </w:r>
      <w:r>
        <w:t xml:space="preserve">formulation step delivers (PCR-010). Method performance matters to the control strategy for</w:t>
      </w:r>
      <w:r>
        <w:t xml:space="preserve"> </w:t>
      </w:r>
      <w:r>
        <w:t xml:space="preserve">two reasons. It sets how much of the observed variation belongs to the process instead of</w:t>
      </w:r>
      <w:r>
        <w:t xml:space="preserve"> </w:t>
      </w:r>
      <w:r>
        <w:t xml:space="preserve">to the measurement, and it sets how small a change the process can be held to.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tbl-metho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11: Validated performance of the analytical methods the campaign relies 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69"/>
              <w:gridCol w:w="2734"/>
              <w:gridCol w:w="1481"/>
              <w:gridCol w:w="1196"/>
              <w:gridCol w:w="911"/>
              <w:gridCol w:w="102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Intermediate precision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 (%)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 share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AMV-3221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Aggregate by SEC-HPLC (verification-qualified)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3.8 %RSD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0.2 % HMW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 by ELISA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6.5 %RSD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0.25 ppm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XMuLV Infectivity Titre (TCID50)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 log10 SD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1.5 log10 TCID50/mL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Concentration by A280 (UV)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1.2 %RSD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 g/L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Released N-Glycan Map (2-AB HILIC-UPLC)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2.5 %RSD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0.5 % glycan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Turbidity by Nephelometry (NTU)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4 %RSD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0.5 NTU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MVM Infectivity Titre (TCID50/qPCR)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0.32 log10 SD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1.4 log10 TCID50/mL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Host-Cell Protein by ELISA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9.5 %RSD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 ng/mg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</w:t>
                  </w:r>
                </w:p>
              </w:tc>
            </w:tr>
          </w:tbl>
          <w:bookmarkEnd w:id="64"/>
          <w:p/>
        </w:tc>
      </w:tr>
    </w:tbl>
    <w:p>
      <w:pPr>
        <w:pStyle w:val="BodyText"/>
      </w:pPr>
      <w:r>
        <w:t xml:space="preserve">The least precise method of those reported as a relative standard deviation is the host</w:t>
      </w:r>
      <w:r>
        <w:t xml:space="preserve"> </w:t>
      </w:r>
      <w:r>
        <w:t xml:space="preserve">cell protein assay, at 9.5% RSD, and the largest</w:t>
      </w:r>
      <w:r>
        <w:t xml:space="preserve"> </w:t>
      </w:r>
      <w:r>
        <w:t xml:space="preserve">share of observed variation attributable to a method is</w:t>
      </w:r>
      <w:r>
        <w:t xml:space="preserve"> </w:t>
      </w:r>
      <w:r>
        <w:t xml:space="preserve">0.41, for the leached Protein A assay.</w:t>
      </w:r>
      <w:r>
        <w:t xml:space="preserve"> </w:t>
      </w:r>
      <w:r>
        <w:t xml:space="preserve">Neither limits the control strategy, because both attributes clear their limits by a wide</w:t>
      </w:r>
      <w:r>
        <w:t xml:space="preserve"> </w:t>
      </w:r>
      <w:r>
        <w:t xml:space="preserve">margin (</w:t>
      </w:r>
      <w:hyperlink w:anchor="tbl-cqa-outcome">
        <w:r>
          <w:rPr>
            <w:rStyle w:val="Hyperlink"/>
          </w:rPr>
          <w:t xml:space="preserve">Table 7</w:t>
        </w:r>
      </w:hyperlink>
      <w:r>
        <w:t xml:space="preserve">). The two infectivity assays are reported as a log10 standard</w:t>
      </w:r>
      <w:r>
        <w:t xml:space="preserve"> </w:t>
      </w:r>
      <w:r>
        <w:t xml:space="preserve">deviation and not as a relative standard deviation, so their precision figures are not</w:t>
      </w:r>
      <w:r>
        <w:t xml:space="preserve"> </w:t>
      </w:r>
      <w:r>
        <w:t xml:space="preserve">comparable with the rest of the table. Methods that do not appear in</w:t>
      </w:r>
      <w:r>
        <w:t xml:space="preserve"> </w:t>
      </w:r>
      <w:hyperlink w:anchor="tbl-methods">
        <w:r>
          <w:rPr>
            <w:rStyle w:val="Hyperlink"/>
          </w:rPr>
          <w:t xml:space="preserve">Table 11</w:t>
        </w:r>
      </w:hyperlink>
      <w:r>
        <w:t xml:space="preserve"> </w:t>
      </w:r>
      <w:r>
        <w:t xml:space="preserve">carry</w:t>
      </w:r>
      <w:r>
        <w:t xml:space="preserve"> </w:t>
      </w:r>
      <w:r>
        <w:t xml:space="preserve">their validated performance in their own method validation reports.</w:t>
      </w:r>
      <w:r>
        <w:t xml:space="preserve"> </w:t>
      </w:r>
      <w:hyperlink w:anchor="tbl-sop">
        <w:r>
          <w:rPr>
            <w:rStyle w:val="Hyperlink"/>
          </w:rPr>
          <w:t xml:space="preserve">Table 12</w:t>
        </w:r>
      </w:hyperlink>
      <w:r>
        <w:t xml:space="preserve"> </w:t>
      </w:r>
      <w:r>
        <w:t xml:space="preserve">lists the</w:t>
      </w:r>
      <w:r>
        <w:t xml:space="preserve"> </w:t>
      </w:r>
      <w:r>
        <w:t xml:space="preserve">controlled documents the unit operation studies cite from harvest onward, and the culture</w:t>
      </w:r>
      <w:r>
        <w:t xml:space="preserve"> </w:t>
      </w:r>
      <w:r>
        <w:t xml:space="preserve">operation and analytical procedures the bioreactor study works to are cited in PCR-003.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tbl-sop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12: Controlled documents cited by the unit operation studies from harvest onward (Steps 4–10).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65"/>
              <w:gridCol w:w="5790"/>
              <w:gridCol w:w="126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SOP-1001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Qualification of Scale-Down Models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SOP-1002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Design, Execution and Statistical Analysis of DoE Studies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by Continuous Disk-Stack Centrifugation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Clarification by Depth and Sterile Filtration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Operation of the Protein A Capture Chromatography 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Chromatography Resin Life-Cycle, Packing and Sanitization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Operation of the Low-pH Viral Inactivation 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Operation of the Cation-Exchange Polishing Chromatography 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Operation of the Anion-Exchange Polishing Chromatography 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Operation and Post-Use Integrity Testing of the Small-Virus Retentive Filtration 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SOP-2013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Operation of the Ultrafiltration / Diafiltration (Formulation) 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SOP-4001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Process-Parameter Classification and Control-Strategy Definition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SOP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Size-Variants (SEC-HPLC)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Host-Cell Protein ELISA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Charge Variants (icIEF)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 (qPCR)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Turbidity by Nephelometry (NTU)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 by ELISA (ppm)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XMuLV Infectivity Titre (TCID50)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MVM Infectivity Titre (TCID50/qPCR)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Protein Concentration by A280 (UV)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</w:tbl>
          <w:bookmarkEnd w:id="65"/>
          <w:p/>
        </w:tc>
      </w:tr>
    </w:tbl>
    <w:bookmarkEnd w:id="66"/>
    <w:bookmarkStart w:id="67" w:name="life-cycle-and-feed-input-controls"/>
    <w:p>
      <w:pPr>
        <w:pStyle w:val="Heading2"/>
      </w:pPr>
      <w:r>
        <w:t xml:space="preserve">7.6 Life-cycle and feed-input controls</w:t>
      </w:r>
    </w:p>
    <w:p>
      <w:pPr>
        <w:pStyle w:val="FirstParagraph"/>
      </w:pPr>
      <w:r>
        <w:t xml:space="preserve">Three life-cycle controls sit behind the ranges in</w:t>
      </w:r>
      <w:r>
        <w:t xml:space="preserve"> </w:t>
      </w:r>
      <w:hyperlink w:anchor="tbl-cpp">
        <w:r>
          <w:rPr>
            <w:rStyle w:val="Hyperlink"/>
          </w:rPr>
          <w:t xml:space="preserve">Table 8</w:t>
        </w:r>
      </w:hyperlink>
      <w:r>
        <w:t xml:space="preserve">. Chromatography resins are</w:t>
      </w:r>
      <w:r>
        <w:t xml:space="preserve"> </w:t>
      </w:r>
      <w:r>
        <w:t xml:space="preserve">managed for cycle life, packing and sanitization under SOP-2008. The clearance and</w:t>
      </w:r>
      <w:r>
        <w:t xml:space="preserve"> </w:t>
      </w:r>
      <w:r>
        <w:t xml:space="preserve">polishing performance of a column is a function of its history as well as of its operating</w:t>
      </w:r>
      <w:r>
        <w:t xml:space="preserve"> </w:t>
      </w:r>
      <w:r>
        <w:t xml:space="preserve">conditions. The virus retentive filter is integrity tested after use under SOP-2012, and</w:t>
      </w:r>
      <w:r>
        <w:t xml:space="preserve"> </w:t>
      </w:r>
      <w:r>
        <w:t xml:space="preserve">the analytical methods transfer to the receiving site and are re-qualified there under the</w:t>
      </w:r>
      <w:r>
        <w:t xml:space="preserve"> </w:t>
      </w:r>
      <w:r>
        <w:t xml:space="preserve">plan in PTP-001.</w:t>
      </w:r>
    </w:p>
    <w:p>
      <w:pPr>
        <w:pStyle w:val="BodyText"/>
      </w:pPr>
      <w:r>
        <w:t xml:space="preserve">One feed-input control follows from a deviation. The first anion exchange execution used a</w:t>
      </w:r>
      <w:r>
        <w:t xml:space="preserve"> </w:t>
      </w:r>
      <w:r>
        <w:t xml:space="preserve">load that had been held neutralized for</w:t>
      </w:r>
      <w:r>
        <w:t xml:space="preserve"> </w:t>
      </w:r>
      <w:r>
        <w:t xml:space="preserve">36 hours, which raised its acidic charge</w:t>
      </w:r>
      <w:r>
        <w:t xml:space="preserve"> </w:t>
      </w:r>
      <w:r>
        <w:t xml:space="preserve">variant content well above the level of routine material (</w:t>
      </w:r>
      <w:hyperlink w:anchor="sec-deviations">
        <w:r>
          <w:rPr>
            <w:rStyle w:val="Hyperlink"/>
          </w:rPr>
          <w:t xml:space="preserve">Section 8</w:t>
        </w:r>
      </w:hyperlink>
      <w:r>
        <w:t xml:space="preserve">). The time the</w:t>
      </w:r>
      <w:r>
        <w:t xml:space="preserve"> </w:t>
      </w:r>
      <w:r>
        <w:t xml:space="preserve">neutralized cation exchange pool is held before anion exchange loading is therefore treated</w:t>
      </w:r>
      <w:r>
        <w:t xml:space="preserve"> </w:t>
      </w:r>
      <w:r>
        <w:t xml:space="preserve">as a control input for that step, and PCR-008 carries the assessment.</w:t>
      </w:r>
    </w:p>
    <w:bookmarkEnd w:id="67"/>
    <w:bookmarkStart w:id="68" w:name="what-the-control-strategy-does-not-cover"/>
    <w:p>
      <w:pPr>
        <w:pStyle w:val="Heading2"/>
      </w:pPr>
      <w:r>
        <w:t xml:space="preserve">7.7 What the control strategy does not cover</w:t>
      </w:r>
    </w:p>
    <w:p>
      <w:pPr>
        <w:pStyle w:val="FirstParagraph"/>
      </w:pPr>
      <w:r>
        <w:t xml:space="preserve">The strategy described here covers the drug substance process from Step 3 to Step 10. It</w:t>
      </w:r>
      <w:r>
        <w:t xml:space="preserve"> </w:t>
      </w:r>
      <w:r>
        <w:t xml:space="preserve">does not cover the seed train ahead of the production bioreactor, the cell bank, the raw</w:t>
      </w:r>
      <w:r>
        <w:t xml:space="preserve"> </w:t>
      </w:r>
      <w:r>
        <w:t xml:space="preserve">material controls or the drug product process. All of those are described elsewhere in the</w:t>
      </w:r>
      <w:r>
        <w:t xml:space="preserve"> </w:t>
      </w:r>
      <w:r>
        <w:t xml:space="preserve">application. It does not by itself show that the commercial process is in a state of</w:t>
      </w:r>
      <w:r>
        <w:t xml:space="preserve"> </w:t>
      </w:r>
      <w:r>
        <w:t xml:space="preserve">control, which is the purpose of Stage 2 and of the continued process verification that</w:t>
      </w:r>
      <w:r>
        <w:t xml:space="preserve"> </w:t>
      </w:r>
      <w:r>
        <w:t xml:space="preserve">follows it.</w:t>
      </w:r>
    </w:p>
    <w:bookmarkEnd w:id="68"/>
    <w:bookmarkEnd w:id="69"/>
    <w:bookmarkStart w:id="74" w:name="sec-deviations"/>
    <w:p>
      <w:pPr>
        <w:pStyle w:val="Heading1"/>
      </w:pPr>
      <w:r>
        <w:t xml:space="preserve">8. Deviations across the campaign</w:t>
      </w:r>
    </w:p>
    <w:p>
      <w:pPr>
        <w:pStyle w:val="FirstParagraph"/>
      </w:pPr>
      <w:r>
        <w:t xml:space="preserve">The campaign recorded 17 deviations across the 8 unit</w:t>
      </w:r>
      <w:r>
        <w:t xml:space="preserve"> </w:t>
      </w:r>
      <w:r>
        <w:t xml:space="preserve">operation studies, and one of them invalidated a designed experiment.</w:t>
      </w:r>
      <w:r>
        <w:t xml:space="preserve"> </w:t>
      </w:r>
      <w:hyperlink w:anchor="tbl-dev">
        <w:r>
          <w:rPr>
            <w:rStyle w:val="Hyperlink"/>
          </w:rPr>
          <w:t xml:space="preserve">Table 13</w:t>
        </w:r>
      </w:hyperlink>
      <w:r>
        <w:t xml:space="preserve"> </w:t>
      </w:r>
      <w:r>
        <w:t xml:space="preserve">gives the</w:t>
      </w:r>
      <w:r>
        <w:t xml:space="preserve"> </w:t>
      </w:r>
      <w:r>
        <w:t xml:space="preserve">register with the route by which each was detected and its disposition. The investigation,</w:t>
      </w:r>
      <w:r>
        <w:t xml:space="preserve"> </w:t>
      </w:r>
      <w:r>
        <w:t xml:space="preserve">the root cause and the impact assessment for each are in the report named in the register,</w:t>
      </w:r>
      <w:r>
        <w:t xml:space="preserve"> </w:t>
      </w:r>
      <w:r>
        <w:t xml:space="preserve">and are not repeated 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tbl-dev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13: Deviations recorded across the characterization campaign.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40"/>
              <w:gridCol w:w="338"/>
              <w:gridCol w:w="3452"/>
              <w:gridCol w:w="2132"/>
              <w:gridCol w:w="15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Deviation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Report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Summary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Detected during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Disposition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DEV-003-01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Dissolved-CO2 probe drift during screening run 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in-process monitoring vs offline 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DEV-003-02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Nutrient feed-1 under-delivery on a centre-point batch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post-execution mass reconciliation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DEV-004-01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Depth-filter lot pre-use flush turbidity above alert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pre-use filter flush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DEV-004-02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Post-clarification turbidity excursion above NOR on one 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in-process turbidity monitoring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DEV-005-01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Elution-buffer pH prepared below target on an RSM 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buffer release testing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DEV-005-02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Leached Protein A result initially out-of-trend; re-assayed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analytical review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DEV-006-01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Hold-time record discrepancy between DCS and manual log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batch-record reconciliation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DEV-006-02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PCR-006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XMuLV infectivity assay cytotoxicity at low dilution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assay review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DEV-007-01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Expired Tris load/wash buffer lot used in screening centre-point run 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post-execution documentation review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DEV-007-02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Column inlet temperature excursion during RSM run 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equipment history review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DEV-008-01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Non-representative (deamidated) load in the first DoE execution; designs invalidated and re-executed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load-material charge-variant verification by icIEF (AMV-3013)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invalidated and re executed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DEV-008-02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Trailing-edge UV pool-collection set-point slightly permissive in both executions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post-execution pool-fraction reconciliation (AMV-3012)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corrected by modelling and verification runs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DEV-008-03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Equilibration/Wash-1 buffer released below its pH acceptance range on one screening run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buffer release testing per SOP-2103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DEV-009-01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Transient filtration-pressure excursion above 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in-process pressure monitoring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DEV-009-02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PCR-009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Filter membrane lot flux below vendor-typical 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pre-use flux verification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DEV-010-01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Transmembrane-pressure excursion above NOR during concentration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in-process TMP monitoring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DEV-010-02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PCR-010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Final DS concentration below target on one run; topped 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final concentration check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retained</w:t>
                  </w:r>
                </w:p>
              </w:tc>
            </w:tr>
          </w:tbl>
          <w:bookmarkEnd w:id="70"/>
          <w:p/>
        </w:tc>
      </w:tr>
    </w:tbl>
    <w:bookmarkStart w:id="71" w:name="the-deviation-that-invalidated-a-study"/>
    <w:p>
      <w:pPr>
        <w:pStyle w:val="Heading2"/>
      </w:pPr>
      <w:r>
        <w:t xml:space="preserve">8.1 The deviation that invalidated a study</w:t>
      </w:r>
    </w:p>
    <w:p>
      <w:pPr>
        <w:pStyle w:val="FirstParagraph"/>
      </w:pPr>
      <w:r>
        <w:t xml:space="preserve">The most serious deviation is DEV-008-01. The load used in the first anion exchange</w:t>
      </w:r>
      <w:r>
        <w:t xml:space="preserve"> </w:t>
      </w:r>
      <w:r>
        <w:t xml:space="preserve">execution carried</w:t>
      </w:r>
      <w:r>
        <w:t xml:space="preserve"> </w:t>
      </w:r>
      <w:r>
        <w:t xml:space="preserve">33.5% acidic charge variants,</w:t>
      </w:r>
      <w:r>
        <w:t xml:space="preserve"> </w:t>
      </w:r>
      <w:r>
        <w:t xml:space="preserve">against 21.0% in the</w:t>
      </w:r>
      <w:r>
        <w:t xml:space="preserve"> </w:t>
      </w:r>
      <w:r>
        <w:t xml:space="preserve">requalified load, after the neutralized cation exchange eluate was held for</w:t>
      </w:r>
      <w:r>
        <w:t xml:space="preserve"> </w:t>
      </w:r>
      <w:r>
        <w:t xml:space="preserve">36 hours. A load in that condition is not</w:t>
      </w:r>
      <w:r>
        <w:t xml:space="preserve"> </w:t>
      </w:r>
      <w:r>
        <w:t xml:space="preserve">representative of routine material, so the screening and response surface designs executed</w:t>
      </w:r>
      <w:r>
        <w:t xml:space="preserve"> </w:t>
      </w:r>
      <w:r>
        <w:t xml:space="preserve">on it were invalidated for the purpose of defining an operating region, and both were</w:t>
      </w:r>
      <w:r>
        <w:t xml:space="preserve"> </w:t>
      </w:r>
      <w:r>
        <w:t xml:space="preserve">re-executed in full on requalified load. The analysis reported in PCR-008 is the</w:t>
      </w:r>
      <w:r>
        <w:t xml:space="preserve"> </w:t>
      </w:r>
      <w:r>
        <w:t xml:space="preserve">re-execution, and the first execution is retained there as a superseded dataset and</w:t>
      </w:r>
      <w:r>
        <w:t xml:space="preserve"> </w:t>
      </w:r>
      <w:r>
        <w:t xml:space="preserve">referenced to confirm the root cause. No part of it is analysed in this report.</w:t>
      </w:r>
    </w:p>
    <w:p>
      <w:pPr>
        <w:pStyle w:val="BodyText"/>
      </w:pPr>
      <w:r>
        <w:t xml:space="preserve">One further deviation at the same step was closed by analysis instead of by re-execution.</w:t>
      </w:r>
      <w:r>
        <w:t xml:space="preserve"> </w:t>
      </w:r>
      <w:r>
        <w:t xml:space="preserve">The trailing-edge collection set-point used for the flow-through pool was more permissive</w:t>
      </w:r>
      <w:r>
        <w:t xml:space="preserve"> </w:t>
      </w:r>
      <w:r>
        <w:t xml:space="preserve">than intended in both executions, at</w:t>
      </w:r>
      <w:r>
        <w:t xml:space="preserve"> </w:t>
      </w:r>
      <w:r>
        <w:t xml:space="preserve">180 mAU against a corrected</w:t>
      </w:r>
      <w:r>
        <w:t xml:space="preserve"> </w:t>
      </w:r>
      <w:r>
        <w:t xml:space="preserve">120 mAU. The effect on the pool was</w:t>
      </w:r>
      <w:r>
        <w:t xml:space="preserve"> </w:t>
      </w:r>
      <w:r>
        <w:t xml:space="preserve">modelled and then checked against 3 verification runs,</w:t>
      </w:r>
      <w:r>
        <w:t xml:space="preserve"> </w:t>
      </w:r>
      <w:r>
        <w:t xml:space="preserve">and PCR-008 gives the assessment.</w:t>
      </w:r>
    </w:p>
    <w:bookmarkEnd w:id="71"/>
    <w:bookmarkStart w:id="73" w:name="the-retained-deviations"/>
    <w:p>
      <w:pPr>
        <w:pStyle w:val="Heading2"/>
      </w:pPr>
      <w:r>
        <w:t xml:space="preserve">8.2 The retained deviations</w:t>
      </w:r>
    </w:p>
    <w:p>
      <w:pPr>
        <w:pStyle w:val="FirstParagraph"/>
      </w:pPr>
      <w:r>
        <w:t xml:space="preserve">In 15 cases the deviation was retained, which means the affected data</w:t>
      </w:r>
      <w:r>
        <w:t xml:space="preserve"> </w:t>
      </w:r>
      <w:r>
        <w:t xml:space="preserve">were kept in the analysis with an argument that bounds the impact. Most fall into three kinds. Some</w:t>
      </w:r>
      <w:r>
        <w:t xml:space="preserve"> </w:t>
      </w:r>
      <w:r>
        <w:t xml:space="preserve">are single-run excursions of a controlled parameter that stayed inside the range the study</w:t>
      </w:r>
      <w:r>
        <w:t xml:space="preserve"> </w:t>
      </w:r>
      <w:r>
        <w:t xml:space="preserve">itself covered. The pressure excursion at virus filtration (DEV-009-01) and the</w:t>
      </w:r>
      <w:r>
        <w:t xml:space="preserve"> </w:t>
      </w:r>
      <w:r>
        <w:t xml:space="preserve">transmembrane pressure excursion at the formulation step (DEV-010-01) are of that kind.</w:t>
      </w:r>
      <w:r>
        <w:t xml:space="preserve"> </w:t>
      </w:r>
      <w:r>
        <w:t xml:space="preserve">Some are material events found before or after execution, such as the expired buffer lot at</w:t>
      </w:r>
      <w:r>
        <w:t xml:space="preserve"> </w:t>
      </w:r>
      <w:r>
        <w:t xml:space="preserve">cation exchange (DEV-007-01) and the buffer released below its pH acceptance range at anion</w:t>
      </w:r>
      <w:r>
        <w:t xml:space="preserve"> </w:t>
      </w:r>
      <w:r>
        <w:t xml:space="preserve">exchange (DEV-008-03). Others are analytical events resolved by re-test or by dilution,</w:t>
      </w:r>
      <w:r>
        <w:t xml:space="preserve"> </w:t>
      </w:r>
      <w:r>
        <w:t xml:space="preserve">such as the cytotoxicity seen at low dilution in the XMuLV infectivity assay (DEV-006-02).</w:t>
      </w:r>
      <w:r>
        <w:t xml:space="preserve"> </w:t>
      </w:r>
      <w:r>
        <w:t xml:space="preserve">The remainder are single events of other kinds. The dissolved carbon dioxide probe drift</w:t>
      </w:r>
      <w:r>
        <w:t xml:space="preserve"> </w:t>
      </w:r>
      <w:r>
        <w:t xml:space="preserve">(DEV-003-01) and the feed under-delivery on a centre-point batch (DEV-003-02) are both</w:t>
      </w:r>
      <w:r>
        <w:t xml:space="preserve"> </w:t>
      </w:r>
      <w:r>
        <w:t xml:space="preserve">bioreactor events. The others are the hold-time record discrepancy between the control</w:t>
      </w:r>
      <w:r>
        <w:t xml:space="preserve"> </w:t>
      </w:r>
      <w:r>
        <w:t xml:space="preserve">system and the manual log at the low-pH hold (DEV-006-01) and the final pool concentration</w:t>
      </w:r>
      <w:r>
        <w:t xml:space="preserve"> </w:t>
      </w:r>
      <w:r>
        <w:t xml:space="preserve">below target at the formulation step (DEV-010-02), which was corrected by topping up.</w:t>
      </w:r>
    </w:p>
    <w:p>
      <w:pPr>
        <w:pStyle w:val="BodyText"/>
      </w:pPr>
      <w:r>
        <w:t xml:space="preserve">Most of the deviations in</w:t>
      </w:r>
      <w:r>
        <w:t xml:space="preserve"> </w:t>
      </w:r>
      <w:hyperlink w:anchor="tbl-dev">
        <w:r>
          <w:rPr>
            <w:rStyle w:val="Hyperlink"/>
          </w:rPr>
          <w:t xml:space="preserve">Table 13</w:t>
        </w:r>
      </w:hyperlink>
      <w:r>
        <w:t xml:space="preserve"> </w:t>
      </w:r>
      <w:r>
        <w:t xml:space="preserve">were found by checks that run independently of the study</w:t>
      </w:r>
      <w:r>
        <w:t xml:space="preserve"> </w:t>
      </w:r>
      <w:r>
        <w:t xml:space="preserve">analysis, among them buffer release testing, in-process monitoring, equipment history</w:t>
      </w:r>
      <w:r>
        <w:t xml:space="preserve"> </w:t>
      </w:r>
      <w:r>
        <w:t xml:space="preserve">review, pre-use verification and post-execution reconciliation. The exceptions are</w:t>
      </w:r>
      <w:r>
        <w:t xml:space="preserve"> </w:t>
      </w:r>
      <w:r>
        <w:t xml:space="preserve">analytical events. The leached Protein A result that fell out of trend at the capture step</w:t>
      </w:r>
      <w:r>
        <w:t xml:space="preserve"> </w:t>
      </w:r>
      <w:r>
        <w:t xml:space="preserve">(DEV-005-02) and the assay cytotoxicity at the low-pH hold (DEV-006-02) were both found in</w:t>
      </w:r>
      <w:r>
        <w:t xml:space="preserve"> </w:t>
      </w:r>
      <w:r>
        <w:t xml:space="preserve">the review of the study’s own results. An instrumented scale-down system is involved in</w:t>
      </w:r>
      <w:r>
        <w:t xml:space="preserve"> </w:t>
      </w:r>
      <w:r>
        <w:t xml:space="preserve">3 of the deviations. Those systems</w:t>
      </w:r>
      <w:r>
        <w:t xml:space="preserve"> </w:t>
      </w:r>
      <w:r>
        <w:t xml:space="preserve">are listed in</w:t>
      </w:r>
      <w:r>
        <w:t xml:space="preserve"> </w:t>
      </w:r>
      <w:hyperlink w:anchor="tbl-equipment">
        <w:r>
          <w:rPr>
            <w:rStyle w:val="Hyperlink"/>
          </w:rPr>
          <w:t xml:space="preserve">Table 14</w:t>
        </w:r>
      </w:hyperlink>
      <w:r>
        <w:t xml:space="preserve"> </w:t>
      </w:r>
      <w:r>
        <w:t xml:space="preserve">with their calibration status at the time the affected studies</w:t>
      </w:r>
      <w:r>
        <w:t xml:space="preserve"> </w:t>
      </w:r>
      <w:r>
        <w:t xml:space="preserve">ran, and each was inside its calibration interval.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tbl-equipmen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14: Instrumented scale-down systems under calibration and change control.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11"/>
              <w:gridCol w:w="3294"/>
              <w:gridCol w:w="2032"/>
              <w:gridCol w:w="168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Equipment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Calibration status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Next calibration due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EQ-CHR-118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temperature-controlled chromatography chamber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 calibration at 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2026-05-30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EQ-BRX-205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production scale-down bioreactor pCO2 probe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 calibration at 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2026-06-14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EQ-TFF-142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ultrafiltration / diafiltration TFF skid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 calibration at execution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2026-04-22</w:t>
                  </w:r>
                </w:p>
              </w:tc>
            </w:tr>
          </w:tbl>
          <w:bookmarkEnd w:id="72"/>
          <w:p/>
        </w:tc>
      </w:tr>
    </w:tbl>
    <w:bookmarkEnd w:id="73"/>
    <w:bookmarkEnd w:id="74"/>
    <w:bookmarkStart w:id="75" w:name="sec-conclusions"/>
    <w:p>
      <w:pPr>
        <w:pStyle w:val="Heading1"/>
      </w:pPr>
      <w:r>
        <w:t xml:space="preserve">9. Conclusions and Stage 2 readiness</w:t>
      </w:r>
    </w:p>
    <w:p>
      <w:pPr>
        <w:pStyle w:val="FirstParagraph"/>
      </w:pPr>
      <w:r>
        <w:t xml:space="preserve">The A-Mab drug substance process is characterized across Steps 3–10 and the campaign</w:t>
      </w:r>
      <w:r>
        <w:t xml:space="preserve"> </w:t>
      </w:r>
      <w:r>
        <w:t xml:space="preserve">supports a defined control strategy. Every one of the 37 process</w:t>
      </w:r>
      <w:r>
        <w:t xml:space="preserve"> </w:t>
      </w:r>
      <w:r>
        <w:t xml:space="preserve">parameters has a classification, 21 of them are quality-linked and</w:t>
      </w:r>
      <w:r>
        <w:t xml:space="preserve"> </w:t>
      </w:r>
      <w:r>
        <w:t xml:space="preserve">are controlled to the ranges in</w:t>
      </w:r>
      <w:r>
        <w:t xml:space="preserve"> </w:t>
      </w:r>
      <w:hyperlink w:anchor="tbl-cpp">
        <w:r>
          <w:rPr>
            <w:rStyle w:val="Hyperlink"/>
          </w:rPr>
          <w:t xml:space="preserve">Table 8</w:t>
        </w:r>
      </w:hyperlink>
      <w:r>
        <w:t xml:space="preserve">, and the remaining 16 are</w:t>
      </w:r>
      <w:r>
        <w:t xml:space="preserve"> </w:t>
      </w:r>
      <w:r>
        <w:t xml:space="preserve">controlled for process consistency. Each unit operation has a plan, a report and an</w:t>
      </w:r>
      <w:r>
        <w:t xml:space="preserve"> </w:t>
      </w:r>
      <w:r>
        <w:t xml:space="preserve">operating region. At the 6 steps that carried a designed experiment</w:t>
      </w:r>
      <w:r>
        <w:t xml:space="preserve"> </w:t>
      </w:r>
      <w:r>
        <w:t xml:space="preserve">the operating region is derived from that step’s response surface models, and at harvest</w:t>
      </w:r>
      <w:r>
        <w:t xml:space="preserve"> </w:t>
      </w:r>
      <w:r>
        <w:t xml:space="preserve">and the formulation step it rests on the univariate assessments those reports present.</w:t>
      </w:r>
    </w:p>
    <w:p>
      <w:pPr>
        <w:pStyle w:val="BodyText"/>
      </w:pPr>
      <w:r>
        <w:t xml:space="preserve">Every drug substance quality attribute met its acceptance criterion in the simulated</w:t>
      </w:r>
      <w:r>
        <w:t xml:space="preserve"> </w:t>
      </w:r>
      <w:r>
        <w:t xml:space="preserve">commercial process. The lowest capability index is 1.51, for</w:t>
      </w:r>
      <w:r>
        <w:t xml:space="preserve"> </w:t>
      </w:r>
      <w:r>
        <w:t xml:space="preserve">cumulative MVM clearance, and the tightest of the attributes the process forms is high</w:t>
      </w:r>
      <w:r>
        <w:t xml:space="preserve"> </w:t>
      </w:r>
      <w:r>
        <w:t xml:space="preserve">mannose at 1.94. Cumulative viral clearance exceeds the</w:t>
      </w:r>
      <w:r>
        <w:t xml:space="preserve"> </w:t>
      </w:r>
      <w:r>
        <w:t xml:space="preserve">requirement by 2.17 log₁₀ for XMuLV and by</w:t>
      </w:r>
      <w:r>
        <w:t xml:space="preserve"> </w:t>
      </w:r>
      <w:r>
        <w:t xml:space="preserve">1.43 log₁₀ for MVM, on 3 steps with</w:t>
      </w:r>
      <w:r>
        <w:t xml:space="preserve"> </w:t>
      </w:r>
      <w:r>
        <w:t xml:space="preserve">independent mechanisms. The campaign recorded 17 deviations, one of which</w:t>
      </w:r>
      <w:r>
        <w:t xml:space="preserve"> </w:t>
      </w:r>
      <w:r>
        <w:t xml:space="preserve">forced a study to be re-executed in full, and each was dispositioned in the report for its</w:t>
      </w:r>
      <w:r>
        <w:t xml:space="preserve"> </w:t>
      </w:r>
      <w:r>
        <w:t xml:space="preserve">step.</w:t>
      </w:r>
    </w:p>
    <w:p>
      <w:pPr>
        <w:pStyle w:val="BodyText"/>
      </w:pPr>
      <w:r>
        <w:t xml:space="preserve">The capability and clearance figures are estimated on qualified scale-down models and are</w:t>
      </w:r>
      <w:r>
        <w:t xml:space="preserve"> </w:t>
      </w:r>
      <w:r>
        <w:t xml:space="preserve">not measured on commercial equipment, and they describe the process operating near its</w:t>
      </w:r>
      <w:r>
        <w:t xml:space="preserve"> </w:t>
      </w:r>
      <w:r>
        <w:t xml:space="preserve">set-points, so they say nothing about the edges of the design space, which have not been</w:t>
      </w:r>
      <w:r>
        <w:t xml:space="preserve"> </w:t>
      </w:r>
      <w:r>
        <w:t xml:space="preserve">run at scale. The viral clearance values come from small-scale spiking studies. Nothing</w:t>
      </w:r>
      <w:r>
        <w:t xml:space="preserve"> </w:t>
      </w:r>
      <w:r>
        <w:t xml:space="preserve">here rests on a screening model, and no proven acceptable range extends beyond the range</w:t>
      </w:r>
      <w:r>
        <w:t xml:space="preserve"> </w:t>
      </w:r>
      <w:r>
        <w:t xml:space="preserve">its step characterized.</w:t>
      </w:r>
    </w:p>
    <w:p>
      <w:pPr>
        <w:pStyle w:val="BodyText"/>
      </w:pPr>
      <w:r>
        <w:t xml:space="preserve">What remains is Stage 2. The process transfers to the receiving site under PTP-001, process</w:t>
      </w:r>
      <w:r>
        <w:t xml:space="preserve"> </w:t>
      </w:r>
      <w:r>
        <w:t xml:space="preserve">performance qualification batches are executed there, capability is re-estimated from those</w:t>
      </w:r>
      <w:r>
        <w:t xml:space="preserve"> </w:t>
      </w:r>
      <w:r>
        <w:t xml:space="preserve">batches instead of from simulation, and the analytical methods transfer and are re-qualified</w:t>
      </w:r>
      <w:r>
        <w:t xml:space="preserve"> </w:t>
      </w:r>
      <w:r>
        <w:t xml:space="preserve">at the receiving site. Continued process verification then runs for the life of the</w:t>
      </w:r>
      <w:r>
        <w:t xml:space="preserve"> </w:t>
      </w:r>
      <w:r>
        <w:t xml:space="preserve">product. This report does not qualify the commercial process, and it makes no claim about</w:t>
      </w:r>
      <w:r>
        <w:t xml:space="preserve"> </w:t>
      </w:r>
      <w:r>
        <w:t xml:space="preserve">the performance of any batch made at commercial scale.</w:t>
      </w:r>
    </w:p>
    <w:bookmarkEnd w:id="75"/>
    <w:bookmarkStart w:id="84" w:name="references"/>
    <w:p>
      <w:pPr>
        <w:pStyle w:val="Heading1"/>
      </w:pPr>
      <w:r>
        <w:t xml:space="preserve">References</w:t>
      </w:r>
    </w:p>
    <w:bookmarkStart w:id="83" w:name="refs"/>
    <w:bookmarkStart w:id="76" w:name="ref-amab2009"/>
    <w:p>
      <w:pPr>
        <w:pStyle w:val="Bibliography"/>
      </w:pPr>
      <w:r>
        <w:t xml:space="preserve">CMC Biotech Working Group. 2009.</w:t>
      </w:r>
      <w:r>
        <w:t xml:space="preserve"> </w:t>
      </w:r>
      <w:r>
        <w:rPr>
          <w:i/>
          <w:iCs/>
        </w:rPr>
        <w:t xml:space="preserve">A-Mab: A Case Study in Bioprocess Development</w:t>
      </w:r>
      <w:r>
        <w:t xml:space="preserve">. CASSS.</w:t>
      </w:r>
    </w:p>
    <w:bookmarkEnd w:id="76"/>
    <w:bookmarkStart w:id="77" w:name="ref-ichq10"/>
    <w:p>
      <w:pPr>
        <w:pStyle w:val="Bibliography"/>
      </w:pPr>
      <w:r>
        <w:t xml:space="preserve">International Council for Harmonisation. 2008.</w:t>
      </w:r>
      <w:r>
        <w:t xml:space="preserve"> </w:t>
      </w:r>
      <w:r>
        <w:rPr>
          <w:i/>
          <w:iCs/>
        </w:rPr>
        <w:t xml:space="preserve">ICH Q10: Pharmaceutical Quality System</w:t>
      </w:r>
      <w:r>
        <w:t xml:space="preserve">. ICH.</w:t>
      </w:r>
    </w:p>
    <w:bookmarkEnd w:id="77"/>
    <w:bookmarkStart w:id="78" w:name="ref-ichq8"/>
    <w:p>
      <w:pPr>
        <w:pStyle w:val="Bibliography"/>
      </w:pPr>
      <w:r>
        <w:t xml:space="preserve">International Council for Harmonisation. 2009.</w:t>
      </w:r>
      <w:r>
        <w:t xml:space="preserve"> </w:t>
      </w:r>
      <w:r>
        <w:rPr>
          <w:i/>
          <w:iCs/>
        </w:rPr>
        <w:t xml:space="preserve">ICH Q8(R2): Pharmaceutical Development</w:t>
      </w:r>
      <w:r>
        <w:t xml:space="preserve">. ICH.</w:t>
      </w:r>
    </w:p>
    <w:bookmarkEnd w:id="78"/>
    <w:bookmarkStart w:id="79" w:name="ref-ichq11"/>
    <w:p>
      <w:pPr>
        <w:pStyle w:val="Bibliography"/>
      </w:pPr>
      <w:r>
        <w:t xml:space="preserve">International Council for Harmonisation. 2012.</w:t>
      </w:r>
      <w:r>
        <w:t xml:space="preserve"> </w:t>
      </w:r>
      <w:r>
        <w:rPr>
          <w:i/>
          <w:iCs/>
        </w:rPr>
        <w:t xml:space="preserve">ICH Q11: Development and Manufacture of Drug Substances</w:t>
      </w:r>
      <w:r>
        <w:t xml:space="preserve">. ICH.</w:t>
      </w:r>
    </w:p>
    <w:bookmarkEnd w:id="79"/>
    <w:bookmarkStart w:id="80" w:name="ref-ichq5a"/>
    <w:p>
      <w:pPr>
        <w:pStyle w:val="Bibliography"/>
      </w:pPr>
      <w:r>
        <w:t xml:space="preserve">International Council for Harmonisation. 2023a.</w:t>
      </w:r>
      <w:r>
        <w:t xml:space="preserve"> </w:t>
      </w:r>
      <w:r>
        <w:rPr>
          <w:i/>
          <w:iCs/>
        </w:rPr>
        <w:t xml:space="preserve">ICH Q5A(R2): Viral Safety Evaluation of Biotechnology Products Derived from Cell Lines of Human or Animal Origin</w:t>
      </w:r>
      <w:r>
        <w:t xml:space="preserve">. ICH.</w:t>
      </w:r>
    </w:p>
    <w:bookmarkEnd w:id="80"/>
    <w:bookmarkStart w:id="81" w:name="ref-ichq9"/>
    <w:p>
      <w:pPr>
        <w:pStyle w:val="Bibliography"/>
      </w:pPr>
      <w:r>
        <w:t xml:space="preserve">International Council for Harmonisation. 2023b.</w:t>
      </w:r>
      <w:r>
        <w:t xml:space="preserve"> </w:t>
      </w:r>
      <w:r>
        <w:rPr>
          <w:i/>
          <w:iCs/>
        </w:rPr>
        <w:t xml:space="preserve">ICH Q9(R1): Quality Risk Management</w:t>
      </w:r>
      <w:r>
        <w:t xml:space="preserve">. ICH.</w:t>
      </w:r>
    </w:p>
    <w:bookmarkEnd w:id="81"/>
    <w:bookmarkStart w:id="82" w:name="ref-fda2011"/>
    <w:p>
      <w:pPr>
        <w:pStyle w:val="Bibliography"/>
      </w:pPr>
      <w:r>
        <w:t xml:space="preserve">U.S. Food and Drug Administration. 2011.</w:t>
      </w:r>
      <w:r>
        <w:t xml:space="preserve"> </w:t>
      </w:r>
      <w:r>
        <w:rPr>
          <w:i/>
          <w:iCs/>
        </w:rPr>
        <w:t xml:space="preserve">Guidance for Industry: Process Validation — General Principles and Practices</w:t>
      </w:r>
      <w:r>
        <w:t xml:space="preserve">. FDA.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37" Target="media/rId37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Characterization Master Report</dc:title>
  <dc:creator>Process Development / Manufacturing Science &amp; Technology (MSAT)</dc:creator>
  <cp:keywords/>
  <dcterms:created xsi:type="dcterms:W3CDTF">2026-08-02T19:10:45Z</dcterms:created>
  <dcterms:modified xsi:type="dcterms:W3CDTF">2026-08-02T19:10:45Z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2026-07-24</vt:lpwstr>
  </property>
  <property fmtid="{D5CDD505-2E9C-101B-9397-08002B2CF9AE}" pid="7" name="execute">
    <vt:lpwstr/>
  </property>
  <property fmtid="{D5CDD505-2E9C-101B-9397-08002B2CF9AE}" pid="8" name="fig-cap-location">
    <vt:lpwstr>bottom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jupyter">
    <vt:lpwstr>python3</vt:lpwstr>
  </property>
  <property fmtid="{D5CDD505-2E9C-101B-9397-08002B2CF9AE}" pid="13" name="labels">
    <vt:lpwstr/>
  </property>
  <property fmtid="{D5CDD505-2E9C-101B-9397-08002B2CF9AE}" pid="14" name="subtitle">
    <vt:lpwstr>A-Mab Drug Substance — PCMR-001</vt:lpwstr>
  </property>
  <property fmtid="{D5CDD505-2E9C-101B-9397-08002B2CF9AE}" pid="15" name="tbl-cap-location">
    <vt:lpwstr>top</vt:lpwstr>
  </property>
  <property fmtid="{D5CDD505-2E9C-101B-9397-08002B2CF9AE}" pid="16" name="toc-title">
    <vt:lpwstr>Table of contents</vt:lpwstr>
  </property>
</Properties>
</file>