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Production Bioreactor (Step 3) — PCP-003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2-AB, 2-aminobenzamide; ADCC, antibody-dependent cell-mediated cytotoxicity; ALCOA+,</w:t>
      </w:r>
      <w:r>
        <w:t xml:space="preserve"> </w:t>
      </w:r>
      <w:r>
        <w:t xml:space="preserve">attributable, legible, contemporaneous, original and accurate, plus complete, consistent,</w:t>
      </w:r>
      <w:r>
        <w:t xml:space="preserve"> </w:t>
      </w:r>
      <w:r>
        <w:t xml:space="preserve">enduring and available; AMV, analytical method validation; ANOVA, analysis of variance; CDC,</w:t>
      </w:r>
      <w:r>
        <w:t xml:space="preserve"> </w:t>
      </w:r>
      <w:r>
        <w:t xml:space="preserve">complement-dependent cytotoxicity; CEX, cation exchange chromatography; CPP, critical</w:t>
      </w:r>
      <w:r>
        <w:t xml:space="preserve"> </w:t>
      </w:r>
      <w:r>
        <w:t xml:space="preserve">process parameter; Cpk, process capability index; CQA, critical quality attribute; DoE,</w:t>
      </w:r>
      <w:r>
        <w:t xml:space="preserve"> </w:t>
      </w:r>
      <w:r>
        <w:t xml:space="preserve">design of experiments; DO, dissolved oxygen; DS, drug substance; ELISA, enzyme-linked</w:t>
      </w:r>
      <w:r>
        <w:t xml:space="preserve"> </w:t>
      </w:r>
      <w:r>
        <w:t xml:space="preserve">immunosorbent assay; GPP, general process parameter; HCP, host cell protein; HILIC,</w:t>
      </w:r>
      <w:r>
        <w:t xml:space="preserve"> </w:t>
      </w:r>
      <w:r>
        <w:t xml:space="preserve">hydrophilic interaction liquid chromatography; HMW, high molecular weight; icIEF, imaged</w:t>
      </w:r>
      <w:r>
        <w:t xml:space="preserve"> </w:t>
      </w:r>
      <w:r>
        <w:t xml:space="preserve">capillary isoelectric focusing; IgG1, immunoglobulin G subclass 1; iVCC, initial viable cell</w:t>
      </w:r>
      <w:r>
        <w:t xml:space="preserve"> </w:t>
      </w:r>
      <w:r>
        <w:t xml:space="preserve">concentration; KPP, key process parameter; MSAT, Manufacturing Science and Technology; NOR,</w:t>
      </w:r>
      <w:r>
        <w:t xml:space="preserve"> </w:t>
      </w:r>
      <w:r>
        <w:t xml:space="preserve">normal operating range; PAR, proven acceptable range; pCO</w:t>
      </w:r>
      <w:r>
        <w:rPr>
          <w:vertAlign w:val="subscript"/>
        </w:rPr>
        <w:t xml:space="preserve">2</w:t>
      </w:r>
      <w:r>
        <w:t xml:space="preserve">, dissolved carbon dioxide</w:t>
      </w:r>
      <w:r>
        <w:t xml:space="preserve"> </w:t>
      </w:r>
      <w:r>
        <w:t xml:space="preserve">partial pressure; PRESS, predicted residual error sum of squares; qPCR, quantitative</w:t>
      </w:r>
      <w:r>
        <w:t xml:space="preserve"> </w:t>
      </w:r>
      <w:r>
        <w:t xml:space="preserve">polymerase chain reaction; RSM, response-surface methodology; SEC-HPLC, size-exclusion</w:t>
      </w:r>
      <w:r>
        <w:t xml:space="preserve"> </w:t>
      </w:r>
      <w:r>
        <w:t xml:space="preserve">high-performance liquid chromatography; SOP, standard operating procedure; UPLC,</w:t>
      </w:r>
      <w:r>
        <w:t xml:space="preserve"> </w:t>
      </w:r>
      <w:r>
        <w:t xml:space="preserve">ultra-performance liquid chromatography; WC-CPP, well-controlled critical process parameter.</w:t>
      </w:r>
    </w:p>
    <w:p>
      <w:r>
        <w:br w:type="page"/>
      </w:r>
    </w:p>
    <w:bookmarkEnd w:id="11"/>
    <w:bookmarkStart w:id="12" w:name="sec-purpos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plan describes the process characterization studies that will be performed on the</w:t>
      </w:r>
      <w:r>
        <w:t xml:space="preserve"> </w:t>
      </w:r>
      <w:r>
        <w:t xml:space="preserve">A-Mab production bioreactor before the drug substance process is qualified at the receiving</w:t>
      </w:r>
      <w:r>
        <w:t xml:space="preserve"> </w:t>
      </w:r>
      <w:r>
        <w:t xml:space="preserve">site (Novacyte Biologics — Grafton, WI (Commercial DS)). The bioreactor is Step 3 of the drug</w:t>
      </w:r>
      <w:r>
        <w:t xml:space="preserve"> </w:t>
      </w:r>
      <w:r>
        <w:t xml:space="preserve">substance process and is operated as a fed-batch cell culture at 15,000 L. It is</w:t>
      </w:r>
      <w:r>
        <w:t xml:space="preserve"> </w:t>
      </w:r>
      <w:r>
        <w:t xml:space="preserve">the step at which the glycosylation, charge variant and aggregate attributes of A-Mab are</w:t>
      </w:r>
      <w:r>
        <w:t xml:space="preserve"> </w:t>
      </w:r>
      <w:r>
        <w:t xml:space="preserve">formed, and because the glycan attributes in particular are not modified by the platform</w:t>
      </w:r>
      <w:r>
        <w:t xml:space="preserve"> </w:t>
      </w:r>
      <w:r>
        <w:t xml:space="preserve">purification train, the design space established here carries most of the product quality</w:t>
      </w:r>
      <w:r>
        <w:t xml:space="preserve"> </w:t>
      </w:r>
      <w:r>
        <w:t xml:space="preserve">argument for the upstream process.</w:t>
      </w:r>
    </w:p>
    <w:p>
      <w:pPr>
        <w:pStyle w:val="BodyText"/>
      </w:pPr>
      <w:r>
        <w:t xml:space="preserve">The studies will be executed on a qualified scale-down model at the sending site</w:t>
      </w:r>
      <w:r>
        <w:t xml:space="preserve"> </w:t>
      </w:r>
      <w:r>
        <w:t xml:space="preserve">(Novacyte Biologics — Cambridge, MA (Development)). Their results, the design space that follows from them and the</w:t>
      </w:r>
      <w:r>
        <w:t xml:space="preserve"> </w:t>
      </w:r>
      <w:r>
        <w:t xml:space="preserve">classification of every parameter will be reported in the paired report (PCR-003). Nothing</w:t>
      </w:r>
      <w:r>
        <w:t xml:space="preserve"> </w:t>
      </w:r>
      <w:r>
        <w:t xml:space="preserve">in this plan states an outcome. It states what will be run, how the data will be analysed,</w:t>
      </w:r>
      <w:r>
        <w:t xml:space="preserve"> </w:t>
      </w:r>
      <w:r>
        <w:t xml:space="preserve">and the criteria against which the analysis will be judged.</w:t>
      </w:r>
    </w:p>
    <w:p>
      <w:pPr>
        <w:pStyle w:val="BodyText"/>
      </w:pPr>
      <w:r>
        <w:t xml:space="preserve">The work follows the enhanced, quality by design development approach, and it forms part of</w:t>
      </w:r>
      <w:r>
        <w:t xml:space="preserve"> </w:t>
      </w:r>
      <w:r>
        <w:t xml:space="preserve">the Stage 1 process design record for the drug substance</w:t>
      </w:r>
      <w:r>
        <w:t xml:space="preserve"> </w:t>
      </w:r>
      <w:r>
        <w:t xml:space="preserve">(U.S. Food and Drug Administration 2011; International Council for Harmonisation 2009, 2012)</w:t>
      </w:r>
      <w:r>
        <w:t xml:space="preserve">. The</w:t>
      </w:r>
      <w:r>
        <w:t xml:space="preserve"> </w:t>
      </w:r>
      <w:r>
        <w:t xml:space="preserve">scope of the study was set by the pre-characterization risk assessment (RA-001), and the</w:t>
      </w:r>
      <w:r>
        <w:t xml:space="preserve"> </w:t>
      </w:r>
      <w:r>
        <w:t xml:space="preserve">campaign-level framework it sits inside, which covers the common scale-down approach, the</w:t>
      </w:r>
      <w:r>
        <w:t xml:space="preserve"> </w:t>
      </w:r>
      <w:r>
        <w:t xml:space="preserve">common statistical approach and the acceptance framework, is given in the master plan</w:t>
      </w:r>
      <w:r>
        <w:t xml:space="preserve"> </w:t>
      </w:r>
      <w:r>
        <w:t xml:space="preserve">(PCMP-001).</w:t>
      </w:r>
    </w:p>
    <w:p>
      <w:pPr>
        <w:pStyle w:val="BodyText"/>
      </w:pPr>
      <w:r>
        <w:t xml:space="preserve">The plan covers the 9 process parameters of the production bioreactor listed</w:t>
      </w:r>
      <w:r>
        <w:t xml:space="preserve"> </w:t>
      </w:r>
      <w:r>
        <w:t xml:space="preserve">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of which 5 will be studied in a multivariate design and</w:t>
      </w:r>
      <w:r>
        <w:t xml:space="preserve"> </w:t>
      </w:r>
      <w:r>
        <w:t xml:space="preserve">4 will be assessed one at a time, in accordance with the study assignment</w:t>
      </w:r>
      <w:r>
        <w:t xml:space="preserve"> </w:t>
      </w:r>
      <w:r>
        <w:t xml:space="preserve">made in RA-001 and not re-derived here. It also covers the 7 quality</w:t>
      </w:r>
      <w:r>
        <w:t xml:space="preserve"> </w:t>
      </w:r>
      <w:r>
        <w:t xml:space="preserve">attributes that the drug substance register assigns to this step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), of which</w:t>
      </w:r>
      <w:r>
        <w:t xml:space="preserve"> </w:t>
      </w:r>
      <w:r>
        <w:t xml:space="preserve">5 are measured as design responses.</w:t>
      </w:r>
    </w:p>
    <w:p>
      <w:pPr>
        <w:pStyle w:val="BodyText"/>
      </w:pPr>
      <w:r>
        <w:t xml:space="preserve">Four things are outside the scope of this plan. Vial thaw, seed expansion and the N-1 seed</w:t>
      </w:r>
      <w:r>
        <w:t xml:space="preserve"> </w:t>
      </w:r>
      <w:r>
        <w:t xml:space="preserve">bioreactor are not characterized, because prior knowledge and the risk assessment place no</w:t>
      </w:r>
      <w:r>
        <w:t xml:space="preserve"> </w:t>
      </w:r>
      <w:r>
        <w:t xml:space="preserve">product quality risk on them (</w:t>
      </w:r>
      <w:hyperlink w:anchor="sec-risk">
        <w:r>
          <w:rPr>
            <w:rStyle w:val="Hyperlink"/>
          </w:rPr>
          <w:t xml:space="preserve">Section 4.3</w:t>
        </w:r>
      </w:hyperlink>
      <w:r>
        <w:t xml:space="preserve">). Harvest and clarification are covered by the</w:t>
      </w:r>
      <w:r>
        <w:t xml:space="preserve"> </w:t>
      </w:r>
      <w:r>
        <w:t xml:space="preserve">harvest plan (PCP-004). The clearance of host cell protein (HCP) and residual DNA by the</w:t>
      </w:r>
      <w:r>
        <w:t xml:space="preserve"> </w:t>
      </w:r>
      <w:r>
        <w:t xml:space="preserve">purification train is covered by PCP-005, PCP-007 and PCP-008. Confirmation of the design</w:t>
      </w:r>
      <w:r>
        <w:t xml:space="preserve"> </w:t>
      </w:r>
      <w:r>
        <w:t xml:space="preserve">space at commercial scale belongs to Stage 2, and it follows the process performance</w:t>
      </w:r>
      <w:r>
        <w:t xml:space="preserve"> </w:t>
      </w:r>
      <w:r>
        <w:t xml:space="preserve">qualification strategy set out in the transfer plan (PTP-001).</w:t>
      </w:r>
    </w:p>
    <w:bookmarkEnd w:id="12"/>
    <w:bookmarkStart w:id="13" w:name="sec-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objectives, and each one produces a defined section of PCR-003.</w:t>
      </w:r>
    </w:p>
    <w:p>
      <w:pPr>
        <w:pStyle w:val="Compact"/>
        <w:numPr>
          <w:ilvl w:val="0"/>
          <w:numId w:val="1001"/>
        </w:numPr>
      </w:pPr>
      <w:r>
        <w:t xml:space="preserve">Quantify the relationship between the multivariate process parameters and the quality</w:t>
      </w:r>
      <w:r>
        <w:t xml:space="preserve"> </w:t>
      </w:r>
      <w:r>
        <w:t xml:space="preserve">attributes this step forms, over ranges wider than the normal operating ranges (NORs).</w:t>
      </w:r>
    </w:p>
    <w:p>
      <w:pPr>
        <w:pStyle w:val="Compact"/>
        <w:numPr>
          <w:ilvl w:val="0"/>
          <w:numId w:val="1001"/>
        </w:numPr>
      </w:pPr>
      <w:r>
        <w:t xml:space="preserve">Define the design space for the well-controlled culture parameters, which is the</w:t>
      </w:r>
      <w:r>
        <w:t xml:space="preserve"> </w:t>
      </w:r>
      <w:r>
        <w:t xml:space="preserve">multivariate region within which 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predicted to meet its</w:t>
      </w:r>
      <w:r>
        <w:t xml:space="preserve"> </w:t>
      </w:r>
      <w:r>
        <w:t xml:space="preserve">acceptance criterion.</w:t>
      </w:r>
    </w:p>
    <w:p>
      <w:pPr>
        <w:pStyle w:val="Compact"/>
        <w:numPr>
          <w:ilvl w:val="0"/>
          <w:numId w:val="1001"/>
        </w:numPr>
      </w:pPr>
      <w:r>
        <w:t xml:space="preserve">Establish a proven acceptable range (PAR) for each parameter against each attribute it</w:t>
      </w:r>
      <w:r>
        <w:t xml:space="preserve"> </w:t>
      </w:r>
      <w:r>
        <w:t xml:space="preserve">governs, and confirm that the normal operating range sits inside it.</w:t>
      </w:r>
    </w:p>
    <w:p>
      <w:pPr>
        <w:pStyle w:val="Compact"/>
        <w:numPr>
          <w:ilvl w:val="0"/>
          <w:numId w:val="1001"/>
        </w:numPr>
      </w:pPr>
      <w:r>
        <w:t xml:space="preserve">Provide the demonstrated effects and the control capability needed to classify each</w:t>
      </w:r>
      <w:r>
        <w:t xml:space="preserve"> </w:t>
      </w:r>
      <w:r>
        <w:t xml:space="preserve">parameter under the classification procedure (SOP-4001).</w:t>
      </w:r>
    </w:p>
    <w:p>
      <w:pPr>
        <w:pStyle w:val="Compact"/>
        <w:numPr>
          <w:ilvl w:val="0"/>
          <w:numId w:val="1001"/>
        </w:numPr>
      </w:pPr>
      <w:r>
        <w:t xml:space="preserve">Justify the parameter ranges that will be carried into Stage 2, and state this step’s</w:t>
      </w:r>
      <w:r>
        <w:t xml:space="preserve"> </w:t>
      </w:r>
      <w:r>
        <w:t xml:space="preserve">contribution to the control strategy for the drug substance.</w:t>
      </w:r>
    </w:p>
    <w:p>
      <w:pPr>
        <w:pStyle w:val="FirstParagraph"/>
      </w:pPr>
      <w:r>
        <w:t xml:space="preserve">The first two objectives depend on a design of experiments, the third on the fitted</w:t>
      </w:r>
      <w:r>
        <w:t xml:space="preserve"> </w:t>
      </w:r>
      <w:r>
        <w:t xml:space="preserve">response-surface model, and the last two on both of those together with prior knowledge. If</w:t>
      </w:r>
      <w:r>
        <w:t xml:space="preserve"> </w:t>
      </w:r>
      <w:r>
        <w:t xml:space="preserve">the scale-down model fails its qualification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), none of the five can be met, which</w:t>
      </w:r>
      <w:r>
        <w:t xml:space="preserve"> </w:t>
      </w:r>
      <w:r>
        <w:t xml:space="preserve">is why qualification is the first activity in the sequence given in</w:t>
      </w:r>
      <w:r>
        <w:t xml:space="preserve"> </w:t>
      </w:r>
      <w:hyperlink w:anchor="sec-schedule">
        <w:r>
          <w:rPr>
            <w:rStyle w:val="Hyperlink"/>
          </w:rPr>
          <w:t xml:space="preserve">Section 11</w:t>
        </w:r>
      </w:hyperlink>
      <w:r>
        <w:t xml:space="preserve">.</w:t>
      </w:r>
    </w:p>
    <w:bookmarkEnd w:id="13"/>
    <w:bookmarkStart w:id="16" w:name="sec-related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that scope this plan and the documents it feeds. The three</w:t>
      </w:r>
      <w:r>
        <w:t xml:space="preserve"> </w:t>
      </w:r>
      <w:r>
        <w:t xml:space="preserve">parent documents (PTP-001, RA-001 and PCMP-001) fix the transfer scope, the study scope and</w:t>
      </w:r>
      <w:r>
        <w:t xml:space="preserve"> </w:t>
      </w:r>
      <w:r>
        <w:t xml:space="preserve">the campaign framework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4516"/>
              <w:gridCol w:w="24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(Production Bioreactor (Step 3))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sop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controlled procedures that govern the work, from scale-down model</w:t>
      </w:r>
      <w:r>
        <w:t xml:space="preserve"> </w:t>
      </w:r>
      <w:r>
        <w:t xml:space="preserve">qualification (SOP-1001) through the operation of the step itself (SOP-2003) to parameter</w:t>
      </w:r>
      <w:r>
        <w:t xml:space="preserve"> </w:t>
      </w:r>
      <w:r>
        <w:t xml:space="preserve">classification (SOP-4001). The validated analytical methods are listed separately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, together with the response each one supports.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Standard operating procedures applicable to this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83"/>
              <w:gridCol w:w="6008"/>
              <w:gridCol w:w="72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Production Bioreactor (Fed-Batch)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Cell-Culture Media and Feed Preparation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Released N-Glycan Mapping by 2-AB HILIC-UPLC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 Analysis by SEC-HPLC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Host-Cell-Protein Quantitation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Charge-Variant Analysis by icIEF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Host-Cell DNA by qPCR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sec-prior"/>
    <w:p>
      <w:pPr>
        <w:pStyle w:val="Heading1"/>
      </w:pPr>
      <w:r>
        <w:t xml:space="preserve">4. Prior knowledge and quality risk basis</w:t>
      </w:r>
    </w:p>
    <w:p>
      <w:pPr>
        <w:pStyle w:val="FirstParagraph"/>
      </w:pPr>
      <w:r>
        <w:t xml:space="preserve">Prior knowledge and RA-001 together fix the scope of this study. The platform is</w:t>
      </w:r>
      <w:r>
        <w:t xml:space="preserve"> </w:t>
      </w:r>
      <w:r>
        <w:t xml:space="preserve">established, so the studies described below confirm and bound known behaviour instead of</w:t>
      </w:r>
      <w:r>
        <w:t xml:space="preserve"> </w:t>
      </w:r>
      <w:r>
        <w:t xml:space="preserve">discovering it. What prior knowledge does not establish is how the culture parameters</w:t>
      </w:r>
      <w:r>
        <w:t xml:space="preserve"> </w:t>
      </w:r>
      <w:r>
        <w:t xml:space="preserve">interact over ranges wider than routine control.</w:t>
      </w:r>
    </w:p>
    <w:bookmarkStart w:id="17" w:name="sec-uo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production bioreactor is a fed-batch cell culture in a stirred tank, operated with</w:t>
      </w:r>
      <w:r>
        <w:t xml:space="preserve"> </w:t>
      </w:r>
      <w:r>
        <w:t xml:space="preserve">controlled pH, temperature, dissolved oxygen (DO) and nutrient feeding, and harvested at a</w:t>
      </w:r>
      <w:r>
        <w:t xml:space="preserve"> </w:t>
      </w:r>
      <w:r>
        <w:t xml:space="preserve">fixed culture age. A-Mab is a humanized IgG1 antibody whose primary mechanism of action is</w:t>
      </w:r>
      <w:r>
        <w:t xml:space="preserve"> </w:t>
      </w:r>
      <w:r>
        <w:t xml:space="preserve">antibody-dependent cell-mediated cytotoxicity (ADCC), so the glycan attributes formed in the</w:t>
      </w:r>
      <w:r>
        <w:t xml:space="preserve"> </w:t>
      </w:r>
      <w:r>
        <w:t xml:space="preserve">culture are linked to efficacy</w:t>
      </w:r>
      <w:r>
        <w:t xml:space="preserve"> </w:t>
      </w:r>
      <w:r>
        <w:t xml:space="preserve">(CMC Biotech Working Group 2009)</w:t>
      </w:r>
      <w:r>
        <w:t xml:space="preserve">. The glycosylation and charge variant</w:t>
      </w:r>
      <w:r>
        <w:t xml:space="preserve"> </w:t>
      </w:r>
      <w:r>
        <w:t xml:space="preserve">distributions are established inside the cell and in the culture fluid, and neither is</w:t>
      </w:r>
      <w:r>
        <w:t xml:space="preserve"> </w:t>
      </w:r>
      <w:r>
        <w:t xml:space="preserve">substantially modified by the platform purification train, which means that the values</w:t>
      </w:r>
      <w:r>
        <w:t xml:space="preserve"> </w:t>
      </w:r>
      <w:r>
        <w:t xml:space="preserve">delivered at harvest are close to the values that reach drug substance.</w:t>
      </w:r>
    </w:p>
    <w:p>
      <w:pPr>
        <w:pStyle w:val="BodyText"/>
      </w:pPr>
      <w:r>
        <w:t xml:space="preserve">Novacyte has operated this platform for three earlier humanized IgG1 antibodies (X-Mab,</w:t>
      </w:r>
      <w:r>
        <w:t xml:space="preserve"> </w:t>
      </w:r>
      <w:r>
        <w:t xml:space="preserve">Y-Mab and Z-Mab) and through the A-Mab clinical and engineering campaigns. That experience</w:t>
      </w:r>
      <w:r>
        <w:t xml:space="preserve"> </w:t>
      </w:r>
      <w:r>
        <w:t xml:space="preserve">establishes the mechanisms this study expects to see, and it is the reason the study can be</w:t>
      </w:r>
      <w:r>
        <w:t xml:space="preserve"> </w:t>
      </w:r>
      <w:r>
        <w:t xml:space="preserve">designed around 5 parameters instead of the full parameter list. The</w:t>
      </w:r>
      <w:r>
        <w:t xml:space="preserve"> </w:t>
      </w:r>
      <w:r>
        <w:t xml:space="preserve">expectations are set out below so that the results reported in PCR-003 either confirm them</w:t>
      </w:r>
      <w:r>
        <w:t xml:space="preserve"> </w:t>
      </w:r>
      <w:r>
        <w:t xml:space="preserve">or contradict them.</w:t>
      </w:r>
    </w:p>
    <w:p>
      <w:pPr>
        <w:pStyle w:val="BodyText"/>
      </w:pPr>
      <w:r>
        <w:t xml:space="preserve">Culture pH acts on the intracellular and Golgi pH, and therefore on the activity of the</w:t>
      </w:r>
      <w:r>
        <w:t xml:space="preserve"> </w:t>
      </w:r>
      <w:r>
        <w:t xml:space="preserve">glycosyltransferases and glycosidases that finish the glycan. It also shifts lactate</w:t>
      </w:r>
      <w:r>
        <w:t xml:space="preserve"> </w:t>
      </w:r>
      <w:r>
        <w:t xml:space="preserve">metabolism and the integral of viable cell concentration, so it is expected to move several</w:t>
      </w:r>
      <w:r>
        <w:t xml:space="preserve"> </w:t>
      </w:r>
      <w:r>
        <w:t xml:space="preserve">responses at once. Culture temperature governs growth rate and specific productivity, and a</w:t>
      </w:r>
      <w:r>
        <w:t xml:space="preserve"> </w:t>
      </w:r>
      <w:r>
        <w:t xml:space="preserve">lower temperature slows growth, extends the production phase and raises the integral of</w:t>
      </w:r>
      <w:r>
        <w:t xml:space="preserve"> </w:t>
      </w:r>
      <w:r>
        <w:t xml:space="preserve">viable cell concentration, which is the route by which it reaches the glycan profile.</w:t>
      </w:r>
      <w:r>
        <w:t xml:space="preserve"> </w:t>
      </w:r>
      <w:r>
        <w:t xml:space="preserve">Dissolved carbon dioxide accumulates with scale and with the sparging strategy, and elevated</w:t>
      </w:r>
      <w:r>
        <w:t xml:space="preserve"> </w:t>
      </w:r>
      <w:r>
        <w:t xml:space="preserve">pCO</w:t>
      </w:r>
      <w:r>
        <w:rPr>
          <w:vertAlign w:val="subscript"/>
        </w:rPr>
        <w:t xml:space="preserve">2</w:t>
      </w:r>
      <w:r>
        <w:t xml:space="preserve"> </w:t>
      </w:r>
      <w:r>
        <w:t xml:space="preserve">lowers intracellular pH and reduces both the integral of viable cell concentration</w:t>
      </w:r>
      <w:r>
        <w:t xml:space="preserve"> </w:t>
      </w:r>
      <w:r>
        <w:t xml:space="preserve">and the titre</w:t>
      </w:r>
      <w:r>
        <w:t xml:space="preserve"> </w:t>
      </w:r>
      <w:r>
        <w:t xml:space="preserve">(CMC Biotech Working Group 2009)</w:t>
      </w:r>
      <w:r>
        <w:t xml:space="preserve">. Osmolality rises through feeding and base addition, and is</w:t>
      </w:r>
      <w:r>
        <w:t xml:space="preserve"> </w:t>
      </w:r>
      <w:r>
        <w:t xml:space="preserve">expected to act on specific productivity and on glycan processing.</w:t>
      </w:r>
    </w:p>
    <w:p>
      <w:pPr>
        <w:pStyle w:val="BodyText"/>
      </w:pPr>
      <w:r>
        <w:t xml:space="preserve">Culture duration is expected to carry the largest effect on afucosylation and</w:t>
      </w:r>
      <w:r>
        <w:t xml:space="preserve"> </w:t>
      </w:r>
      <w:r>
        <w:t xml:space="preserve">galactosylation, and on the impurity load delivered to harvest. A longer culture means that a</w:t>
      </w:r>
      <w:r>
        <w:t xml:space="preserve"> </w:t>
      </w:r>
      <w:r>
        <w:t xml:space="preserve">larger fraction of the product is made by an ageing, less viable population, with released</w:t>
      </w:r>
      <w:r>
        <w:t xml:space="preserve"> </w:t>
      </w:r>
      <w:r>
        <w:t xml:space="preserve">glycosidases in the fluid and reduced nucleotide sugar availability inside the cell, so both</w:t>
      </w:r>
      <w:r>
        <w:t xml:space="preserve"> </w:t>
      </w:r>
      <w:r>
        <w:t xml:space="preserve">the glycan profile and the aggregate burden are expected to move with harvest day. The same</w:t>
      </w:r>
      <w:r>
        <w:t xml:space="preserve"> </w:t>
      </w:r>
      <w:r>
        <w:t xml:space="preserve">ageing raises the host cell protein and DNA load delivered to harvest</w:t>
      </w:r>
      <w:r>
        <w:t xml:space="preserve"> </w:t>
      </w:r>
      <w:r>
        <w:t xml:space="preserve">(CMC Biotech Working Group 2009)</w:t>
      </w:r>
      <w:r>
        <w:t xml:space="preserve">. High</w:t>
      </w:r>
      <w:r>
        <w:t xml:space="preserve"> </w:t>
      </w:r>
      <w:r>
        <w:t xml:space="preserve">mannose behaves differently from the other two glycan attributes,</w:t>
      </w:r>
      <w:r>
        <w:t xml:space="preserve"> </w:t>
      </w:r>
      <w:r>
        <w:t xml:space="preserve">because it reflects incomplete processing of the precursor and not the addition of a</w:t>
      </w:r>
      <w:r>
        <w:t xml:space="preserve"> </w:t>
      </w:r>
      <w:r>
        <w:t xml:space="preserve">terminal residue, and it is therefore expected to respond to whatever changes the residence</w:t>
      </w:r>
      <w:r>
        <w:t xml:space="preserve"> </w:t>
      </w:r>
      <w:r>
        <w:t xml:space="preserve">time of the glycoprotein in the Golgi (principally culture pH).</w:t>
      </w:r>
    </w:p>
    <w:p>
      <w:pPr>
        <w:pStyle w:val="BodyText"/>
      </w:pPr>
      <w:r>
        <w:t xml:space="preserve">This step does not act alone on every attribute in its register. Aggregate formed here is</w:t>
      </w:r>
      <w:r>
        <w:t xml:space="preserve"> </w:t>
      </w:r>
      <w:r>
        <w:t xml:space="preserve">polished principally at cation exchange (PCP-007), the host cell protein and DNA burden is</w:t>
      </w:r>
      <w:r>
        <w:t xml:space="preserve"> </w:t>
      </w:r>
      <w:r>
        <w:t xml:space="preserve">cleared at Protein A, cation exchange and anion exchange (PCP-005, PCP-007 and PCP-008), and</w:t>
      </w:r>
      <w:r>
        <w:t xml:space="preserve"> </w:t>
      </w:r>
      <w:r>
        <w:t xml:space="preserve">the low-pH hold contributes a small aggregate increase of its own (PCP-006). The bioreactor</w:t>
      </w:r>
      <w:r>
        <w:t xml:space="preserve"> </w:t>
      </w:r>
      <w:r>
        <w:t xml:space="preserve">sets the input to that train, and the acceptance argument for the two process impurities is</w:t>
      </w:r>
      <w:r>
        <w:t xml:space="preserve"> </w:t>
      </w:r>
      <w:r>
        <w:t xml:space="preserve">completed downstream, not here.</w:t>
      </w:r>
    </w:p>
    <w:bookmarkEnd w:id="17"/>
    <w:bookmarkStart w:id="19" w:name="sec-cqas"/>
    <w:p>
      <w:pPr>
        <w:pStyle w:val="Heading2"/>
      </w:pPr>
      <w:r>
        <w:t xml:space="preserve">4.2 Quality attributes in scope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lists the quality attributes that the drug substance register assigns to this step,</w:t>
      </w:r>
      <w:r>
        <w:t xml:space="preserve"> </w:t>
      </w:r>
      <w:r>
        <w:t xml:space="preserve">with the acceptance criterion and the criticality of each.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formed at the production bioreactor, with acceptance criteria and criticality. Tool #1 is the product of impact and uncertainty from the attribute assessment</w:t>
            </w:r>
            <w:r>
              <w:t xml:space="preserve"> </w:t>
            </w:r>
            <w:r>
              <w:t xml:space="preserve">(CMC Biotech Working Group 2009)</w:t>
            </w:r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Criticality is treated as a continuum and not as a binary split</w:t>
      </w:r>
      <w:r>
        <w:t xml:space="preserve"> </w:t>
      </w:r>
      <w:r>
        <w:t xml:space="preserve">(International Council for Harmonisation 2023)</w:t>
      </w:r>
      <w:r>
        <w:t xml:space="preserve">. Attributes at the</w:t>
      </w:r>
      <w:r>
        <w:t xml:space="preserve"> </w:t>
      </w:r>
      <w:r>
        <w:t xml:space="preserve">high and very high levels are called critical, and they are the ones that drive the design</w:t>
      </w:r>
      <w:r>
        <w:t xml:space="preserve"> </w:t>
      </w:r>
      <w:r>
        <w:t xml:space="preserve">of this study. High mannose is the only attribute at the very high level, and it carries the</w:t>
      </w:r>
      <w:r>
        <w:t xml:space="preserve"> </w:t>
      </w:r>
      <w:r>
        <w:t xml:space="preserve">highest Tool #1 score in the table, because a high impact score is compounded by genuine</w:t>
      </w:r>
      <w:r>
        <w:t xml:space="preserve"> </w:t>
      </w:r>
      <w:r>
        <w:t xml:space="preserve">uncertainty about the level at which the attribute affects clearance. Afucosylation and</w:t>
      </w:r>
      <w:r>
        <w:t xml:space="preserve"> </w:t>
      </w:r>
      <w:r>
        <w:t xml:space="preserve">galactosylation sit at the high level and are linked to potency through ADCC and</w:t>
      </w:r>
      <w:r>
        <w:t xml:space="preserve"> </w:t>
      </w:r>
      <w:r>
        <w:t xml:space="preserve">complement-dependent cytotoxicity (CDC) respectively. Aggregates are also at the high level,</w:t>
      </w:r>
      <w:r>
        <w:t xml:space="preserve"> </w:t>
      </w:r>
      <w:r>
        <w:t xml:space="preserve">and their acceptance limit is taken from prior X-Mab clinical experience.</w:t>
      </w:r>
    </w:p>
    <w:p>
      <w:pPr>
        <w:pStyle w:val="BodyText"/>
      </w:pPr>
      <w:r>
        <w:t xml:space="preserve">The table also lists 3 attributes that are in scope for a reason other</w:t>
      </w:r>
      <w:r>
        <w:t xml:space="preserve"> </w:t>
      </w:r>
      <w:r>
        <w:t xml:space="preserve">than their criticality. Acidic charge variants (deamidation) score at the very low level, but</w:t>
      </w:r>
      <w:r>
        <w:t xml:space="preserve"> </w:t>
      </w:r>
      <w:r>
        <w:t xml:space="preserve">the bioreactor establishes the baseline charge variant distribution and the downstream steps</w:t>
      </w:r>
      <w:r>
        <w:t xml:space="preserve"> </w:t>
      </w:r>
      <w:r>
        <w:t xml:space="preserve">change it only slightly, so the response is retained in the design and modelled with the</w:t>
      </w:r>
      <w:r>
        <w:t xml:space="preserve"> </w:t>
      </w:r>
      <w:r>
        <w:t xml:space="preserve">others. Host cell protein and residual DNA are generated by the culture and are therefore</w:t>
      </w:r>
      <w:r>
        <w:t xml:space="preserve"> </w:t>
      </w:r>
      <w:r>
        <w:t xml:space="preserve">assigned to this step, but neither is a design response of this study, because their</w:t>
      </w:r>
      <w:r>
        <w:t xml:space="preserve"> </w:t>
      </w:r>
      <w:r>
        <w:t xml:space="preserve">acceptance is achieved by clearance in the purification train and their burden at harvest is</w:t>
      </w:r>
      <w:r>
        <w:t xml:space="preserve"> </w:t>
      </w:r>
      <w:r>
        <w:t xml:space="preserve">characterized under PCP-004 and PCP-005.</w:t>
      </w:r>
    </w:p>
    <w:p>
      <w:pPr>
        <w:pStyle w:val="BodyText"/>
      </w:pPr>
      <w:r>
        <w:t xml:space="preserve">All 5 responses are modelled here, because the culture sets the level of each</w:t>
      </w:r>
      <w:r>
        <w:t xml:space="preserve"> </w:t>
      </w:r>
      <w:r>
        <w:t xml:space="preserve">one. The 3 glycan responses (afucosylation, galactosylation and high mannose)</w:t>
      </w:r>
      <w:r>
        <w:t xml:space="preserve"> </w:t>
      </w:r>
      <w:r>
        <w:t xml:space="preserve">are not modified by the purification train, so their values at harvest are the values that</w:t>
      </w:r>
      <w:r>
        <w:t xml:space="preserve"> </w:t>
      </w:r>
      <w:r>
        <w:t xml:space="preserve">reach drug substance. Acidic variants are changed only slightly downstream, and aggregate is</w:t>
      </w:r>
      <w:r>
        <w:t xml:space="preserve"> </w:t>
      </w:r>
      <w:r>
        <w:t xml:space="preserve">polished principally at cation exchange (PCP-007), so for those two responses this step sets</w:t>
      </w:r>
      <w:r>
        <w:t xml:space="preserve"> </w:t>
      </w:r>
      <w:r>
        <w:t xml:space="preserve">the input to the purification train and not the final level.</w:t>
      </w:r>
    </w:p>
    <w:bookmarkEnd w:id="19"/>
    <w:bookmarkStart w:id="20" w:name="sec-risk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assigned each parameter of this step to a study type by risk ranking and filtering,</w:t>
      </w:r>
      <w:r>
        <w:t xml:space="preserve"> </w:t>
      </w:r>
      <w:r>
        <w:t xml:space="preserve">and this plan executes that assignment. Each parameter was ranked twice, once on its</w:t>
      </w:r>
      <w:r>
        <w:t xml:space="preserve"> </w:t>
      </w:r>
      <w:r>
        <w:t xml:space="preserve">potential impact on a quality attribute (the main effect) and once on its potential to</w:t>
      </w:r>
      <w:r>
        <w:t xml:space="preserve"> </w:t>
      </w:r>
      <w:r>
        <w:t xml:space="preserve">interact with other parameters, and the two rankings were combined into a study decision</w:t>
      </w:r>
      <w:r>
        <w:t xml:space="preserve"> </w:t>
      </w:r>
      <w:r>
        <w:t xml:space="preserve">(CMC Biotech Working Group 2009)</w:t>
      </w:r>
      <w:r>
        <w:t xml:space="preserve">. Where no data or rationale existed to support an assessment, the parameter was</w:t>
      </w:r>
      <w:r>
        <w:t xml:space="preserve"> </w:t>
      </w:r>
      <w:r>
        <w:t xml:space="preserve">ranked at the highest level.</w:t>
      </w:r>
    </w:p>
    <w:p>
      <w:pPr>
        <w:pStyle w:val="BodyText"/>
      </w:pPr>
      <w:r>
        <w:t xml:space="preserve">The outcome is 5 parameters carried into the multivariate design and</w:t>
      </w:r>
      <w:r>
        <w:t xml:space="preserve"> </w:t>
      </w:r>
      <w:r>
        <w:t xml:space="preserve">4 assessed one at a time. Culture pH, culture temperature, dissolved</w:t>
      </w:r>
      <w:r>
        <w:t xml:space="preserve"> </w:t>
      </w:r>
      <w:r>
        <w:t xml:space="preserve">carbon dioxide, osmolality and culture duration all act on the glycan and charge variant</w:t>
      </w:r>
      <w:r>
        <w:t xml:space="preserve"> </w:t>
      </w:r>
      <w:r>
        <w:t xml:space="preserve">chemistry through the mechanisms given in</w:t>
      </w:r>
      <w:r>
        <w:t xml:space="preserve"> </w:t>
      </w:r>
      <w:hyperlink w:anchor="sec-uo">
        <w:r>
          <w:rPr>
            <w:rStyle w:val="Hyperlink"/>
          </w:rPr>
          <w:t xml:space="preserve">Section 4.1</w:t>
        </w:r>
      </w:hyperlink>
      <w:r>
        <w:t xml:space="preserve">, and all 5 are expected to</w:t>
      </w:r>
      <w:r>
        <w:t xml:space="preserve"> </w:t>
      </w:r>
      <w:r>
        <w:t xml:space="preserve">interact, which is what places them in a single factorial design instead of a series of</w:t>
      </w:r>
      <w:r>
        <w:t xml:space="preserve"> </w:t>
      </w:r>
      <w:r>
        <w:t xml:space="preserve">one-factor studies. Dissolved oxygen and initial viable cell concentration (iVCC) act</w:t>
      </w:r>
      <w:r>
        <w:t xml:space="preserve"> </w:t>
      </w:r>
      <w:r>
        <w:t xml:space="preserve">through growth and the integral of viable cell concentration and not through the glycan</w:t>
      </w:r>
      <w:r>
        <w:t xml:space="preserve"> </w:t>
      </w:r>
      <w:r>
        <w:t xml:space="preserve">processing chemistry itself, so a one-at-a-time assessment bounds them adequately. Basal</w:t>
      </w:r>
      <w:r>
        <w:t xml:space="preserve"> </w:t>
      </w:r>
      <w:r>
        <w:t xml:space="preserve">medium concentration and nutrient feed-1 volume are set by recipe and delivered by weight,</w:t>
      </w:r>
      <w:r>
        <w:t xml:space="preserve"> </w:t>
      </w:r>
      <w:r>
        <w:t xml:space="preserve">and platform studies have found the effect of medium concentration on afucosylation to be</w:t>
      </w:r>
      <w:r>
        <w:t xml:space="preserve"> </w:t>
      </w:r>
      <w:r>
        <w:t xml:space="preserve">statistically detectable but shallow across the full range</w:t>
      </w:r>
      <w:r>
        <w:t xml:space="preserve"> </w:t>
      </w:r>
      <w:r>
        <w:t xml:space="preserve">(CMC Biotech Working Group 2009)</w:t>
      </w:r>
      <w:r>
        <w:t xml:space="preserve">. Nutrient feed-1</w:t>
      </w:r>
      <w:r>
        <w:t xml:space="preserve"> </w:t>
      </w:r>
      <w:r>
        <w:t xml:space="preserve">volume acts through the same nutrient availability and is expected to behave in the same way.</w:t>
      </w:r>
    </w:p>
    <w:p>
      <w:pPr>
        <w:pStyle w:val="BodyText"/>
      </w:pPr>
      <w:r>
        <w:t xml:space="preserve">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are deliberately wider than the normal operating</w:t>
      </w:r>
      <w:r>
        <w:t xml:space="preserve"> </w:t>
      </w:r>
      <w:r>
        <w:t xml:space="preserve">ranges, and the expansion serves three purposes. It bounds the knowledge space, so that the</w:t>
      </w:r>
      <w:r>
        <w:t xml:space="preserve"> </w:t>
      </w:r>
      <w:r>
        <w:t xml:space="preserve">severity of a parameter excursion can later be judged against data instead of against</w:t>
      </w:r>
      <w:r>
        <w:t xml:space="preserve"> </w:t>
      </w:r>
      <w:r>
        <w:t xml:space="preserve">judgement. It supports movement within the design space once the process is licensed, which</w:t>
      </w:r>
      <w:r>
        <w:t xml:space="preserve"> </w:t>
      </w:r>
      <w:r>
        <w:t xml:space="preserve">is the practical value of a wide characterized region. It also gives the response-surface</w:t>
      </w:r>
      <w:r>
        <w:t xml:space="preserve"> </w:t>
      </w:r>
      <w:r>
        <w:t xml:space="preserve">model enough leverage to resolve curvature, which a design run only over the routine control</w:t>
      </w:r>
      <w:r>
        <w:t xml:space="preserve"> </w:t>
      </w:r>
      <w:r>
        <w:t xml:space="preserve">range cannot do, because the signal there is small against the analytical noise. The width of</w:t>
      </w:r>
      <w:r>
        <w:t xml:space="preserve"> </w:t>
      </w:r>
      <w:r>
        <w:t xml:space="preserve">each range follows from the mechanism given in</w:t>
      </w:r>
      <w:r>
        <w:t xml:space="preserve"> </w:t>
      </w:r>
      <w:hyperlink w:anchor="sec-uo">
        <w:r>
          <w:rPr>
            <w:rStyle w:val="Hyperlink"/>
          </w:rPr>
          <w:t xml:space="preserve">Section 4.1</w:t>
        </w:r>
      </w:hyperlink>
      <w:r>
        <w:t xml:space="preserve"> </w:t>
      </w:r>
      <w:r>
        <w:t xml:space="preserve">and from the normal operating range it</w:t>
      </w:r>
      <w:r>
        <w:t xml:space="preserve"> </w:t>
      </w:r>
      <w:r>
        <w:t xml:space="preserve">surrounds, and every parameter is studied beyond that range at both edges (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).</w:t>
      </w:r>
      <w:r>
        <w:t xml:space="preserve"> </w:t>
      </w:r>
      <w:r>
        <w:t xml:space="preserve">Platform experience bounds the upper edges in particular. A culture held at high pH and high</w:t>
      </w:r>
      <w:r>
        <w:t xml:space="preserve"> </w:t>
      </w:r>
      <w:r>
        <w:t xml:space="preserve">temperature to a late harvest loses viability quickly at the end of the run, and that</w:t>
      </w:r>
      <w:r>
        <w:t xml:space="preserve"> </w:t>
      </w:r>
      <w:r>
        <w:t xml:space="preserve">condition delivers the highest host cell protein and DNA burden to harvest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0"/>
    <w:bookmarkEnd w:id="21"/>
    <w:bookmarkStart w:id="28" w:name="sec-methods"/>
    <w:p>
      <w:pPr>
        <w:pStyle w:val="Heading1"/>
      </w:pPr>
      <w:r>
        <w:t xml:space="preserve">5. Materials and methods</w:t>
      </w:r>
    </w:p>
    <w:bookmarkStart w:id="22" w:name="sec-sdm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Every study in this plan will be run on a bench-scale stirred tank bioreactor system that</w:t>
      </w:r>
      <w:r>
        <w:t xml:space="preserve"> </w:t>
      </w:r>
      <w:r>
        <w:t xml:space="preserve">has been qualified as a model of the commercial vessel under SOP-1001. The conclusions of</w:t>
      </w:r>
      <w:r>
        <w:t xml:space="preserve"> </w:t>
      </w:r>
      <w:r>
        <w:t xml:space="preserve">the study are applied directly to the commercial process, so qualification of the model is</w:t>
      </w:r>
      <w:r>
        <w:t xml:space="preserve"> </w:t>
      </w:r>
      <w:r>
        <w:t xml:space="preserve">essential and is not a formality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BodyText"/>
      </w:pPr>
      <w:r>
        <w:t xml:space="preserve">The bench-scale and commercial vessels are stirred tanks with equivalent design</w:t>
      </w:r>
      <w:r>
        <w:t xml:space="preserve"> </w:t>
      </w:r>
      <w:r>
        <w:t xml:space="preserve">characteristics (mixing, aeration and mass transfer) and equivalent process control</w:t>
      </w:r>
      <w:r>
        <w:t xml:space="preserve"> </w:t>
      </w:r>
      <w:r>
        <w:t xml:space="preserve">capability (pH, dissolved oxygen, temperature and nutrient addition). For the qualification</w:t>
      </w:r>
      <w:r>
        <w:t xml:space="preserve"> </w:t>
      </w:r>
      <w:r>
        <w:t xml:space="preserve">runs the scale-independent parameters are operated at the commercial target values, and</w:t>
      </w:r>
      <w:r>
        <w:t xml:space="preserve"> </w:t>
      </w:r>
      <w:r>
        <w:t xml:space="preserve">these include pH, temperature, initial viable cell concentration, dissolved oxygen and</w:t>
      </w:r>
      <w:r>
        <w:t xml:space="preserve"> </w:t>
      </w:r>
      <w:r>
        <w:t xml:space="preserve">culture duration. The scale-dependent parameters are treated differently. Agitation, gas</w:t>
      </w:r>
      <w:r>
        <w:t xml:space="preserve"> </w:t>
      </w:r>
      <w:r>
        <w:t xml:space="preserve">flow rates, pressure, working volume and the resulting pCO</w:t>
      </w:r>
      <w:r>
        <w:rPr>
          <w:vertAlign w:val="subscript"/>
        </w:rPr>
        <w:t xml:space="preserve">2</w:t>
      </w:r>
      <w:r>
        <w:t xml:space="preserve"> </w:t>
      </w:r>
      <w:r>
        <w:t xml:space="preserve">are established at small scale</w:t>
      </w:r>
      <w:r>
        <w:t xml:space="preserve"> </w:t>
      </w:r>
      <w:r>
        <w:t xml:space="preserve">so that process performance matches the full-scale vessel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Qualification will compare replicate bench-scale runs at the target condition against the</w:t>
      </w:r>
      <w:r>
        <w:t xml:space="preserve"> </w:t>
      </w:r>
      <w:r>
        <w:t xml:space="preserve">at-scale data set from the A-Mab engineering and clinical campaigns. The comparison covers</w:t>
      </w:r>
      <w:r>
        <w:t xml:space="preserve"> </w:t>
      </w:r>
      <w:r>
        <w:t xml:space="preserve">the growth and productivity profile (peak viable cell density, viability at harvest and</w:t>
      </w:r>
      <w:r>
        <w:t xml:space="preserve"> </w:t>
      </w:r>
      <w:r>
        <w:t xml:space="preserve">titre) and the 5 product quality responses. Each compared attribute is judged</w:t>
      </w:r>
      <w:r>
        <w:t xml:space="preserve"> </w:t>
      </w:r>
      <w:r>
        <w:t xml:space="preserve">by an equivalence assessment against a pre-defined acceptance margin, so that a difference</w:t>
      </w:r>
      <w:r>
        <w:t xml:space="preserve"> </w:t>
      </w:r>
      <w:r>
        <w:t xml:space="preserve">between scales is separated from run to run variability. The margins and the comparison</w:t>
      </w:r>
      <w:r>
        <w:t xml:space="preserve"> </w:t>
      </w:r>
      <w:r>
        <w:t xml:space="preserve">itself are defined in the qualification protocol issued under SOP-1001 and are not restated</w:t>
      </w:r>
      <w:r>
        <w:t xml:space="preserve"> </w:t>
      </w:r>
      <w:r>
        <w:t xml:space="preserve">here. Qualification will be complete and approved before any characterization run is executed.</w:t>
      </w:r>
    </w:p>
    <w:p>
      <w:pPr>
        <w:pStyle w:val="BodyText"/>
      </w:pPr>
      <w:r>
        <w:t xml:space="preserve">The centre-point runs built into both designs serve a second purpose beyond the design</w:t>
      </w:r>
      <w:r>
        <w:t xml:space="preserve"> </w:t>
      </w:r>
      <w:r>
        <w:t xml:space="preserve">itself. Their replicate spread is the pure error estimate against which lack of fit is</w:t>
      </w:r>
      <w:r>
        <w:t xml:space="preserve"> </w:t>
      </w:r>
      <w:r>
        <w:t xml:space="preserve">tested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), and it is also a running check that the scale-down model has not</w:t>
      </w:r>
      <w:r>
        <w:t xml:space="preserve"> </w:t>
      </w:r>
      <w:r>
        <w:t xml:space="preserve">drifted between the screening campaign and the response-surface campaign.</w:t>
      </w:r>
    </w:p>
    <w:bookmarkEnd w:id="22"/>
    <w:bookmarkStart w:id="23" w:name="sec-operation"/>
    <w:p>
      <w:pPr>
        <w:pStyle w:val="Heading2"/>
      </w:pPr>
      <w:r>
        <w:t xml:space="preserve">5.2 Cell line, media and culture operation</w:t>
      </w:r>
    </w:p>
    <w:p>
      <w:pPr>
        <w:pStyle w:val="FirstParagraph"/>
      </w:pPr>
      <w:r>
        <w:t xml:space="preserve">The culture will be inoculated from the A-Mab working cell bank and expanded through the</w:t>
      </w:r>
      <w:r>
        <w:t xml:space="preserve"> </w:t>
      </w:r>
      <w:r>
        <w:t xml:space="preserve">platform seed train to the inoculation density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Basal medium and feeds</w:t>
      </w:r>
      <w:r>
        <w:t xml:space="preserve"> </w:t>
      </w:r>
      <w:r>
        <w:t xml:space="preserve">are chemically defined and are prepared under SOP-2004. The production culture is operated</w:t>
      </w:r>
      <w:r>
        <w:t xml:space="preserve"> </w:t>
      </w:r>
      <w:r>
        <w:t xml:space="preserve">fed-batch under SOP-2003, with feed additions on a fixed schedule expressed as a percentage</w:t>
      </w:r>
      <w:r>
        <w:t xml:space="preserve"> </w:t>
      </w:r>
      <w:r>
        <w:t xml:space="preserve">of working volume, pH controlled by carbon dioxide sparging and base addition, and dissolved</w:t>
      </w:r>
      <w:r>
        <w:t xml:space="preserve"> </w:t>
      </w:r>
      <w:r>
        <w:t xml:space="preserve">oxygen controlled by the gas mix. The remaining multivariate factors are set indirectly.</w:t>
      </w:r>
      <w:r>
        <w:t xml:space="preserve"> </w:t>
      </w:r>
      <w:r>
        <w:t xml:space="preserve">Dissolved carbon dioxide is imposed by the composition and flow of the sparge and overlay gas,</w:t>
      </w:r>
      <w:r>
        <w:t xml:space="preserve"> </w:t>
      </w:r>
      <w:r>
        <w:t xml:space="preserve">and osmolality by the feed and base addition strategy. Both are verified against the daily</w:t>
      </w:r>
      <w:r>
        <w:t xml:space="preserve"> </w:t>
      </w:r>
      <w:r>
        <w:t xml:space="preserve">metabolite panel described in</w:t>
      </w:r>
      <w:r>
        <w:t xml:space="preserve"> </w:t>
      </w:r>
      <w:hyperlink w:anchor="sec-sampling">
        <w:r>
          <w:rPr>
            <w:rStyle w:val="Hyperlink"/>
          </w:rPr>
          <w:t xml:space="preserve">Section 5.4</w:t>
        </w:r>
      </w:hyperlink>
      <w:r>
        <w:t xml:space="preserve">.</w:t>
      </w:r>
    </w:p>
    <w:p>
      <w:pPr>
        <w:pStyle w:val="BodyText"/>
      </w:pPr>
      <w:r>
        <w:t xml:space="preserve">Raw materials and inputs that are controlled to platform specification are not</w:t>
      </w:r>
      <w:r>
        <w:t xml:space="preserve"> </w:t>
      </w:r>
      <w:r>
        <w:t xml:space="preserve">characterization factors. Medium and feed lots, gas supply, base solution and the working</w:t>
      </w:r>
      <w:r>
        <w:t xml:space="preserve"> </w:t>
      </w:r>
      <w:r>
        <w:t xml:space="preserve">cell bank are identity and quality controlled on receipt and on use, and their control</w:t>
      </w:r>
      <w:r>
        <w:t xml:space="preserve"> </w:t>
      </w:r>
      <w:r>
        <w:t xml:space="preserve">belongs to the routine control strategy and not to this study. Any lot change during</w:t>
      </w:r>
      <w:r>
        <w:t xml:space="preserve"> </w:t>
      </w:r>
      <w:r>
        <w:t xml:space="preserve">execution will be recorded against the affected runs.</w:t>
      </w:r>
    </w:p>
    <w:bookmarkEnd w:id="23"/>
    <w:bookmarkStart w:id="25" w:name="sec-analytics"/>
    <w:p>
      <w:pPr>
        <w:pStyle w:val="Heading2"/>
      </w:pPr>
      <w:r>
        <w:t xml:space="preserve">5.3 Analytical methods</w:t>
      </w:r>
    </w:p>
    <w:p>
      <w:pPr>
        <w:pStyle w:val="FirstParagraph"/>
      </w:pPr>
      <w:hyperlink w:anchor="tbl-amv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validated methods that will generate the study data. Method performance,</w:t>
      </w:r>
      <w:r>
        <w:t xml:space="preserve"> </w:t>
      </w:r>
      <w:r>
        <w:t xml:space="preserve">including accuracy, precision, specificity and range, is reported in the corresponding</w:t>
      </w:r>
      <w:r>
        <w:t xml:space="preserve"> </w:t>
      </w:r>
      <w:r>
        <w:t xml:space="preserve">validation report and is not reproduced in PCR-003.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am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supporting the study responses.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Released N-glycan mapping by 2-AB HILIC-UPLC (SOP-3010, validated under AMV-3010) reports</w:t>
      </w:r>
      <w:r>
        <w:t xml:space="preserve"> </w:t>
      </w:r>
      <w:r>
        <w:t xml:space="preserve">afucosylation, galactosylation and high mannose from a single separation, so those</w:t>
      </w:r>
      <w:r>
        <w:t xml:space="preserve"> </w:t>
      </w:r>
      <w:r>
        <w:t xml:space="preserve">3 responses share an assay and share its variance. Aggregates are measured by SEC-HPLC</w:t>
      </w:r>
      <w:r>
        <w:t xml:space="preserve"> </w:t>
      </w:r>
      <w:r>
        <w:t xml:space="preserve">(SOP-3011, AMV-3011) and reported as the high molecular weight percentage. Acidic charge</w:t>
      </w:r>
      <w:r>
        <w:t xml:space="preserve"> </w:t>
      </w:r>
      <w:r>
        <w:t xml:space="preserve">variants are measured by icIEF (SOP-3013, AMV-3013). Host cell protein by ELISA (SOP-3012,</w:t>
      </w:r>
      <w:r>
        <w:t xml:space="preserve"> </w:t>
      </w:r>
      <w:r>
        <w:t xml:space="preserve">AMV-3012) and residual DNA by qPCR (SOP-3014, AMV-3014) will be run on the harvested culture</w:t>
      </w:r>
      <w:r>
        <w:t xml:space="preserve"> </w:t>
      </w:r>
      <w:r>
        <w:t xml:space="preserve">fluid to document the burden delivered to the purification train, and, as stated in</w:t>
      </w:r>
      <w:r>
        <w:t xml:space="preserve"> </w:t>
      </w:r>
      <w:hyperlink w:anchor="sec-cqas">
        <w:r>
          <w:rPr>
            <w:rStyle w:val="Hyperlink"/>
          </w:rPr>
          <w:t xml:space="preserve">Section 4.2</w:t>
        </w:r>
      </w:hyperlink>
      <w:r>
        <w:t xml:space="preserve">, neither is a design response here.</w:t>
      </w:r>
    </w:p>
    <w:p>
      <w:pPr>
        <w:pStyle w:val="BodyText"/>
      </w:pPr>
      <w:r>
        <w:t xml:space="preserve">Assay variance matters to the interpretation of small effects. Where an estimated effect is</w:t>
      </w:r>
      <w:r>
        <w:t xml:space="preserve"> </w:t>
      </w:r>
      <w:r>
        <w:t xml:space="preserve">of the same order as the reproducibility of its assay, PCR-003 will say so, and will</w:t>
      </w:r>
      <w:r>
        <w:t xml:space="preserve"> </w:t>
      </w:r>
      <w:r>
        <w:t xml:space="preserve">attribute the variation to the method and not to the parameter. The centre-point replicate</w:t>
      </w:r>
      <w:r>
        <w:t xml:space="preserve"> </w:t>
      </w:r>
      <w:r>
        <w:t xml:space="preserve">spread reported in PCR-003 is the basis for that judgement, and the method validation reports</w:t>
      </w:r>
      <w:r>
        <w:t xml:space="preserve"> </w:t>
      </w:r>
      <w:r>
        <w:t xml:space="preserve">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give the independent estimate against which it is checked.</w:t>
      </w:r>
    </w:p>
    <w:bookmarkEnd w:id="25"/>
    <w:bookmarkStart w:id="26" w:name="sec-sampling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run will be sampled daily for viable cell density, viability and the routine metabolite</w:t>
      </w:r>
      <w:r>
        <w:t xml:space="preserve"> </w:t>
      </w:r>
      <w:r>
        <w:t xml:space="preserve">panel (glucose, lactate, ammonium, osmolality and pCO</w:t>
      </w:r>
      <w:r>
        <w:rPr>
          <w:vertAlign w:val="subscript"/>
        </w:rPr>
        <w:t xml:space="preserve">2</w:t>
      </w:r>
      <w:r>
        <w:t xml:space="preserve">), which supports the process</w:t>
      </w:r>
      <w:r>
        <w:t xml:space="preserve"> </w:t>
      </w:r>
      <w:r>
        <w:t xml:space="preserve">performance narrative and confirms that each run held the factor settings it was assigned.</w:t>
      </w:r>
      <w:r>
        <w:t xml:space="preserve"> </w:t>
      </w:r>
      <w:r>
        <w:t xml:space="preserve">The product quality panel is taken at harvest from clarified culture fluid, so that every</w:t>
      </w:r>
      <w:r>
        <w:t xml:space="preserve"> </w:t>
      </w:r>
      <w:r>
        <w:t xml:space="preserve">response is measured on material in the same state and the comparison across runs is not</w:t>
      </w:r>
      <w:r>
        <w:t xml:space="preserve"> </w:t>
      </w:r>
      <w:r>
        <w:t xml:space="preserve">confounded by the clarification step.</w:t>
      </w:r>
    </w:p>
    <w:p>
      <w:pPr>
        <w:pStyle w:val="BodyText"/>
      </w:pPr>
      <w:r>
        <w:t xml:space="preserve">Both designs carry replicated centre points at the set-point condition. The screening design</w:t>
      </w:r>
      <w:r>
        <w:t xml:space="preserve"> </w:t>
      </w:r>
      <w:r>
        <w:t xml:space="preserve">has 3 centre-point runs and the response-surface design has</w:t>
      </w:r>
      <w:r>
        <w:t xml:space="preserve"> </w:t>
      </w:r>
      <w:r>
        <w:t xml:space="preserve">4, which give 2 and 3 degrees of</w:t>
      </w:r>
      <w:r>
        <w:t xml:space="preserve"> </w:t>
      </w:r>
      <w:r>
        <w:t xml:space="preserve">freedom for pure error respectively. Run order will be randomized within each campaign under</w:t>
      </w:r>
      <w:r>
        <w:t xml:space="preserve"> </w:t>
      </w:r>
      <w:r>
        <w:t xml:space="preserve">SOP-1002, so that any drift in the analytical methods or in the seed expansion is not aliased</w:t>
      </w:r>
      <w:r>
        <w:t xml:space="preserve"> </w:t>
      </w:r>
      <w:r>
        <w:t xml:space="preserve">with a factor. Retained samples will be stored for each run under the site retention policy.</w:t>
      </w:r>
    </w:p>
    <w:bookmarkEnd w:id="26"/>
    <w:bookmarkStart w:id="27" w:name="sec-stat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All analysis will be performed on coded factors. Each factor is coded so that its set-point</w:t>
      </w:r>
      <w:r>
        <w:t xml:space="preserve"> </w:t>
      </w:r>
      <w:r>
        <w:t xml:space="preserve">is zero and the edges of its characterization range are minus one and plus one, which makes</w:t>
      </w:r>
      <w:r>
        <w:t xml:space="preserve"> </w:t>
      </w:r>
      <w:r>
        <w:t xml:space="preserve">the estimated effects directly comparable across parameters measured in different units</w:t>
      </w:r>
      <w:r>
        <w:t xml:space="preserve"> </w:t>
      </w:r>
      <w:r>
        <w:t xml:space="preserve">(pH units, degrees Celsius, mmHg, mOsm and days). The analysis will be performed under</w:t>
      </w:r>
      <w:r>
        <w:t xml:space="preserve"> </w:t>
      </w:r>
      <w:r>
        <w:t xml:space="preserve">SOP-1002.</w:t>
      </w:r>
    </w:p>
    <w:p>
      <w:pPr>
        <w:pStyle w:val="BodyText"/>
      </w:pPr>
      <w:r>
        <w:t xml:space="preserve">The screening data will be fitted by ordinary least squares to a model containing the</w:t>
      </w:r>
      <w:r>
        <w:t xml:space="preserve"> </w:t>
      </w:r>
      <w:r>
        <w:t xml:space="preserve">5 main effects and the 10 two-factor interactions. An effect is</w:t>
      </w:r>
      <w:r>
        <w:t xml:space="preserve"> </w:t>
      </w:r>
      <w:r>
        <w:t xml:space="preserve">reported as twice the coded coefficient, which is the change in the response across the full</w:t>
      </w:r>
      <w:r>
        <w:t xml:space="preserve"> </w:t>
      </w:r>
      <w:r>
        <w:t xml:space="preserve">range of the factor. Significance is judged at α = 0.05. That model estimates</w:t>
      </w:r>
      <w:r>
        <w:t xml:space="preserve"> </w:t>
      </w:r>
      <w:r>
        <w:t xml:space="preserve">16 terms from 19 runs and leaves 3 residual</w:t>
      </w:r>
      <w:r>
        <w:t xml:space="preserve"> </w:t>
      </w:r>
      <w:r>
        <w:t xml:space="preserve">degrees of freedom, so it is close to saturated. A near-saturated model identifies which</w:t>
      </w:r>
      <w:r>
        <w:t xml:space="preserve"> </w:t>
      </w:r>
      <w:r>
        <w:t xml:space="preserve">factors are active, and it is not used to predict. The division is deliberate and is carried</w:t>
      </w:r>
      <w:r>
        <w:t xml:space="preserve"> </w:t>
      </w:r>
      <w:r>
        <w:t xml:space="preserve">through the whole analysis. The screening design identifies the effects, and the</w:t>
      </w:r>
      <w:r>
        <w:t xml:space="preserve"> </w:t>
      </w:r>
      <w:r>
        <w:t xml:space="preserve">response-surface model is the predictive model and the basis of the design space.</w:t>
      </w:r>
    </w:p>
    <w:p>
      <w:pPr>
        <w:pStyle w:val="BodyText"/>
      </w:pPr>
      <w:r>
        <w:t xml:space="preserve">The response-surface data will be fitted to a full quadratic model in the 4</w:t>
      </w:r>
      <w:r>
        <w:t xml:space="preserve"> </w:t>
      </w:r>
      <w:r>
        <w:t xml:space="preserve">factors carried forward, containing the main effects, the two-factor interactions and the</w:t>
      </w:r>
      <w:r>
        <w:t xml:space="preserve"> </w:t>
      </w:r>
      <w:r>
        <w:t xml:space="preserve">4 pure quadratic terms. That model estimates 15 terms</w:t>
      </w:r>
      <w:r>
        <w:t xml:space="preserve"> </w:t>
      </w:r>
      <w:r>
        <w:t xml:space="preserve">from 28 runs and leaves 13 residual degrees of freedom, which is</w:t>
      </w:r>
      <w:r>
        <w:t xml:space="preserve"> </w:t>
      </w:r>
      <w:r>
        <w:t xml:space="preserve">enough to support prediction and to test the fit. Model adequacy will be assessed on the</w:t>
      </w:r>
      <w:r>
        <w:t xml:space="preserve"> </w:t>
      </w:r>
      <w:r>
        <w:t xml:space="preserve">overall F test, on R², on adjusted R², and on predicted R² computed from the PRESS statistic.</w:t>
      </w:r>
      <w:r>
        <w:t xml:space="preserve"> </w:t>
      </w:r>
      <w:r>
        <w:t xml:space="preserve">It will also be assessed by an ANOVA partition of the residual into lack of fit and pure</w:t>
      </w:r>
      <w:r>
        <w:t xml:space="preserve"> </w:t>
      </w:r>
      <w:r>
        <w:t xml:space="preserve">error, using the centre-point replicates described in</w:t>
      </w:r>
      <w:r>
        <w:t xml:space="preserve"> </w:t>
      </w:r>
      <w:hyperlink w:anchor="sec-sampling">
        <w:r>
          <w:rPr>
            <w:rStyle w:val="Hyperlink"/>
          </w:rPr>
          <w:t xml:space="preserve">Section 5.4</w:t>
        </w:r>
      </w:hyperlink>
      <w:r>
        <w:t xml:space="preserve">. A model whose lack of</w:t>
      </w:r>
      <w:r>
        <w:t xml:space="preserve"> </w:t>
      </w:r>
      <w:r>
        <w:t xml:space="preserve">fit is significant against pure error will not be used to define the design space.</w:t>
      </w:r>
    </w:p>
    <w:p>
      <w:pPr>
        <w:pStyle w:val="BodyText"/>
      </w:pPr>
      <w:r>
        <w:t xml:space="preserve">A parameter with no active term in either model is not discarded. It is reported as a null</w:t>
      </w:r>
      <w:r>
        <w:t xml:space="preserve"> </w:t>
      </w:r>
      <w:r>
        <w:t xml:space="preserve">result, classified on that basis under SOP-4001, and retained in the knowledge space as</w:t>
      </w:r>
      <w:r>
        <w:t xml:space="preserve"> </w:t>
      </w:r>
      <w:r>
        <w:t xml:space="preserve">evidence that the attribute is robust to it over the range screened. A parameter that is</w:t>
      </w:r>
      <w:r>
        <w:t xml:space="preserve"> </w:t>
      </w:r>
      <w:r>
        <w:t xml:space="preserve">inactive across the whole characterization range supports a stronger robustness statement</w:t>
      </w:r>
      <w:r>
        <w:t xml:space="preserve"> </w:t>
      </w:r>
      <w:r>
        <w:t xml:space="preserve">than one shown to be inactive across its normal operating range alone.</w:t>
      </w:r>
    </w:p>
    <w:p>
      <w:pPr>
        <w:pStyle w:val="BodyText"/>
      </w:pPr>
      <w:r>
        <w:t xml:space="preserve">Commercial-scale capability will be estimated by Monte-Carlo simulation of 2,000</w:t>
      </w:r>
      <w:r>
        <w:t xml:space="preserve"> </w:t>
      </w:r>
      <w:r>
        <w:t xml:space="preserve">batches at the normal operating condition. Each of the 4 factors of the</w:t>
      </w:r>
      <w:r>
        <w:t xml:space="preserve"> </w:t>
      </w:r>
      <w:r>
        <w:t xml:space="preserve">response-surface model is drawn from a normal distribution centred on its set-point, with a</w:t>
      </w:r>
      <w:r>
        <w:t xml:space="preserve"> </w:t>
      </w:r>
      <w:r>
        <w:t xml:space="preserve">standard deviation of one sixth of the width of its normal operating range, and every draw is</w:t>
      </w:r>
      <w:r>
        <w:t xml:space="preserve"> </w:t>
      </w:r>
      <w:r>
        <w:t xml:space="preserve">constrained to the characterization range. The fitted model then predicts each response for</w:t>
      </w:r>
      <w:r>
        <w:t xml:space="preserve"> </w:t>
      </w:r>
      <w:r>
        <w:t xml:space="preserve">every simulated batch. The parameters the model does not contain are held at their set-points</w:t>
      </w:r>
      <w:r>
        <w:t xml:space="preserve"> </w:t>
      </w:r>
      <w:r>
        <w:t xml:space="preserve">in the simulation, and their contribution is bounded separately by the univariate assessment</w:t>
      </w:r>
      <w:r>
        <w:t xml:space="preserve"> </w:t>
      </w:r>
      <w:r>
        <w:t xml:space="preserve">(</w:t>
      </w:r>
      <w:hyperlink w:anchor="sec-univariate">
        <w:r>
          <w:rPr>
            <w:rStyle w:val="Hyperlink"/>
          </w:rPr>
          <w:t xml:space="preserve">Section 6.4</w:t>
        </w:r>
      </w:hyperlink>
      <w:r>
        <w:t xml:space="preserve">).</w:t>
      </w:r>
    </w:p>
    <w:p>
      <w:pPr>
        <w:pStyle w:val="BodyText"/>
      </w:pPr>
      <w:r>
        <w:t xml:space="preserve">Capability will be reported as a Cpk for each response, with the margin between the predicted</w:t>
      </w:r>
      <w:r>
        <w:t xml:space="preserve"> </w:t>
      </w:r>
      <w:r>
        <w:t xml:space="preserve">mean and the limit that binds. Afucosylation, galactosylation and high mannose are judged</w:t>
      </w:r>
      <w:r>
        <w:t xml:space="preserve"> </w:t>
      </w:r>
      <w:r>
        <w:t xml:space="preserve">against two-sided acceptance criteria, so their Cpk is the smaller of the two one-sided</w:t>
      </w:r>
      <w:r>
        <w:t xml:space="preserve"> </w:t>
      </w:r>
      <w:r>
        <w:t xml:space="preserve">indices, the one against the lower limit and the one against the upper limit. Acidic variants</w:t>
      </w:r>
      <w:r>
        <w:t xml:space="preserve"> </w:t>
      </w:r>
      <w:r>
        <w:t xml:space="preserve">and aggregates are judged against an upper limit only (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), so their Cpk is the</w:t>
      </w:r>
      <w:r>
        <w:t xml:space="preserve"> </w:t>
      </w:r>
      <w:r>
        <w:t xml:space="preserve">one-sided index against that limit. The two proven acceptable range analyses are described</w:t>
      </w:r>
      <w:r>
        <w:t xml:space="preserve"> </w:t>
      </w:r>
      <w:r>
        <w:t xml:space="preserve">separately in</w:t>
      </w:r>
      <w:r>
        <w:t xml:space="preserve"> 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, because they answer a different question from capability.</w:t>
      </w:r>
    </w:p>
    <w:bookmarkEnd w:id="27"/>
    <w:bookmarkEnd w:id="28"/>
    <w:bookmarkStart w:id="35" w:name="sec-design"/>
    <w:p>
      <w:pPr>
        <w:pStyle w:val="Heading1"/>
      </w:pPr>
      <w:r>
        <w:t xml:space="preserve">6. Study design</w:t>
      </w:r>
    </w:p>
    <w:p>
      <w:pPr>
        <w:pStyle w:val="FirstParagraph"/>
      </w:pPr>
      <w:r>
        <w:t xml:space="preserve">The design answers two questions in sequence. A screening study resolves which of the</w:t>
      </w:r>
      <w:r>
        <w:t xml:space="preserve"> </w:t>
      </w:r>
      <w:r>
        <w:t xml:space="preserve">5 multivariate parameters are active on which response, and a</w:t>
      </w:r>
      <w:r>
        <w:t xml:space="preserve"> </w:t>
      </w:r>
      <w:r>
        <w:t xml:space="preserve">response-surface study over the active subset produces the predictive model. The univariate</w:t>
      </w:r>
      <w:r>
        <w:t xml:space="preserve"> </w:t>
      </w:r>
      <w:r>
        <w:t xml:space="preserve">work (</w:t>
      </w:r>
      <w:hyperlink w:anchor="sec-univariate">
        <w:r>
          <w:rPr>
            <w:rStyle w:val="Hyperlink"/>
          </w:rPr>
          <w:t xml:space="preserve">Section 6.4</w:t>
        </w:r>
      </w:hyperlink>
      <w:r>
        <w:t xml:space="preserve">) runs alongside and bounds the parameters that the risk assessment did</w:t>
      </w:r>
      <w:r>
        <w:t xml:space="preserve"> </w:t>
      </w:r>
      <w:r>
        <w:t xml:space="preserve">not send to the factorial design.</w:t>
      </w:r>
    </w:p>
    <w:bookmarkStart w:id="31" w:name="sec-factors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set-point, the normal operating range and the characterization range</w:t>
      </w:r>
      <w:r>
        <w:t xml:space="preserve"> </w:t>
      </w:r>
      <w:r>
        <w:t xml:space="preserve">of every parameter of this step, with the study type assigned in RA-001.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Production bioreactor parameters, ranges and study type. The range studied is the characterization range and is not a proven acceptable range.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10"/>
              <w:gridCol w:w="1072"/>
              <w:gridCol w:w="1072"/>
              <w:gridCol w:w="1402"/>
              <w:gridCol w:w="907"/>
              <w:gridCol w:w="115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The two ranges in the table do different jobs, and PCR-003 will keep them apart. The normal</w:t>
      </w:r>
      <w:r>
        <w:t xml:space="preserve"> </w:t>
      </w:r>
      <w:r>
        <w:t xml:space="preserve">operating range is where the commercial process will be held, and it sets the dispersion of</w:t>
      </w:r>
      <w:r>
        <w:t xml:space="preserve"> </w:t>
      </w:r>
      <w:r>
        <w:t xml:space="preserve">the capability simulation (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). The range studied is the knowledge space edge, and it</w:t>
      </w:r>
      <w:r>
        <w:t xml:space="preserve"> </w:t>
      </w:r>
      <w:r>
        <w:t xml:space="preserve">is the range over which the fitted models are valid. The design space lies between the two.</w:t>
      </w:r>
      <w:r>
        <w:t xml:space="preserve"> </w:t>
      </w:r>
      <w:r>
        <w:t xml:space="preserve">It is the part of the characterized space in which every attribute is predicted to meet its</w:t>
      </w:r>
      <w:r>
        <w:t xml:space="preserve"> </w:t>
      </w:r>
      <w:r>
        <w:t xml:space="preserve">criterion (</w:t>
      </w:r>
      <w:hyperlink w:anchor="sec-acceptance">
        <w:r>
          <w:rPr>
            <w:rStyle w:val="Hyperlink"/>
          </w:rPr>
          <w:t xml:space="preserve">Section 7</w:t>
        </w:r>
      </w:hyperlink>
      <w:r>
        <w:t xml:space="preserve">), and the normal operating range of every parameter has to sit</w:t>
      </w:r>
      <w:r>
        <w:t xml:space="preserve"> </w:t>
      </w:r>
      <w:r>
        <w:t xml:space="preserve">inside it.</w:t>
      </w:r>
    </w:p>
    <w:p>
      <w:pPr>
        <w:pStyle w:val="BodyText"/>
      </w:pPr>
      <w:r>
        <w:t xml:space="preserve">Culture pH is held to 6.75–6.95 in routine operation and will be studied</w:t>
      </w:r>
      <w:r>
        <w:t xml:space="preserve"> </w:t>
      </w:r>
      <w:r>
        <w:t xml:space="preserve">over 6.6–7.1. Culture temperature is held to</w:t>
      </w:r>
      <w:r>
        <w:t xml:space="preserve"> </w:t>
      </w:r>
      <w:r>
        <w:t xml:space="preserve">34.5–35.5 °C and studied over 34–36 °C.</w:t>
      </w:r>
      <w:r>
        <w:t xml:space="preserve"> </w:t>
      </w:r>
      <w:r>
        <w:t xml:space="preserve">Dissolved carbon dioxide moves from a normal range of 70–130 mmHg to a studied</w:t>
      </w:r>
      <w:r>
        <w:t xml:space="preserve"> </w:t>
      </w:r>
      <w:r>
        <w:t xml:space="preserve">range of 40–160 mmHg, because pCO</w:t>
      </w:r>
      <w:r>
        <w:rPr>
          <w:vertAlign w:val="subscript"/>
        </w:rPr>
        <w:t xml:space="preserve">2</w:t>
      </w:r>
      <w:r>
        <w:t xml:space="preserve"> </w:t>
      </w:r>
      <w:r>
        <w:t xml:space="preserve">accumulates with scale and is not held by a</w:t>
      </w:r>
      <w:r>
        <w:t xml:space="preserve"> </w:t>
      </w:r>
      <w:r>
        <w:t xml:space="preserve">control loop at commercial scale (it follows vessel height, sparge rate and cell density), so</w:t>
      </w:r>
      <w:r>
        <w:t xml:space="preserve"> </w:t>
      </w:r>
      <w:r>
        <w:t xml:space="preserve">its excursions have to be bounded by data. Culture duration will be studied over</w:t>
      </w:r>
      <w:r>
        <w:t xml:space="preserve"> </w:t>
      </w:r>
      <w:r>
        <w:t xml:space="preserve">15–19 days around a set-point of 17 days, which</w:t>
      </w:r>
      <w:r>
        <w:t xml:space="preserve"> </w:t>
      </w:r>
      <w:r>
        <w:t xml:space="preserve">brackets both an early and a late harvest decision.</w:t>
      </w:r>
    </w:p>
    <w:p>
      <w:pPr>
        <w:pStyle w:val="BodyText"/>
      </w:pP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letter code used for each factor in the design matrices and in the</w:t>
      </w:r>
      <w:r>
        <w:t xml:space="preserve"> </w:t>
      </w:r>
      <w:r>
        <w:t xml:space="preserve">effect tables of PCR-003. The letters follow the screening order and are reused unchanged for</w:t>
      </w:r>
      <w:r>
        <w:t xml:space="preserve"> </w:t>
      </w:r>
      <w:r>
        <w:t xml:space="preserve">the response-surface terms, so that a term such as AB means the same pair of factors in both</w:t>
      </w:r>
      <w:r>
        <w:t xml:space="preserve"> </w:t>
      </w:r>
      <w:r>
        <w:t xml:space="preserve">analyses. Its last column states the anticipated response-surface subset described in</w:t>
      </w:r>
      <w:r>
        <w:t xml:space="preserve"> </w:t>
      </w:r>
      <w:hyperlink w:anchor="sec-rsm">
        <w:r>
          <w:rPr>
            <w:rStyle w:val="Hyperlink"/>
          </w:rPr>
          <w:t xml:space="preserve">Section 6.3</w:t>
        </w:r>
      </w:hyperlink>
      <w:r>
        <w:t xml:space="preserve">, and that subset is subject to the screening result.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Factor legend for the coded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ec-screening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is a two-level fractional factorial in the 5 multivariate</w:t>
      </w:r>
      <w:r>
        <w:t xml:space="preserve"> </w:t>
      </w:r>
      <w:r>
        <w:t xml:space="preserve">factors, augmented with 3 centre points, for 19 runs in total.</w:t>
      </w:r>
      <w:r>
        <w:t xml:space="preserve"> </w:t>
      </w:r>
      <w:r>
        <w:t xml:space="preserve">The 16 factorial runs are a half fraction of the 32 run</w:t>
      </w:r>
      <w:r>
        <w:t xml:space="preserve"> </w:t>
      </w:r>
      <w:r>
        <w:t xml:space="preserve">full factorial, chosen at resolution V so that every main effect and every two-factor</w:t>
      </w:r>
      <w:r>
        <w:t xml:space="preserve"> </w:t>
      </w:r>
      <w:r>
        <w:t xml:space="preserve">interaction is estimable clear of the others. Two-factor interactions are aliased with</w:t>
      </w:r>
      <w:r>
        <w:t xml:space="preserve"> </w:t>
      </w:r>
      <w:r>
        <w:t xml:space="preserve">three-factor interactions, which the platform history gives no reason to expect at this step</w:t>
      </w:r>
      <w:r>
        <w:t xml:space="preserve"> </w:t>
      </w:r>
      <w:r>
        <w:t xml:space="preserve">(see</w:t>
      </w:r>
      <w:r>
        <w:t xml:space="preserve"> </w:t>
      </w:r>
      <w:hyperlink w:anchor="sec-risk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for how that assumption is managed). The planned matrix is given in</w:t>
      </w:r>
      <w:r>
        <w:t xml:space="preserve"> </w:t>
      </w:r>
      <w:hyperlink w:anchor="tbl-appa">
        <w:r>
          <w:rPr>
            <w:rStyle w:val="Hyperlink"/>
          </w:rPr>
          <w:t xml:space="preserve">Table 9</w:t>
        </w:r>
      </w:hyperlink>
      <w:r>
        <w:t xml:space="preserve">.</w:t>
      </w:r>
    </w:p>
    <w:p>
      <w:pPr>
        <w:pStyle w:val="BodyText"/>
      </w:pPr>
      <w:r>
        <w:t xml:space="preserve">The purpose of the screening study is to identify the parameters that have the largest</w:t>
      </w:r>
      <w:r>
        <w:t xml:space="preserve"> </w:t>
      </w:r>
      <w:r>
        <w:t xml:space="preserve">effect on each quality attribute, and to identify which pairs of parameters interact. It is</w:t>
      </w:r>
      <w:r>
        <w:t xml:space="preserve"> </w:t>
      </w:r>
      <w:r>
        <w:t xml:space="preserve">not intended to describe curvature and it will not be used to predict. Runs will be executed</w:t>
      </w:r>
      <w:r>
        <w:t xml:space="preserve"> </w:t>
      </w:r>
      <w:r>
        <w:t xml:space="preserve">in a randomized order, and where an operational constraint requires the runs to be split into</w:t>
      </w:r>
      <w:r>
        <w:t xml:space="preserve"> </w:t>
      </w:r>
      <w:r>
        <w:t xml:space="preserve">blocks, the block will be recorded and tested as a term in the model.</w:t>
      </w:r>
    </w:p>
    <w:bookmarkEnd w:id="32"/>
    <w:bookmarkStart w:id="33" w:name="sec-rsm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is a face-centred central composite design in the subset of</w:t>
      </w:r>
      <w:r>
        <w:t xml:space="preserve"> </w:t>
      </w:r>
      <w:r>
        <w:t xml:space="preserve">factors that screening identifies as active. It comprises 16 factorial</w:t>
      </w:r>
      <w:r>
        <w:t xml:space="preserve"> </w:t>
      </w:r>
      <w:r>
        <w:t xml:space="preserve">runs, 8 axial runs at the faces of the cube and 4 centre</w:t>
      </w:r>
      <w:r>
        <w:t xml:space="preserve"> </w:t>
      </w:r>
      <w:r>
        <w:t xml:space="preserve">points, for 28 runs in total. Placing the axial points on the faces keeps every</w:t>
      </w:r>
      <w:r>
        <w:t xml:space="preserve"> </w:t>
      </w:r>
      <w:r>
        <w:t xml:space="preserve">run inside the characterization range. A rotatable design would put its axial runs outside</w:t>
      </w:r>
      <w:r>
        <w:t xml:space="preserve"> </w:t>
      </w:r>
      <w:r>
        <w:t xml:space="preserve">the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and the fitted model is declared only over the ranges</w:t>
      </w:r>
      <w:r>
        <w:t xml:space="preserve"> </w:t>
      </w:r>
      <w:r>
        <w:t xml:space="preserve">characterized. The planned matrix is given in</w:t>
      </w:r>
      <w:r>
        <w:t xml:space="preserve"> </w:t>
      </w:r>
      <w:hyperlink w:anchor="tbl-appb">
        <w:r>
          <w:rPr>
            <w:rStyle w:val="Hyperlink"/>
          </w:rPr>
          <w:t xml:space="preserve">Table 10</w:t>
        </w:r>
      </w:hyperlink>
      <w:r>
        <w:t xml:space="preserve">.</w:t>
      </w:r>
    </w:p>
    <w:p>
      <w:pPr>
        <w:pStyle w:val="BodyText"/>
      </w:pPr>
      <w:r>
        <w:t xml:space="preserve">The design has been sized for 4 factors. Prior knowledge indicates that</w:t>
      </w:r>
      <w:r>
        <w:t xml:space="preserve"> </w:t>
      </w:r>
      <w:r>
        <w:t xml:space="preserve">culture pH, culture temperature, culture duration and dissolved carbon dioxide are the</w:t>
      </w:r>
      <w:r>
        <w:t xml:space="preserve"> </w:t>
      </w:r>
      <w:r>
        <w:t xml:space="preserve">factors most likely to be carried forward, and</w:t>
      </w:r>
      <w:r>
        <w:t xml:space="preserve"> </w:t>
      </w:r>
      <w:hyperlink w:anchor="tbl-appb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is drawn for that subset. If the</w:t>
      </w:r>
      <w:r>
        <w:t xml:space="preserve"> </w:t>
      </w:r>
      <w:r>
        <w:t xml:space="preserve">screening analysis identifies a different set of active factors, the design will be</w:t>
      </w:r>
      <w:r>
        <w:t xml:space="preserve"> </w:t>
      </w:r>
      <w:r>
        <w:t xml:space="preserve">re-specified on the same principles before execution, and the change will be recorded against</w:t>
      </w:r>
      <w:r>
        <w:t xml:space="preserve"> </w:t>
      </w:r>
      <w:r>
        <w:t xml:space="preserve">this plan.</w:t>
      </w:r>
    </w:p>
    <w:p>
      <w:pPr>
        <w:pStyle w:val="BodyText"/>
      </w:pPr>
      <w:r>
        <w:t xml:space="preserve">This design adds the pure quadratic terms and therefore resolves curvature within the</w:t>
      </w:r>
      <w:r>
        <w:t xml:space="preserve"> </w:t>
      </w:r>
      <w:r>
        <w:t xml:space="preserve">characterized ranges. It is the model that will be used to predict mean response levels, to</w:t>
      </w:r>
      <w:r>
        <w:t xml:space="preserve"> </w:t>
      </w:r>
      <w:r>
        <w:t xml:space="preserve">draw the response surfaces, to derive the proven acceptable ranges (</w:t>
      </w:r>
      <w:hyperlink w:anchor="sec-par">
        <w:r>
          <w:rPr>
            <w:rStyle w:val="Hyperlink"/>
          </w:rPr>
          <w:t xml:space="preserve">Section 8</w:t>
        </w:r>
      </w:hyperlink>
      <w:r>
        <w:t xml:space="preserve">) and to define</w:t>
      </w:r>
      <w:r>
        <w:t xml:space="preserve"> </w:t>
      </w:r>
      <w:r>
        <w:t xml:space="preserve">the design space reported in PCR-003.</w:t>
      </w:r>
    </w:p>
    <w:bookmarkEnd w:id="33"/>
    <w:bookmarkStart w:id="34" w:name="sec-univariate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Dissolved oxygen, initial viable cell concentration, basal medium concentration and nutrient</w:t>
      </w:r>
      <w:r>
        <w:t xml:space="preserve"> </w:t>
      </w:r>
      <w:r>
        <w:t xml:space="preserve">feed-1 volume will each be assessed one at a time. Each parameter will be run at the low and</w:t>
      </w:r>
      <w:r>
        <w:t xml:space="preserve"> </w:t>
      </w:r>
      <w:r>
        <w:t xml:space="preserve">high edges of its characterization range with every other parameter at its set-point, and the</w:t>
      </w:r>
      <w:r>
        <w:t xml:space="preserve"> </w:t>
      </w:r>
      <w:r>
        <w:t xml:space="preserve">results will be compared against the centre-point condition of the multivariate design. The</w:t>
      </w:r>
      <w:r>
        <w:t xml:space="preserve"> </w:t>
      </w:r>
      <w:r>
        <w:t xml:space="preserve">same analytical panel applies, so a univariate result is directly comparable with a factorial</w:t>
      </w:r>
      <w:r>
        <w:t xml:space="preserve"> </w:t>
      </w:r>
      <w:r>
        <w:t xml:space="preserve">result on the same response.</w:t>
      </w:r>
    </w:p>
    <w:p>
      <w:pPr>
        <w:pStyle w:val="BodyText"/>
      </w:pPr>
      <w:r>
        <w:t xml:space="preserve">These 4 parameters were not placed in the factorial design because the</w:t>
      </w:r>
      <w:r>
        <w:t xml:space="preserve"> </w:t>
      </w:r>
      <w:r>
        <w:t xml:space="preserve">risk assessment scored them below the multivariate threshold, and the reasons are</w:t>
      </w:r>
      <w:r>
        <w:t xml:space="preserve"> </w:t>
      </w:r>
      <w:r>
        <w:t xml:space="preserve">mechanistic. Dissolved</w:t>
      </w:r>
      <w:r>
        <w:t xml:space="preserve"> </w:t>
      </w:r>
      <w:r>
        <w:t xml:space="preserve">oxygen is held to 40–60 % sat by a control loop with ample authority, and it acts</w:t>
      </w:r>
      <w:r>
        <w:t xml:space="preserve"> </w:t>
      </w:r>
      <w:r>
        <w:t xml:space="preserve">on the culture through growth and not through the glycan chemistry. Initial viable cell</w:t>
      </w:r>
      <w:r>
        <w:t xml:space="preserve"> </w:t>
      </w:r>
      <w:r>
        <w:t xml:space="preserve">concentration is set at inoculation, and its effect on the culture is largely absorbed within</w:t>
      </w:r>
      <w:r>
        <w:t xml:space="preserve"> </w:t>
      </w:r>
      <w:r>
        <w:t xml:space="preserve">the first days of a culture lasting 17 days. Basal medium concentration</w:t>
      </w:r>
      <w:r>
        <w:t xml:space="preserve"> </w:t>
      </w:r>
      <w:r>
        <w:t xml:space="preserve">and nutrient feed-1 volume are delivered by weight against a recipe, and prior platform work</w:t>
      </w:r>
      <w:r>
        <w:t xml:space="preserve"> </w:t>
      </w:r>
      <w:r>
        <w:t xml:space="preserve">has bounded their effect on the glycan profile as shallow</w:t>
      </w:r>
      <w:r>
        <w:t xml:space="preserve"> </w:t>
      </w:r>
      <w:r>
        <w:t xml:space="preserve">(CMC Biotech Working Group 2009)</w:t>
      </w:r>
      <w:r>
        <w:t xml:space="preserve">. A univariate range</w:t>
      </w:r>
      <w:r>
        <w:t xml:space="preserve"> </w:t>
      </w:r>
      <w:r>
        <w:t xml:space="preserve">statement is the appropriate level of evidence for a parameter of that kind, and PCR-003 will</w:t>
      </w:r>
      <w:r>
        <w:t xml:space="preserve"> </w:t>
      </w:r>
      <w:r>
        <w:t xml:space="preserve">report it as such rather than implying that it carries the weight of a multivariate result.</w:t>
      </w:r>
    </w:p>
    <w:bookmarkEnd w:id="34"/>
    <w:bookmarkEnd w:id="35"/>
    <w:bookmarkStart w:id="36" w:name="sec-acceptance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This section states the decisions that will be taken on the data before the data exist. Every</w:t>
      </w:r>
      <w:r>
        <w:t xml:space="preserve"> </w:t>
      </w:r>
      <w:r>
        <w:t xml:space="preserve">criterion below has to be met for the study to support the design space and the parameter</w:t>
      </w:r>
      <w:r>
        <w:t xml:space="preserve"> </w:t>
      </w:r>
      <w:r>
        <w:t xml:space="preserve">classifications that PCR-003 will report.</w:t>
      </w:r>
    </w:p>
    <w:p>
      <w:pPr>
        <w:pStyle w:val="BodyText"/>
      </w:pPr>
      <w:r>
        <w:t xml:space="preserve">The scale-down model is qualified when the bench-scale runs at the target condition are shown</w:t>
      </w:r>
      <w:r>
        <w:t xml:space="preserve"> </w:t>
      </w:r>
      <w:r>
        <w:t xml:space="preserve">to be equivalent to the at-scale data for the growth and productivity profile and for the</w:t>
      </w:r>
      <w:r>
        <w:t xml:space="preserve"> </w:t>
      </w:r>
      <w:r>
        <w:t xml:space="preserve">5 quality responses. Equivalence is assessed against a pre-defined acceptance</w:t>
      </w:r>
      <w:r>
        <w:t xml:space="preserve"> </w:t>
      </w:r>
      <w:r>
        <w:t xml:space="preserve">margin on each compared attribute, and the margins are defined in the qualification protocol</w:t>
      </w:r>
      <w:r>
        <w:t xml:space="preserve"> </w:t>
      </w:r>
      <w:r>
        <w:t xml:space="preserve">issued under SOP-1001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). Characterization runs executed before that qualification is</w:t>
      </w:r>
      <w:r>
        <w:t xml:space="preserve"> </w:t>
      </w:r>
      <w:r>
        <w:t xml:space="preserve">approved will not be used to define the design space.</w:t>
      </w:r>
    </w:p>
    <w:p>
      <w:pPr>
        <w:pStyle w:val="BodyText"/>
      </w:pPr>
      <w:r>
        <w:t xml:space="preserve">A fitted model is adequate when the overall F test is significant at α = 0.05, when the lack</w:t>
      </w:r>
      <w:r>
        <w:t xml:space="preserve"> </w:t>
      </w:r>
      <w:r>
        <w:t xml:space="preserve">of fit is not significant against pure error, and when adjusted R² and predicted R² are</w:t>
      </w:r>
      <w:r>
        <w:t xml:space="preserve"> </w:t>
      </w:r>
      <w:r>
        <w:t xml:space="preserve">consistent with each other. A large gap between adjusted and predicted R² indicates a model</w:t>
      </w:r>
      <w:r>
        <w:t xml:space="preserve"> </w:t>
      </w:r>
      <w:r>
        <w:t xml:space="preserve">that fits the runs it was fitted to and predicts new conditions poorly, and such a model will</w:t>
      </w:r>
      <w:r>
        <w:t xml:space="preserve"> </w:t>
      </w:r>
      <w:r>
        <w:t xml:space="preserve">be reduced to its significant terms before it is used. A model that fails on lack of fit will</w:t>
      </w:r>
      <w:r>
        <w:t xml:space="preserve"> </w:t>
      </w:r>
      <w:r>
        <w:t xml:space="preserve">be reported with its diagnostics and will not be used to define the design space.</w:t>
      </w:r>
    </w:p>
    <w:p>
      <w:pPr>
        <w:pStyle w:val="BodyText"/>
      </w:pPr>
      <w:r>
        <w:t xml:space="preserve">The design space will be declared over that part of the characterized space in which the</w:t>
      </w:r>
      <w:r>
        <w:t xml:space="preserve"> </w:t>
      </w:r>
      <w:r>
        <w:t xml:space="preserve">fitted response-surface model predicts every attribute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to lie within its</w:t>
      </w:r>
      <w:r>
        <w:t xml:space="preserve"> </w:t>
      </w:r>
      <w:r>
        <w:t xml:space="preserve">acceptance criterion. The region will be reported in the planes of the factor pairs that carry</w:t>
      </w:r>
      <w:r>
        <w:t xml:space="preserve"> </w:t>
      </w:r>
      <w:r>
        <w:t xml:space="preserve">the largest interactions, and the worst-case corner of the region, which is the combination of</w:t>
      </w:r>
      <w:r>
        <w:t xml:space="preserve"> </w:t>
      </w:r>
      <w:r>
        <w:t xml:space="preserve">settings that comes closest to a limit, will be identified and stated. The normal operating</w:t>
      </w:r>
      <w:r>
        <w:t xml:space="preserve"> </w:t>
      </w:r>
      <w:r>
        <w:t xml:space="preserve">range must lie inside the declared region for every parameter. If it does not, the finding</w:t>
      </w:r>
      <w:r>
        <w:t xml:space="preserve"> </w:t>
      </w:r>
      <w:r>
        <w:t xml:space="preserve">will be reported as an edge of failure, and the normal operating range will be narrowed</w:t>
      </w:r>
      <w:r>
        <w:t xml:space="preserve"> </w:t>
      </w:r>
      <w:r>
        <w:t xml:space="preserve">instead of the region being widened.</w:t>
      </w:r>
    </w:p>
    <w:p>
      <w:pPr>
        <w:pStyle w:val="BodyText"/>
      </w:pPr>
      <w:r>
        <w:t xml:space="preserve">Capability will be reported as a Cpk per attribute with the margin to the binding limit,</w:t>
      </w:r>
      <w:r>
        <w:t xml:space="preserve"> </w:t>
      </w:r>
      <w:r>
        <w:t xml:space="preserve">computed as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. This plan sets no numerical minimum for Cpk. The</w:t>
      </w:r>
      <w:r>
        <w:t xml:space="preserve"> </w:t>
      </w:r>
      <w:r>
        <w:t xml:space="preserve">acceptance framework for capability is given in PCMP-001 and applies across the campaign.</w:t>
      </w:r>
    </w:p>
    <w:p>
      <w:pPr>
        <w:pStyle w:val="BodyText"/>
      </w:pPr>
      <w:r>
        <w:t xml:space="preserve">A parameter will be classified under SOP-4001 from two inputs, the demonstrated effect of the</w:t>
      </w:r>
      <w:r>
        <w:t xml:space="preserve"> </w:t>
      </w:r>
      <w:r>
        <w:t xml:space="preserve">parameter on a quality attribute and the capability of the commercial equipment to hold it</w:t>
      </w:r>
      <w:r>
        <w:t xml:space="preserve"> </w:t>
      </w:r>
      <w:r>
        <w:t xml:space="preserve">inside the design space</w:t>
      </w:r>
      <w:r>
        <w:t xml:space="preserve"> </w:t>
      </w:r>
      <w:r>
        <w:t xml:space="preserve">(CMC Biotech Working Group 2009)</w:t>
      </w:r>
      <w:r>
        <w:t xml:space="preserve">. A parameter with a demonstrated effect on a critical</w:t>
      </w:r>
      <w:r>
        <w:t xml:space="preserve"> </w:t>
      </w:r>
      <w:r>
        <w:t xml:space="preserve">attribute and a high risk of falling outside the design space is a critical process parameter</w:t>
      </w:r>
      <w:r>
        <w:t xml:space="preserve"> </w:t>
      </w:r>
      <w:r>
        <w:t xml:space="preserve">(CPP). One with a demonstrated effect but a low risk of falling outside the design space is a</w:t>
      </w:r>
      <w:r>
        <w:t xml:space="preserve"> </w:t>
      </w:r>
      <w:r>
        <w:t xml:space="preserve">well-controlled critical process parameter (WC-CPP). A parameter that affects process</w:t>
      </w:r>
      <w:r>
        <w:t xml:space="preserve"> </w:t>
      </w:r>
      <w:r>
        <w:t xml:space="preserve">performance without affecting a quality attribute is a key process parameter (KPP), and one</w:t>
      </w:r>
      <w:r>
        <w:t xml:space="preserve"> </w:t>
      </w:r>
      <w:r>
        <w:t xml:space="preserve">with no demonstrated effect on either is a general process parameter (GPP). The classification</w:t>
      </w:r>
      <w:r>
        <w:t xml:space="preserve"> </w:t>
      </w:r>
      <w:r>
        <w:t xml:space="preserve">itself is an outcome, and it is reported in PCR-003.</w:t>
      </w:r>
    </w:p>
    <w:p>
      <w:pPr>
        <w:pStyle w:val="BodyText"/>
      </w:pPr>
      <w:r>
        <w:t xml:space="preserve">An excursion from this plan during execution will be recorded as a deviation, investigated and</w:t>
      </w:r>
      <w:r>
        <w:t xml:space="preserve"> </w:t>
      </w:r>
      <w:r>
        <w:t xml:space="preserve">impact assessed before the affected data are used. A run whose executed condition still falls</w:t>
      </w:r>
      <w:r>
        <w:t xml:space="preserve"> </w:t>
      </w:r>
      <w:r>
        <w:t xml:space="preserve">inside the characterized ranges may be retained with a documented justification and analysed</w:t>
      </w:r>
      <w:r>
        <w:t xml:space="preserve"> </w:t>
      </w:r>
      <w:r>
        <w:t xml:space="preserve">at its executed setting, because the fitted model is estimated from the conditions actually</w:t>
      </w:r>
      <w:r>
        <w:t xml:space="preserve"> </w:t>
      </w:r>
      <w:r>
        <w:t xml:space="preserve">run. A run whose condition falls outside those ranges, or whose input material is not</w:t>
      </w:r>
      <w:r>
        <w:t xml:space="preserve"> </w:t>
      </w:r>
      <w:r>
        <w:t xml:space="preserve">representative of the process, invalidates the affected design for the purpose of defining the</w:t>
      </w:r>
      <w:r>
        <w:t xml:space="preserve"> </w:t>
      </w:r>
      <w:r>
        <w:t xml:space="preserve">design space, and that design will be re-executed in full. Both dispositions, and the</w:t>
      </w:r>
      <w:r>
        <w:t xml:space="preserve"> </w:t>
      </w:r>
      <w:r>
        <w:t xml:space="preserve">reasoning behind whichever is applied, will be reported in the deviations section of PCR-003.</w:t>
      </w:r>
    </w:p>
    <w:p>
      <w:pPr>
        <w:pStyle w:val="BodyText"/>
      </w:pPr>
      <w:r>
        <w:t xml:space="preserve">The study passes when the scale-down model is qualified, the models are adequate, the design</w:t>
      </w:r>
      <w:r>
        <w:t xml:space="preserve"> </w:t>
      </w:r>
      <w:r>
        <w:t xml:space="preserve">space contains the normal operating range for every parameter, every attribute meets its</w:t>
      </w:r>
      <w:r>
        <w:t xml:space="preserve"> </w:t>
      </w:r>
      <w:r>
        <w:t xml:space="preserve">acceptance criterion across that region, and every parameter carries a documented</w:t>
      </w:r>
      <w:r>
        <w:t xml:space="preserve"> </w:t>
      </w:r>
      <w:r>
        <w:t xml:space="preserve">classification. The conclusions will be bounded to the ranges characterized, to the fitted</w:t>
      </w:r>
      <w:r>
        <w:t xml:space="preserve"> </w:t>
      </w:r>
      <w:r>
        <w:t xml:space="preserve">models and to the qualified scale-down model, and they will not be extended to conditions</w:t>
      </w:r>
      <w:r>
        <w:t xml:space="preserve"> </w:t>
      </w:r>
      <w:r>
        <w:t xml:space="preserve">outside the studied space.</w:t>
      </w:r>
    </w:p>
    <w:bookmarkEnd w:id="36"/>
    <w:bookmarkStart w:id="37" w:name="sec-par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The design space is a multivariate region, and a reader also needs the range of each parameter</w:t>
      </w:r>
      <w:r>
        <w:t xml:space="preserve"> </w:t>
      </w:r>
      <w:r>
        <w:t xml:space="preserve">taken on its own. PCR-003 will therefore report a proven acceptable range for every</w:t>
      </w:r>
      <w:r>
        <w:t xml:space="preserve"> </w:t>
      </w:r>
      <w:r>
        <w:t xml:space="preserve">combination of a governed attribute and a response-surface parameter, derived from the fitted</w:t>
      </w:r>
      <w:r>
        <w:t xml:space="preserve"> </w:t>
      </w:r>
      <w:r>
        <w:t xml:space="preserve">model by the analysis described here.</w:t>
      </w:r>
    </w:p>
    <w:p>
      <w:pPr>
        <w:pStyle w:val="BodyText"/>
      </w:pPr>
      <w:r>
        <w:t xml:space="preserve">The acceptance basis is the drug substance criterion recorded for each attribute in the</w:t>
      </w:r>
      <w:r>
        <w:t xml:space="preserve"> </w:t>
      </w:r>
      <w:r>
        <w:t xml:space="preserve">quality attribute register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Afucosylation, galactosylation and high mannose are</w:t>
      </w:r>
      <w:r>
        <w:t xml:space="preserve"> </w:t>
      </w:r>
      <w:r>
        <w:t xml:space="preserve">judged against two-sided criteria, and acidic variants and aggregates against an upper limit</w:t>
      </w:r>
      <w:r>
        <w:t xml:space="preserve"> </w:t>
      </w:r>
      <w:r>
        <w:t xml:space="preserve">only. The risk to the product from both of those attributes is an elevated level. The lower</w:t>
      </w:r>
      <w:r>
        <w:t xml:space="preserve"> </w:t>
      </w:r>
      <w:r>
        <w:t xml:space="preserve">edge recorded for acidic variants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is the range of experience from the clinical</w:t>
      </w:r>
      <w:r>
        <w:t xml:space="preserve"> </w:t>
      </w:r>
      <w:r>
        <w:t xml:space="preserve">campaigns and not a binding specification, so both the decision rule below and the capability</w:t>
      </w:r>
      <w:r>
        <w:t xml:space="preserve"> </w:t>
      </w:r>
      <w:r>
        <w:t xml:space="preserve">index described in</w:t>
      </w:r>
      <w:r>
        <w:t xml:space="preserve"> </w:t>
      </w:r>
      <w:hyperlink w:anchor="sec-stats">
        <w:r>
          <w:rPr>
            <w:rStyle w:val="Hyperlink"/>
          </w:rPr>
          <w:t xml:space="preserve">Section 5.5</w:t>
        </w:r>
      </w:hyperlink>
      <w:r>
        <w:t xml:space="preserve"> </w:t>
      </w:r>
      <w:r>
        <w:t xml:space="preserve">are judged against the upper bound alone. No viral clearance</w:t>
      </w:r>
      <w:r>
        <w:t xml:space="preserve"> </w:t>
      </w:r>
      <w:r>
        <w:t xml:space="preserve">response arises at this step, so no step-level requirement has to be back-calculated from a</w:t>
      </w:r>
      <w:r>
        <w:t xml:space="preserve"> </w:t>
      </w:r>
      <w:r>
        <w:t xml:space="preserve">cumulative requirement, and that case belongs to the viral steps (PCP-006, PCP-008 and</w:t>
      </w:r>
      <w:r>
        <w:t xml:space="preserve"> </w:t>
      </w:r>
      <w:r>
        <w:t xml:space="preserve">PCP-009).</w:t>
      </w:r>
    </w:p>
    <w:p>
      <w:pPr>
        <w:pStyle w:val="BodyText"/>
      </w:pPr>
      <w:r>
        <w:t xml:space="preserve">Two analyses will be run for each pair. The first analysis holds the other parameters at their</w:t>
      </w:r>
      <w:r>
        <w:t xml:space="preserve"> </w:t>
      </w:r>
      <w:r>
        <w:t xml:space="preserve">set-points and evaluates the fitted response-surface model across the characterization range</w:t>
      </w:r>
      <w:r>
        <w:t xml:space="preserve"> </w:t>
      </w:r>
      <w:r>
        <w:t xml:space="preserve">of the parameter of interest. The second analysis propagates the normal operating ranges of</w:t>
      </w:r>
      <w:r>
        <w:t xml:space="preserve"> </w:t>
      </w:r>
      <w:r>
        <w:t xml:space="preserve">the other parameters by Monte-Carlo, drawing each of them inside its normal operating range</w:t>
      </w:r>
      <w:r>
        <w:t xml:space="preserve"> </w:t>
      </w:r>
      <w:r>
        <w:t xml:space="preserve">and adding the model residual variation, on a grid of 81 points across the</w:t>
      </w:r>
      <w:r>
        <w:t xml:space="preserve"> </w:t>
      </w:r>
      <w:r>
        <w:t xml:space="preserve">characterization range with 2,000 draws at each grid point. The random draw uses</w:t>
      </w:r>
      <w:r>
        <w:t xml:space="preserve"> </w:t>
      </w:r>
      <w:r>
        <w:t xml:space="preserve">a fixed seed, so the reported ranges are reproducible from the same data.</w:t>
      </w:r>
    </w:p>
    <w:p>
      <w:pPr>
        <w:pStyle w:val="BodyText"/>
      </w:pPr>
      <w:r>
        <w:t xml:space="preserve">The decision rule is the same in both analyses. The proven acceptable range is the contiguous</w:t>
      </w:r>
      <w:r>
        <w:t xml:space="preserve"> </w:t>
      </w:r>
      <w:r>
        <w:t xml:space="preserve">interval of the parameter, containing the set-point, over which the attribute stays within its</w:t>
      </w:r>
      <w:r>
        <w:t xml:space="preserve"> </w:t>
      </w:r>
      <w:r>
        <w:t xml:space="preserve">acceptance criterion. In the first analysis that means the predicted mean stays within the</w:t>
      </w:r>
      <w:r>
        <w:t xml:space="preserve"> </w:t>
      </w:r>
      <w:r>
        <w:t xml:space="preserve">criterion, and in the second it means the ninety-five per cent predictive interval stays</w:t>
      </w:r>
      <w:r>
        <w:t xml:space="preserve"> </w:t>
      </w:r>
      <w:r>
        <w:t xml:space="preserve">within the criterion, which is a robustness statement and is expected to give the narrower of</w:t>
      </w:r>
      <w:r>
        <w:t xml:space="preserve"> </w:t>
      </w:r>
      <w:r>
        <w:t xml:space="preserve">the two ranges. Where the set-point condition itself fails the criterion, no proven acceptable</w:t>
      </w:r>
      <w:r>
        <w:t xml:space="preserve"> </w:t>
      </w:r>
      <w:r>
        <w:t xml:space="preserve">range exists for that pair, and PCR-003 will report it as such.</w:t>
      </w:r>
    </w:p>
    <w:p>
      <w:pPr>
        <w:pStyle w:val="BodyText"/>
      </w:pPr>
      <w:r>
        <w:t xml:space="preserve">Each governed attribute will be reported with a two-panel plot for its governing parameter,</w:t>
      </w:r>
      <w:r>
        <w:t xml:space="preserve"> </w:t>
      </w:r>
      <w:r>
        <w:t xml:space="preserve">which is the parameter carrying the largest main effect on that attribute. The parameter is on</w:t>
      </w:r>
      <w:r>
        <w:t xml:space="preserve"> </w:t>
      </w:r>
      <w:r>
        <w:t xml:space="preserve">the horizontal axis and the attribute on the vertical axis, the acceptance limit is drawn, the</w:t>
      </w:r>
      <w:r>
        <w:t xml:space="preserve"> </w:t>
      </w:r>
      <w:r>
        <w:t xml:space="preserve">acceptable region is shaded green, and the set-point and the normal operating range are</w:t>
      </w:r>
      <w:r>
        <w:t xml:space="preserve"> </w:t>
      </w:r>
      <w:r>
        <w:t xml:space="preserve">marked. The left panel shows the first analysis and the right panel shows the Monte-Carlo</w:t>
      </w:r>
      <w:r>
        <w:t xml:space="preserve"> </w:t>
      </w:r>
      <w:r>
        <w:t xml:space="preserve">analysis with its predictive interval.</w:t>
      </w:r>
    </w:p>
    <w:p>
      <w:pPr>
        <w:pStyle w:val="BodyText"/>
      </w:pPr>
      <w:r>
        <w:t xml:space="preserve">The relationship between these ranges and the design space will be stated explicitly in</w:t>
      </w:r>
      <w:r>
        <w:t xml:space="preserve"> </w:t>
      </w:r>
      <w:r>
        <w:t xml:space="preserve">PCR-003. A proven acceptable range is a univariate statement about one parameter, and the</w:t>
      </w:r>
      <w:r>
        <w:t xml:space="preserve"> </w:t>
      </w:r>
      <w:r>
        <w:t xml:space="preserve">second analysis extends it to co-variation of the others within their normal ranges. The design</w:t>
      </w:r>
      <w:r>
        <w:t xml:space="preserve"> </w:t>
      </w:r>
      <w:r>
        <w:t xml:space="preserve">space is the multivariate region, and it is not the product of the individual proven acceptable</w:t>
      </w:r>
      <w:r>
        <w:t xml:space="preserve"> </w:t>
      </w:r>
      <w:r>
        <w:t xml:space="preserve">ranges. Where a parameter’s whole characterization range is proven acceptable under both</w:t>
      </w:r>
      <w:r>
        <w:t xml:space="preserve"> </w:t>
      </w:r>
      <w:r>
        <w:t xml:space="preserve">analyses, the binding constraint is the worst-case corner of the design space and not that</w:t>
      </w:r>
      <w:r>
        <w:t xml:space="preserve"> </w:t>
      </w:r>
      <w:r>
        <w:t xml:space="preserve">parameter’s univariate range, and PCR-003 will say which constraint binds. Every range</w:t>
      </w:r>
      <w:r>
        <w:t xml:space="preserve"> </w:t>
      </w:r>
      <w:r>
        <w:t xml:space="preserve">reported will be bounded to the characterization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to the fitted</w:t>
      </w:r>
      <w:r>
        <w:t xml:space="preserve"> </w:t>
      </w:r>
      <w:r>
        <w:t xml:space="preserve">model.</w:t>
      </w:r>
    </w:p>
    <w:bookmarkEnd w:id="37"/>
    <w:bookmarkStart w:id="38" w:name="sec-data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All study records will meet ALCOA+ expectations. Run set-points, control system trends and</w:t>
      </w:r>
      <w:r>
        <w:t xml:space="preserve"> </w:t>
      </w:r>
      <w:r>
        <w:t xml:space="preserve">in-process measurements are captured in the bioreactor control system and its historian, and</w:t>
      </w:r>
      <w:r>
        <w:t xml:space="preserve"> </w:t>
      </w:r>
      <w:r>
        <w:t xml:space="preserve">are transferred to the electronic laboratory notebook against the run identifier. Analytical</w:t>
      </w:r>
      <w:r>
        <w:t xml:space="preserve"> </w:t>
      </w:r>
      <w:r>
        <w:t xml:space="preserve">raw data are captured in the chromatography data system and in the plate reader software for</w:t>
      </w:r>
      <w:r>
        <w:t xml:space="preserve"> </w:t>
      </w:r>
      <w:r>
        <w:t xml:space="preserve">the immunoassays, with audit trails enabled and access controlled by role.</w:t>
      </w:r>
    </w:p>
    <w:p>
      <w:pPr>
        <w:pStyle w:val="BodyText"/>
      </w:pPr>
      <w:r>
        <w:t xml:space="preserve">The design matrices, the executed conditions and the assembled response data set will be held</w:t>
      </w:r>
      <w:r>
        <w:t xml:space="preserve"> </w:t>
      </w:r>
      <w:r>
        <w:t xml:space="preserve">as a version-controlled data set, and the statistical analysis will be executed from a</w:t>
      </w:r>
      <w:r>
        <w:t xml:space="preserve"> </w:t>
      </w:r>
      <w:r>
        <w:t xml:space="preserve">version-controlled script under SOP-1002. That is what makes the reported effects, models and</w:t>
      </w:r>
      <w:r>
        <w:t xml:space="preserve"> </w:t>
      </w:r>
      <w:r>
        <w:t xml:space="preserve">ranges reproducible from the raw data by a reviewer who was not present at the bench. Any</w:t>
      </w:r>
      <w:r>
        <w:t xml:space="preserve"> </w:t>
      </w:r>
      <w:r>
        <w:t xml:space="preserve">change to the data set after analysis requires a documented reason, a re-run of the analysis</w:t>
      </w:r>
      <w:r>
        <w:t xml:space="preserve"> </w:t>
      </w:r>
      <w:r>
        <w:t xml:space="preserve">and a second-person review.</w:t>
      </w:r>
    </w:p>
    <w:p>
      <w:pPr>
        <w:pStyle w:val="BodyText"/>
      </w:pPr>
      <w:r>
        <w:t xml:space="preserve">Every record is reviewed by a second person before it is used in the report. Deviations,</w:t>
      </w:r>
      <w:r>
        <w:t xml:space="preserve"> </w:t>
      </w:r>
      <w:r>
        <w:t xml:space="preserve">including any executed condition that departs from the design, are recorded in the quality</w:t>
      </w:r>
      <w:r>
        <w:t xml:space="preserve"> </w:t>
      </w:r>
      <w:r>
        <w:t xml:space="preserve">system as they are detected and not retrospectively. Records are retained under the site</w:t>
      </w:r>
      <w:r>
        <w:t xml:space="preserve"> </w:t>
      </w:r>
      <w:r>
        <w:t xml:space="preserve">retention policy.</w:t>
      </w:r>
    </w:p>
    <w:bookmarkEnd w:id="38"/>
    <w:bookmarkStart w:id="40" w:name="sec-roles"/>
    <w:p>
      <w:pPr>
        <w:pStyle w:val="Heading1"/>
      </w:pPr>
      <w:r>
        <w:t xml:space="preserve">10. Roles and responsibilities</w:t>
      </w:r>
    </w:p>
    <w:p>
      <w:pPr>
        <w:pStyle w:val="FirstParagraph"/>
      </w:pPr>
      <w:r>
        <w:t xml:space="preserve">The functions listed in</w:t>
      </w:r>
      <w:r>
        <w:t xml:space="preserve"> </w:t>
      </w:r>
      <w:hyperlink w:anchor="tbl-roles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carry the study, and the approval record at the front of</w:t>
      </w:r>
      <w:r>
        <w:t xml:space="preserve"> </w:t>
      </w:r>
      <w:r>
        <w:t xml:space="preserve">this document (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) binds the same functions to the plan.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Functions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the plan, executes the scale-down runs, performs the analysis and writes PCR-003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Maintains the validated methods, analyses the samples and reports assay performance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 (receiving site)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ranges and the control assumptions for feasibility at commercial 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designs before execution and the fitted models before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PCR-003, and oversees deviation handling</w:t>
                  </w:r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statistical review before execution is the last point at which the factor set, the ranges</w:t>
      </w:r>
      <w:r>
        <w:t xml:space="preserve"> </w:t>
      </w:r>
      <w:r>
        <w:t xml:space="preserve">and the run count can still be changed. The review by manufacturing science at the receiving</w:t>
      </w:r>
      <w:r>
        <w:t xml:space="preserve"> </w:t>
      </w:r>
      <w:r>
        <w:t xml:space="preserve">site checks the characterized ranges against what the commercial vessel can hold.</w:t>
      </w:r>
    </w:p>
    <w:bookmarkEnd w:id="40"/>
    <w:bookmarkStart w:id="41" w:name="sec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PCR-003, the process characterization report for the</w:t>
      </w:r>
      <w:r>
        <w:t xml:space="preserve"> </w:t>
      </w:r>
      <w:r>
        <w:t xml:space="preserve">production bioreactor. It will contain the executed designs, the effect and coefficient</w:t>
      </w:r>
      <w:r>
        <w:t xml:space="preserve"> </w:t>
      </w:r>
      <w:r>
        <w:t xml:space="preserve">tables, the model diagnostics, the design space, the proven acceptable ranges, the capability</w:t>
      </w:r>
      <w:r>
        <w:t xml:space="preserve"> </w:t>
      </w:r>
      <w:r>
        <w:t xml:space="preserve">estimate, the classification of every parameter and any deviations recorded during execution.</w:t>
      </w:r>
      <w:r>
        <w:t xml:space="preserve"> </w:t>
      </w:r>
      <w:r>
        <w:t xml:space="preserve">PCR-003 rolls up into the master report (PCMR-001) together with the reports of the other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The work runs in five phases, and the order is fixed by dependency and not by convenience.</w:t>
      </w:r>
      <w:r>
        <w:t xml:space="preserve"> </w:t>
      </w:r>
      <w:r>
        <w:t xml:space="preserve">Scale-down model qualification comes first and is approved before any characterization run.</w:t>
      </w:r>
      <w:r>
        <w:t xml:space="preserve"> </w:t>
      </w:r>
      <w:r>
        <w:t xml:space="preserve">The screening campaign follows, and its analysis fixes the factor subset for the</w:t>
      </w:r>
      <w:r>
        <w:t xml:space="preserve"> </w:t>
      </w:r>
      <w:r>
        <w:t xml:space="preserve">response-surface campaign (</w:t>
      </w:r>
      <w:hyperlink w:anchor="sec-rsm">
        <w:r>
          <w:rPr>
            <w:rStyle w:val="Hyperlink"/>
          </w:rPr>
          <w:t xml:space="preserve">Section 6.3</w:t>
        </w:r>
      </w:hyperlink>
      <w:r>
        <w:t xml:space="preserve">). The response-surface campaign and the univariate runs</w:t>
      </w:r>
      <w:r>
        <w:t xml:space="preserve"> </w:t>
      </w:r>
      <w:r>
        <w:t xml:space="preserve">follow, and they may be interleaved as scale-down system capacity allows, because the</w:t>
      </w:r>
      <w:r>
        <w:t xml:space="preserve"> </w:t>
      </w:r>
      <w:r>
        <w:t xml:space="preserve">univariate runs do not depend on the screening result. The capability and proven acceptable</w:t>
      </w:r>
      <w:r>
        <w:t xml:space="preserve"> </w:t>
      </w:r>
      <w:r>
        <w:t xml:space="preserve">range analyses are performed on the fitted models once the response-surface data are</w:t>
      </w:r>
      <w:r>
        <w:t xml:space="preserve"> </w:t>
      </w:r>
      <w:r>
        <w:t xml:space="preserve">complete, and the report is written last.</w:t>
      </w:r>
    </w:p>
    <w:p>
      <w:pPr>
        <w:pStyle w:val="BodyText"/>
      </w:pPr>
      <w:r>
        <w:t xml:space="preserve">No calendar dates are committed in this plan. The schedule is held in the campaign plan</w:t>
      </w:r>
      <w:r>
        <w:t xml:space="preserve"> </w:t>
      </w:r>
      <w:r>
        <w:t xml:space="preserve">(PCMP-001), and it depends on scale-down system availability and on the analytical throughput</w:t>
      </w:r>
      <w:r>
        <w:t xml:space="preserve"> </w:t>
      </w:r>
      <w:r>
        <w:t xml:space="preserve">for the methods listed in</w:t>
      </w:r>
      <w:r>
        <w:t xml:space="preserve"> </w:t>
      </w:r>
      <w:hyperlink w:anchor="tbl-amv">
        <w:r>
          <w:rPr>
            <w:rStyle w:val="Hyperlink"/>
          </w:rPr>
          <w:t xml:space="preserve">Table 5</w:t>
        </w:r>
      </w:hyperlink>
      <w:r>
        <w:t xml:space="preserve">.</w:t>
      </w:r>
    </w:p>
    <w:bookmarkEnd w:id="41"/>
    <w:bookmarkStart w:id="42" w:name="sec-risk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The study rests on assumptions that would change its conclusions if they proved false, and</w:t>
      </w:r>
      <w:r>
        <w:t xml:space="preserve"> </w:t>
      </w:r>
      <w:r>
        <w:t xml:space="preserve">they are stated here so that PCR-003 can report against them.</w:t>
      </w:r>
    </w:p>
    <w:p>
      <w:pPr>
        <w:pStyle w:val="BodyText"/>
      </w:pPr>
      <w:r>
        <w:t xml:space="preserve">The principal risk is that the scale-down model does not represent the commercial vessel over</w:t>
      </w:r>
      <w:r>
        <w:t xml:space="preserve"> </w:t>
      </w:r>
      <w:r>
        <w:t xml:space="preserve">the whole characterized space. Qualification demonstrates equivalence at the target condition,</w:t>
      </w:r>
      <w:r>
        <w:t xml:space="preserve"> </w:t>
      </w:r>
      <w:r>
        <w:t xml:space="preserve">and it does not demonstrate equivalence at the edges of the ranges, where mixing and gas</w:t>
      </w:r>
      <w:r>
        <w:t xml:space="preserve"> </w:t>
      </w:r>
      <w:r>
        <w:t xml:space="preserve">transfer differ most between scales. This is managed in three ways, by matching the</w:t>
      </w:r>
      <w:r>
        <w:t xml:space="preserve"> </w:t>
      </w:r>
      <w:r>
        <w:t xml:space="preserve">scale-dependent parameters on performance and not on geometry (</w:t>
      </w:r>
      <w:hyperlink w:anchor="sec-sdm">
        <w:r>
          <w:rPr>
            <w:rStyle w:val="Hyperlink"/>
          </w:rPr>
          <w:t xml:space="preserve">Section 5.1</w:t>
        </w:r>
      </w:hyperlink>
      <w:r>
        <w:t xml:space="preserve">), by reporting the</w:t>
      </w:r>
      <w:r>
        <w:t xml:space="preserve"> </w:t>
      </w:r>
      <w:r>
        <w:t xml:space="preserve">pCO</w:t>
      </w:r>
      <w:r>
        <w:rPr>
          <w:vertAlign w:val="subscript"/>
        </w:rPr>
        <w:t xml:space="preserve">2</w:t>
      </w:r>
      <w:r>
        <w:t xml:space="preserve"> </w:t>
      </w:r>
      <w:r>
        <w:t xml:space="preserve">and osmolality trajectories for every run, and by confirming the design space at</w:t>
      </w:r>
      <w:r>
        <w:t xml:space="preserve"> </w:t>
      </w:r>
      <w:r>
        <w:t xml:space="preserve">commercial scale during Stage 2. The design space reported in PCR-003 will not be confirmed at</w:t>
      </w:r>
      <w:r>
        <w:t xml:space="preserve"> </w:t>
      </w:r>
      <w:r>
        <w:t xml:space="preserve">scale at the edges of the ranges.</w:t>
      </w:r>
    </w:p>
    <w:p>
      <w:pPr>
        <w:pStyle w:val="BodyText"/>
      </w:pPr>
      <w:r>
        <w:t xml:space="preserve">The second risk is analytical. The glycan responses come from a single separation</w:t>
      </w:r>
      <w:r>
        <w:t xml:space="preserve"> </w:t>
      </w:r>
      <w:r>
        <w:t xml:space="preserve">(</w:t>
      </w:r>
      <w:hyperlink w:anchor="sec-analytics">
        <w:r>
          <w:rPr>
            <w:rStyle w:val="Hyperlink"/>
          </w:rPr>
          <w:t xml:space="preserve">Section 5.3</w:t>
        </w:r>
      </w:hyperlink>
      <w:r>
        <w:t xml:space="preserve">), so an assay shift moves 3 of the 5 responses</w:t>
      </w:r>
      <w:r>
        <w:t xml:space="preserve"> </w:t>
      </w:r>
      <w:r>
        <w:t xml:space="preserve">together and can imitate a process effect. The centre-point replicates and the randomized run</w:t>
      </w:r>
      <w:r>
        <w:t xml:space="preserve"> </w:t>
      </w:r>
      <w:r>
        <w:t xml:space="preserve">order are the controls for this, and any effect of the same size as the assay reproducibility</w:t>
      </w:r>
      <w:r>
        <w:t xml:space="preserve"> </w:t>
      </w:r>
      <w:r>
        <w:t xml:space="preserve">will be reported as such.</w:t>
      </w:r>
    </w:p>
    <w:p>
      <w:pPr>
        <w:pStyle w:val="BodyText"/>
      </w:pPr>
      <w:r>
        <w:t xml:space="preserve">The third risk is material. A change of basal medium or feed lot during the campaign</w:t>
      </w:r>
      <w:r>
        <w:t xml:space="preserve"> </w:t>
      </w:r>
      <w:r>
        <w:t xml:space="preserve">introduces a variable that the design does not carry, and the effect of such a change on the</w:t>
      </w:r>
      <w:r>
        <w:t xml:space="preserve"> </w:t>
      </w:r>
      <w:r>
        <w:t xml:space="preserve">glycan profile is not negligible. Lot usage will be recorded per run, so that a lot change can</w:t>
      </w:r>
      <w:r>
        <w:t xml:space="preserve"> </w:t>
      </w:r>
      <w:r>
        <w:t xml:space="preserve">be tested as a term if the data suggest it.</w:t>
      </w:r>
    </w:p>
    <w:p>
      <w:pPr>
        <w:pStyle w:val="BodyText"/>
      </w:pPr>
      <w:r>
        <w:t xml:space="preserve">Three assumptions are made explicit. Platform behaviour observed on the earlier products</w:t>
      </w:r>
      <w:r>
        <w:t xml:space="preserve"> </w:t>
      </w:r>
      <w:r>
        <w:t xml:space="preserve">(X-Mab, Y-Mab and Z-Mab) is assumed to transfer to A-Mab, which is the basis for studying</w:t>
      </w:r>
      <w:r>
        <w:t xml:space="preserve"> </w:t>
      </w:r>
      <w:r>
        <w:t xml:space="preserve">5 parameters instead of the full list. The parameter list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assumed to be complete, which rests on the process description in PTP-001 and on the risk</w:t>
      </w:r>
      <w:r>
        <w:t xml:space="preserve"> </w:t>
      </w:r>
      <w:r>
        <w:t xml:space="preserve">assessment. Three-factor interactions are assumed to be negligible, which is what allows the</w:t>
      </w:r>
      <w:r>
        <w:t xml:space="preserve"> </w:t>
      </w:r>
      <w:r>
        <w:t xml:space="preserve">resolution V fraction described in</w:t>
      </w:r>
      <w:r>
        <w:t xml:space="preserve"> </w:t>
      </w:r>
      <w:hyperlink w:anchor="sec-screening">
        <w:r>
          <w:rPr>
            <w:rStyle w:val="Hyperlink"/>
          </w:rPr>
          <w:t xml:space="preserve">Section 6.2</w:t>
        </w:r>
      </w:hyperlink>
      <w:r>
        <w:t xml:space="preserve">. That assumption is carried on platform</w:t>
      </w:r>
      <w:r>
        <w:t xml:space="preserve"> </w:t>
      </w:r>
      <w:r>
        <w:t xml:space="preserve">history, and the 3 residual degrees of freedom the screening model leaves are</w:t>
      </w:r>
      <w:r>
        <w:t xml:space="preserve"> </w:t>
      </w:r>
      <w:r>
        <w:t xml:space="preserve">too few to test it. The control is the response-surface campaign, where a two-factor</w:t>
      </w:r>
      <w:r>
        <w:t xml:space="preserve"> </w:t>
      </w:r>
      <w:r>
        <w:t xml:space="preserve">interaction that the screening analysis estimated and the response-surface model does not</w:t>
      </w:r>
      <w:r>
        <w:t xml:space="preserve"> </w:t>
      </w:r>
      <w:r>
        <w:t xml:space="preserve">reproduce will be reported as evidence that the assumption was broken. A pair involving a</w:t>
      </w:r>
      <w:r>
        <w:t xml:space="preserve"> </w:t>
      </w:r>
      <w:r>
        <w:t xml:space="preserve">factor that is not carried forward, such as osmolality under the subset anticipated in</w:t>
      </w:r>
      <w:r>
        <w:t xml:space="preserve"> </w:t>
      </w:r>
      <w:hyperlink w:anchor="sec-rsm">
        <w:r>
          <w:rPr>
            <w:rStyle w:val="Hyperlink"/>
          </w:rPr>
          <w:t xml:space="preserve">Section 6.3</w:t>
        </w:r>
      </w:hyperlink>
      <w:r>
        <w:t xml:space="preserve">, cannot be checked in that way.</w:t>
      </w:r>
    </w:p>
    <w:bookmarkEnd w:id="42"/>
    <w:bookmarkStart w:id="43" w:name="sec-approvals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is effective when it has been approved by every function in the approval record at</w:t>
      </w:r>
      <w:r>
        <w:t xml:space="preserve"> </w:t>
      </w:r>
      <w:r>
        <w:t xml:space="preserve">the front of the document (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). Execution may not begin before that approval. Any</w:t>
      </w:r>
      <w:r>
        <w:t xml:space="preserve"> </w:t>
      </w:r>
      <w:r>
        <w:t xml:space="preserve">change to the design, to the ranges or to the acceptance criteria after approval requires a</w:t>
      </w:r>
      <w:r>
        <w:t xml:space="preserve"> </w:t>
      </w:r>
      <w:r>
        <w:t xml:space="preserve">revision of this plan under the site change control procedure.</w:t>
      </w:r>
    </w:p>
    <w:p>
      <w:r>
        <w:br w:type="page"/>
      </w:r>
    </w:p>
    <w:bookmarkEnd w:id="43"/>
    <w:bookmarkStart w:id="48" w:name="sec-appendices"/>
    <w:p>
      <w:pPr>
        <w:pStyle w:val="Heading1"/>
      </w:pPr>
      <w:r>
        <w:t xml:space="preserve">14. Appendices A–B — Planned design matrices</w:t>
      </w:r>
    </w:p>
    <w:p>
      <w:pPr>
        <w:pStyle w:val="FirstParagraph"/>
      </w:pPr>
      <w:r>
        <w:t xml:space="preserve">The matrices below are the designs as planned. They carry no responses, because no data</w:t>
      </w:r>
      <w:r>
        <w:t xml:space="preserve"> </w:t>
      </w:r>
      <w:r>
        <w:t xml:space="preserve">exist. The executed matrices with their measured responses are reported in the appendices of</w:t>
      </w:r>
      <w:r>
        <w:t xml:space="preserve"> </w:t>
      </w:r>
      <w:r>
        <w:t xml:space="preserve">PCR-003. Factor letters follow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the coded levels are minus one at the low</w:t>
      </w:r>
      <w:r>
        <w:t xml:space="preserve"> </w:t>
      </w:r>
      <w:r>
        <w:t xml:space="preserve">edge of the characterization range, zero at the set-point and plus one at the high edge.</w:t>
      </w:r>
    </w:p>
    <w:bookmarkStart w:id="45" w:name="sec-appa"/>
    <w:p>
      <w:pPr>
        <w:pStyle w:val="Heading2"/>
      </w:pPr>
      <w:r>
        <w:t xml:space="preserve">14.1 Appendix A — Planned screening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Planned screening design matrix in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4"/>
          <w:p/>
        </w:tc>
      </w:tr>
    </w:tbl>
    <w:bookmarkEnd w:id="45"/>
    <w:bookmarkStart w:id="47" w:name="sec-appb"/>
    <w:p>
      <w:pPr>
        <w:pStyle w:val="Heading2"/>
      </w:pPr>
      <w:r>
        <w:t xml:space="preserve">14.2 Appendix B — Planned response-surface design matrix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Planned face-centred central composite design matrix in coded units, drawn for the factor subset anticipated to be carried forward from screening.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6"/>
          <w:p/>
        </w:tc>
      </w:tr>
    </w:tbl>
    <w:bookmarkEnd w:id="47"/>
    <w:bookmarkEnd w:id="48"/>
    <w:bookmarkStart w:id="55" w:name="references"/>
    <w:p>
      <w:pPr>
        <w:pStyle w:val="Heading1"/>
      </w:pPr>
      <w:r>
        <w:t xml:space="preserve">References</w:t>
      </w:r>
    </w:p>
    <w:bookmarkStart w:id="54" w:name="refs"/>
    <w:bookmarkStart w:id="49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9"/>
    <w:bookmarkStart w:id="50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0"/>
    <w:bookmarkStart w:id="51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51"/>
    <w:bookmarkStart w:id="52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2"/>
    <w:bookmarkStart w:id="53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2026-08-02T19:03:14Z</dcterms:created>
  <dcterms:modified xsi:type="dcterms:W3CDTF">2026-08-02T19:03:14Z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PCP-003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