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Process Characterization Plan</w:t>
      </w:r>
    </w:p>
    <w:p>
      <w:pPr>
        <w:pStyle w:val="Subtitle"/>
      </w:pPr>
      <w:r>
        <w:t xml:space="preserve">A-Mab Drug Substance — Low-pH Viral Inactivation (Step 6) — PCP-006</w:t>
      </w:r>
    </w:p>
    <w:p>
      <w:pPr>
        <w:pStyle w:val="Author"/>
      </w:pPr>
      <w:r>
        <w:t xml:space="preserve">Process Development / Manufacturing Science &amp; Technology (MSAT)</w:t>
      </w:r>
    </w:p>
    <w:p>
      <w:pPr>
        <w:pStyle w:val="Date"/>
      </w:pPr>
      <w:r>
        <w:t xml:space="preserve">2026-07-24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75"/>
        <w:gridCol w:w="69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PCP-006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Plan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Plan: Low-pH Viral Inactivation (Step 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A-Mab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Effective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(synthetic)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Manufacturing Science &amp; Technology (MSAT)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/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Novacyte Biologics; Novacyte Biologics — Cambridge, MA (Development) → Novacyte Biologics — Grafton, WI (Commercial DS)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SYNTHETIC DOCUMENT — NOT A REAL RECORD.</w:t>
      </w:r>
      <w:r>
        <w:t xml:space="preserve"> </w:t>
      </w:r>
      <w:r>
        <w:t xml:space="preserve">Illustrative content generated from a seeded model of the</w:t>
      </w:r>
      <w:r>
        <w:t xml:space="preserve"> </w:t>
      </w:r>
      <w:r>
        <w:rPr>
          <w:i/>
          <w:iCs/>
        </w:rPr>
        <w:t xml:space="preserve">A-Mab</w:t>
      </w:r>
      <w:r>
        <w:t xml:space="preserve"> </w:t>
      </w:r>
      <w:r>
        <w:t xml:space="preserve">case study (CMC Biotech Working Group, 2009). Novacyte Biologics and all sites, SOP/AMV numbers and signatories are fictional. For NLP corpus development only; not for any regulated use.</w:t>
      </w:r>
    </w:p>
    <w:bookmarkStart w:id="10" w:name="approvals"/>
    <w:p>
      <w:pPr>
        <w:pStyle w:val="Heading2"/>
      </w:pPr>
      <w:r>
        <w:t xml:space="preserve">Approvals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app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Approval record (synthetic; signatures not applied).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 (synthetic)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</w:tbl>
          <w:bookmarkEnd w:id="9"/>
          <w:p/>
        </w:tc>
      </w:tr>
    </w:tbl>
    <w:bookmarkEnd w:id="10"/>
    <w:bookmarkStart w:id="11" w:name="abbreviations"/>
    <w:p>
      <w:pPr>
        <w:pStyle w:val="Heading2"/>
      </w:pPr>
      <w:r>
        <w:t xml:space="preserve">Abbreviations</w:t>
      </w:r>
    </w:p>
    <w:p>
      <w:pPr>
        <w:pStyle w:val="FirstParagraph"/>
      </w:pPr>
      <w:r>
        <w:t xml:space="preserve">ALCOA+, attributable, legible, contemporaneous, original, accurate and the associated</w:t>
      </w:r>
      <w:r>
        <w:t xml:space="preserve"> </w:t>
      </w:r>
      <w:r>
        <w:t xml:space="preserve">data-integrity attributes; AMV, analytical method validation; CCD, central composite</w:t>
      </w:r>
      <w:r>
        <w:t xml:space="preserve"> </w:t>
      </w:r>
      <w:r>
        <w:t xml:space="preserve">design; CEX, cation exchange chromatography; CPP, critical process parameter; CQA,</w:t>
      </w:r>
      <w:r>
        <w:t xml:space="preserve"> </w:t>
      </w:r>
      <w:r>
        <w:t xml:space="preserve">critical quality attribute; Cpk, one-sided process capability index; GPP, general process</w:t>
      </w:r>
      <w:r>
        <w:t xml:space="preserve"> </w:t>
      </w:r>
      <w:r>
        <w:t xml:space="preserve">parameter; HCP, host cell protein; HMW, high molecular</w:t>
      </w:r>
      <w:r>
        <w:t xml:space="preserve"> </w:t>
      </w:r>
      <w:r>
        <w:t xml:space="preserve">weight; icIEF, imaged capillary isoelectric focusing; LRF, log reduction factor; MSAT,</w:t>
      </w:r>
      <w:r>
        <w:t xml:space="preserve"> </w:t>
      </w:r>
      <w:r>
        <w:t xml:space="preserve">Manufacturing Science and Technology; NOR, normal operating range; PAR, proven acceptable</w:t>
      </w:r>
      <w:r>
        <w:t xml:space="preserve"> </w:t>
      </w:r>
      <w:r>
        <w:t xml:space="preserve">range; PPQ, process performance qualification; PRESS, predicted residual error sum of</w:t>
      </w:r>
      <w:r>
        <w:t xml:space="preserve"> </w:t>
      </w:r>
      <w:r>
        <w:t xml:space="preserve">squares; SDM, scale-down model; SEC-HPLC, size</w:t>
      </w:r>
      <w:r>
        <w:t xml:space="preserve"> </w:t>
      </w:r>
      <w:r>
        <w:t xml:space="preserve">exclusion high performance liquid chromatography; SOP, standard operating procedure;</w:t>
      </w:r>
      <w:r>
        <w:t xml:space="preserve"> </w:t>
      </w:r>
      <w:r>
        <w:t xml:space="preserve">TCID50, 50 % tissue culture infectious dose; WC-CPP, well-controlled critical process</w:t>
      </w:r>
      <w:r>
        <w:t xml:space="preserve"> </w:t>
      </w:r>
      <w:r>
        <w:t xml:space="preserve">parameter; XMuLV, xenotropic murine leukaemia virus.</w:t>
      </w:r>
    </w:p>
    <w:p>
      <w:r>
        <w:br w:type="page"/>
      </w:r>
    </w:p>
    <w:bookmarkEnd w:id="11"/>
    <w:bookmarkStart w:id="12" w:name="sec-purpose"/>
    <w:p>
      <w:pPr>
        <w:pStyle w:val="Heading1"/>
      </w:pPr>
      <w:r>
        <w:t xml:space="preserve">1. Purpose and scope</w:t>
      </w:r>
    </w:p>
    <w:p>
      <w:pPr>
        <w:pStyle w:val="FirstParagraph"/>
      </w:pPr>
      <w:r>
        <w:t xml:space="preserve">Low-pH viral inactivation is the dedicated inactivation step for enveloped virus in the</w:t>
      </w:r>
      <w:r>
        <w:t xml:space="preserve"> </w:t>
      </w:r>
      <w:r>
        <w:t xml:space="preserve">A-Mab drug substance process, and it is Step 6 of the train. It</w:t>
      </w:r>
      <w:r>
        <w:t xml:space="preserve"> </w:t>
      </w:r>
      <w:r>
        <w:t xml:space="preserve">receives the Protein A eluate, which is already acidic, titrates it to the target pH,</w:t>
      </w:r>
      <w:r>
        <w:t xml:space="preserve"> </w:t>
      </w:r>
      <w:r>
        <w:t xml:space="preserve">holds it under mixing for a defined time at a controlled temperature, and neutralises it</w:t>
      </w:r>
      <w:r>
        <w:t xml:space="preserve"> </w:t>
      </w:r>
      <w:r>
        <w:t xml:space="preserve">for the cation exchange step that follows (Step 7). This plan defines the studies that</w:t>
      </w:r>
      <w:r>
        <w:t xml:space="preserve"> </w:t>
      </w:r>
      <w:r>
        <w:t xml:space="preserve">will characterize the step, and it fixes the acceptance and decision criteria before any</w:t>
      </w:r>
      <w:r>
        <w:t xml:space="preserve"> </w:t>
      </w:r>
      <w:r>
        <w:t xml:space="preserve">data are generated.</w:t>
      </w:r>
    </w:p>
    <w:p>
      <w:pPr>
        <w:pStyle w:val="BodyText"/>
      </w:pPr>
      <w:r>
        <w:t xml:space="preserve">The plan covers the 4 process parameters of the low-pH hold and</w:t>
      </w:r>
      <w:r>
        <w:t xml:space="preserve"> </w:t>
      </w:r>
      <w:r>
        <w:t xml:space="preserve">the 3 responses measured across them. Of those parameters,</w:t>
      </w:r>
      <w:r>
        <w:t xml:space="preserve"> </w:t>
      </w:r>
      <w:r>
        <w:t xml:space="preserve">3 enter a multivariate design and 1 is</w:t>
      </w:r>
      <w:r>
        <w:t xml:space="preserve"> </w:t>
      </w:r>
      <w:r>
        <w:t xml:space="preserve">assessed one factor at a time, as assigned by the pre-characterization risk assessment</w:t>
      </w:r>
      <w:r>
        <w:t xml:space="preserve"> </w:t>
      </w:r>
      <w:r>
        <w:t xml:space="preserve">(RA-001). All studies are executed on a qualified</w:t>
      </w:r>
      <w:r>
        <w:t xml:space="preserve"> </w:t>
      </w:r>
      <w:r>
        <w:t xml:space="preserve">scale-down model (SDM) of the commercial hold vessel, and the clearance measurements use a</w:t>
      </w:r>
      <w:r>
        <w:t xml:space="preserve"> </w:t>
      </w:r>
      <w:r>
        <w:t xml:space="preserve">separate small-scale virus spiking model. The work supports the technology transfer</w:t>
      </w:r>
      <w:r>
        <w:t xml:space="preserve"> </w:t>
      </w:r>
      <w:r>
        <w:t xml:space="preserve">described in PTP-001, it forms part of the Stage 1 process design record expected under</w:t>
      </w:r>
      <w:r>
        <w:t xml:space="preserve"> </w:t>
      </w:r>
      <w:r>
        <w:t xml:space="preserve">the lifecycle approach</w:t>
      </w:r>
      <w:r>
        <w:t xml:space="preserve"> </w:t>
      </w:r>
      <w:r>
        <w:t xml:space="preserve">(U.S. Food and Drug Administration 2011)</w:t>
      </w:r>
      <w:r>
        <w:t xml:space="preserve">, and the clearance element follows the viral safety</w:t>
      </w:r>
      <w:r>
        <w:t xml:space="preserve"> </w:t>
      </w:r>
      <w:r>
        <w:t xml:space="preserve">framework of ICH Q5A(R2)</w:t>
      </w:r>
      <w:r>
        <w:t xml:space="preserve"> </w:t>
      </w:r>
      <w:r>
        <w:t xml:space="preserve">(International Council for Harmonisation 2023a)</w:t>
      </w:r>
      <w:r>
        <w:t xml:space="preserve">.</w:t>
      </w:r>
    </w:p>
    <w:p>
      <w:pPr>
        <w:pStyle w:val="BodyText"/>
      </w:pPr>
      <w:r>
        <w:t xml:space="preserve">Three things sit outside this plan. Confirmation of the ranges at commercial scale belongs</w:t>
      </w:r>
      <w:r>
        <w:t xml:space="preserve"> </w:t>
      </w:r>
      <w:r>
        <w:t xml:space="preserve">to Stage 2 and to the process performance qualification campaign (PPQ), not to</w:t>
      </w:r>
      <w:r>
        <w:t xml:space="preserve"> </w:t>
      </w:r>
      <w:r>
        <w:t xml:space="preserve">characterization.</w:t>
      </w:r>
      <w:r>
        <w:t xml:space="preserve"> </w:t>
      </w:r>
      <w:r>
        <w:t xml:space="preserve">The enveloped-virus clearance credited to anion exchange and to small-virus retentive</w:t>
      </w:r>
      <w:r>
        <w:t xml:space="preserve"> </w:t>
      </w:r>
      <w:r>
        <w:t xml:space="preserve">filtration is characterized under PCP-008 and PCP-009, so only the contribution of this</w:t>
      </w:r>
      <w:r>
        <w:t xml:space="preserve"> </w:t>
      </w:r>
      <w:r>
        <w:t xml:space="preserve">step is studied here. Host cell protein (HCP) precipitates during a low-pH hold and is</w:t>
      </w:r>
      <w:r>
        <w:t xml:space="preserve"> </w:t>
      </w:r>
      <w:r>
        <w:t xml:space="preserve">removed by the depth filtration that follows the neutralisation, but the extent of that</w:t>
      </w:r>
      <w:r>
        <w:t xml:space="preserve"> </w:t>
      </w:r>
      <w:r>
        <w:t xml:space="preserve">clearance is not predictable and no HCP claim will be made for this step</w:t>
      </w:r>
      <w:r>
        <w:t xml:space="preserve"> </w:t>
      </w:r>
      <w:r>
        <w:t xml:space="preserve">(CMC Biotech Working Group 2009)</w:t>
      </w:r>
      <w:r>
        <w:t xml:space="preserve">.</w:t>
      </w:r>
    </w:p>
    <w:bookmarkEnd w:id="12"/>
    <w:bookmarkStart w:id="13" w:name="sec-objectives"/>
    <w:p>
      <w:pPr>
        <w:pStyle w:val="Heading1"/>
      </w:pPr>
      <w:r>
        <w:t xml:space="preserve">2. Objectives</w:t>
      </w:r>
    </w:p>
    <w:p>
      <w:pPr>
        <w:pStyle w:val="FirstParagraph"/>
      </w:pPr>
      <w:r>
        <w:t xml:space="preserve">The characterization has five objectives, and each one supports a decision the control</w:t>
      </w:r>
      <w:r>
        <w:t xml:space="preserve"> </w:t>
      </w:r>
      <w:r>
        <w:t xml:space="preserve">strategy has to make.</w:t>
      </w:r>
    </w:p>
    <w:p>
      <w:pPr>
        <w:pStyle w:val="Compact"/>
        <w:numPr>
          <w:ilvl w:val="0"/>
          <w:numId w:val="1001"/>
        </w:numPr>
      </w:pPr>
    </w:p>
    <w:p>
      <w:pPr>
        <w:pStyle w:val="Compact"/>
        <w:numPr>
          <w:ilvl w:val="1"/>
          <w:numId w:val="1002"/>
        </w:numPr>
      </w:pPr>
      <w:r>
        <w:t xml:space="preserve">Quantify the effect of inactivation pH, hold time and temperature on the</w:t>
      </w:r>
      <w:r>
        <w:t xml:space="preserve"> </w:t>
      </w:r>
      <w:r>
        <w:t xml:space="preserve">inactivation of enveloped virus, measured as the XMuLV log reduction factor (LRF), over</w:t>
      </w:r>
      <w:r>
        <w:t xml:space="preserve"> </w:t>
      </w:r>
      <w:r>
        <w:t xml:space="preserve">the ranges given in</w:t>
      </w:r>
      <w:r>
        <w:t xml:space="preserve"> </w:t>
      </w:r>
      <w:hyperlink w:anchor="sec-factors">
        <w:r>
          <w:rPr>
            <w:rStyle w:val="Hyperlink"/>
          </w:rPr>
          <w:t xml:space="preserve">Section 6.1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</w:p>
    <w:p>
      <w:pPr>
        <w:pStyle w:val="Compact"/>
        <w:numPr>
          <w:ilvl w:val="1"/>
          <w:numId w:val="1003"/>
        </w:numPr>
      </w:pPr>
      <w:r>
        <w:t xml:space="preserve">Quantify the effect of the same three parameters on the two quality attributes the</w:t>
      </w:r>
      <w:r>
        <w:t xml:space="preserve"> </w:t>
      </w:r>
      <w:r>
        <w:t xml:space="preserve">hold can change, which are aggregate content and acidic charge variants.</w:t>
      </w:r>
    </w:p>
    <w:p>
      <w:pPr>
        <w:pStyle w:val="Compact"/>
        <w:numPr>
          <w:ilvl w:val="0"/>
          <w:numId w:val="1001"/>
        </w:numPr>
      </w:pPr>
    </w:p>
    <w:p>
      <w:pPr>
        <w:pStyle w:val="Compact"/>
        <w:numPr>
          <w:ilvl w:val="1"/>
          <w:numId w:val="1004"/>
        </w:numPr>
      </w:pPr>
      <w:r>
        <w:t xml:space="preserve">Define the design space, which is the region inside the characterized space over</w:t>
      </w:r>
      <w:r>
        <w:t xml:space="preserve"> </w:t>
      </w:r>
      <w:r>
        <w:t xml:space="preserve">which every response meets the criterion set for it in</w:t>
      </w:r>
      <w:r>
        <w:t xml:space="preserve"> </w:t>
      </w:r>
      <w:hyperlink w:anchor="sec-acceptance">
        <w:r>
          <w:rPr>
            <w:rStyle w:val="Hyperlink"/>
          </w:rPr>
          <w:t xml:space="preserve">Section 7</w:t>
        </w:r>
      </w:hyperlink>
      <w:r>
        <w:t xml:space="preserve">, and establish</w:t>
      </w:r>
      <w:r>
        <w:t xml:space="preserve"> </w:t>
      </w:r>
      <w:r>
        <w:t xml:space="preserve">where the normal operating ranges sit inside it.</w:t>
      </w:r>
    </w:p>
    <w:p>
      <w:pPr>
        <w:pStyle w:val="Compact"/>
        <w:numPr>
          <w:ilvl w:val="0"/>
          <w:numId w:val="1001"/>
        </w:numPr>
      </w:pPr>
    </w:p>
    <w:p>
      <w:pPr>
        <w:pStyle w:val="Compact"/>
        <w:numPr>
          <w:ilvl w:val="1"/>
          <w:numId w:val="1005"/>
        </w:numPr>
      </w:pPr>
      <w:r>
        <w:t xml:space="preserve">Establish a proven acceptable range (PAR) for each multivariate parameter against</w:t>
      </w:r>
      <w:r>
        <w:t xml:space="preserve"> </w:t>
      </w:r>
      <w:r>
        <w:t xml:space="preserve">each attribute the step governs, by the two analyses specified in</w:t>
      </w:r>
      <w:r>
        <w:t xml:space="preserve"> </w:t>
      </w:r>
      <w:hyperlink w:anchor="sec-par">
        <w:r>
          <w:rPr>
            <w:rStyle w:val="Hyperlink"/>
          </w:rPr>
          <w:t xml:space="preserve">Section 8</w:t>
        </w:r>
      </w:hyperlink>
      <w:r>
        <w:t xml:space="preserve">. The</w:t>
      </w:r>
      <w:r>
        <w:t xml:space="preserve"> </w:t>
      </w:r>
      <w:r>
        <w:t xml:space="preserve">acceptable range of A-Mab concentration follows from the univariate assessment</w:t>
      </w:r>
    </w:p>
    <w:p>
      <w:pPr>
        <w:pStyle w:val="Compact"/>
        <w:numPr>
          <w:ilvl w:val="1"/>
          <w:numId w:val="1006"/>
        </w:numPr>
      </w:pPr>
      <w:r>
        <w:t xml:space="preserve">against the same criteria.</w:t>
      </w:r>
    </w:p>
    <w:p>
      <w:pPr>
        <w:pStyle w:val="Compact"/>
        <w:numPr>
          <w:ilvl w:val="0"/>
          <w:numId w:val="1001"/>
        </w:numPr>
      </w:pPr>
    </w:p>
    <w:p>
      <w:pPr>
        <w:pStyle w:val="Compact"/>
        <w:numPr>
          <w:ilvl w:val="1"/>
          <w:numId w:val="1007"/>
        </w:numPr>
      </w:pPr>
      <w:r>
        <w:t xml:space="preserve">Provide the evidence needed to classify every parameter under SOP-4001 and to state</w:t>
      </w:r>
      <w:r>
        <w:t xml:space="preserve"> </w:t>
      </w:r>
      <w:r>
        <w:t xml:space="preserve">the contribution of the step to the control strategy.</w:t>
      </w:r>
    </w:p>
    <w:p>
      <w:pPr>
        <w:pStyle w:val="FirstParagraph"/>
      </w:pPr>
      <w:r>
        <w:t xml:space="preserve">Objectives (i) and (iii) carry the viral safety claim, which is the reason the step is</w:t>
      </w:r>
      <w:r>
        <w:t xml:space="preserve"> </w:t>
      </w:r>
      <w:r>
        <w:t xml:space="preserve">characterized at all, and the remaining objectives bound the conditions under which that</w:t>
      </w:r>
      <w:r>
        <w:t xml:space="preserve"> </w:t>
      </w:r>
      <w:r>
        <w:t xml:space="preserve">claim holds and turn it into something the control strategy can act on. Every objective is</w:t>
      </w:r>
      <w:r>
        <w:t xml:space="preserve"> </w:t>
      </w:r>
      <w:r>
        <w:t xml:space="preserve">answered in PCR-006, which is the deliverable of this plan.</w:t>
      </w:r>
    </w:p>
    <w:bookmarkEnd w:id="13"/>
    <w:bookmarkStart w:id="16" w:name="sec-related"/>
    <w:p>
      <w:pPr>
        <w:pStyle w:val="Heading1"/>
      </w:pPr>
      <w:r>
        <w:t xml:space="preserve">3. Related documents</w:t>
      </w:r>
    </w:p>
    <w:p>
      <w:pPr>
        <w:pStyle w:val="FirstParagraph"/>
      </w:pPr>
      <w:r>
        <w:t xml:space="preserve">This plan sits inside the A-Mab characterization package. Its parents, its paired report</w:t>
      </w:r>
      <w:r>
        <w:t xml:space="preserve"> </w:t>
      </w:r>
      <w:r>
        <w:t xml:space="preserve">and the master report it rolls up into are given in</w:t>
      </w:r>
      <w:r>
        <w:t xml:space="preserve"> </w:t>
      </w:r>
      <w:hyperlink w:anchor="tbl-related">
        <w:r>
          <w:rPr>
            <w:rStyle w:val="Hyperlink"/>
          </w:rPr>
          <w:t xml:space="preserve">Table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rela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Related documents.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73"/>
              <w:gridCol w:w="4544"/>
              <w:gridCol w:w="240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 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Relationship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PTP-001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Transfer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transfer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Pre-Characterization Process Risk Assessment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risk basis for study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master plan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 (Low-pH Viral Inactivation (Step 6))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Sibling — paired document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PCMR-001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Report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Rolls up into</w:t>
                  </w:r>
                </w:p>
              </w:tc>
            </w:tr>
          </w:tbl>
          <w:bookmarkEnd w:id="14"/>
          <w:p/>
        </w:tc>
      </w:tr>
    </w:tbl>
    <w:p>
      <w:pPr>
        <w:pStyle w:val="BodyText"/>
      </w:pPr>
      <w:r>
        <w:t xml:space="preserve">The controlled procedures and the validated analytical methods the studies depend on are</w:t>
      </w:r>
      <w:r>
        <w:t xml:space="preserve"> </w:t>
      </w:r>
      <w:r>
        <w:t xml:space="preserve">given in</w:t>
      </w:r>
      <w:r>
        <w:t xml:space="preserve"> </w:t>
      </w:r>
      <w:hyperlink w:anchor="tbl-sops">
        <w:r>
          <w:rPr>
            <w:rStyle w:val="Hyperlink"/>
          </w:rPr>
          <w:t xml:space="preserve">Table 3</w:t>
        </w:r>
      </w:hyperlink>
      <w:r>
        <w:t xml:space="preserve">. Operation of the step is governed by SOP-2009, qualification of the</w:t>
      </w:r>
      <w:r>
        <w:t xml:space="preserve"> </w:t>
      </w:r>
      <w:r>
        <w:t xml:space="preserve">scale-down model by SOP-1001, and the design and analysis of the multivariate studies by</w:t>
      </w:r>
      <w:r>
        <w:t xml:space="preserve"> </w:t>
      </w:r>
      <w:r>
        <w:t xml:space="preserve">SOP-1002.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sop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Controlled procedures and validated analytical methods for the step.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050"/>
              <w:gridCol w:w="5333"/>
              <w:gridCol w:w="153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Qualification of Scale-Down 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Design, Execution and Statistical Analysis of DoE Studies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Low-pH Viral Inactivation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SOP-4001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Process-Parameter Classification and Control-Strategy Definition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Infectivity Titre (TCID50)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Variants (icIEF)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15"/>
          <w:p/>
        </w:tc>
      </w:tr>
    </w:tbl>
    <w:bookmarkEnd w:id="16"/>
    <w:bookmarkStart w:id="21" w:name="sec-prior"/>
    <w:p>
      <w:pPr>
        <w:pStyle w:val="Heading1"/>
      </w:pPr>
      <w:r>
        <w:t xml:space="preserve">4. Prior knowledge and quality risk basis</w:t>
      </w:r>
    </w:p>
    <w:bookmarkStart w:id="17" w:name="Xfc9d08e28ad3e20206826e1b5e1507b6461f659"/>
    <w:p>
      <w:pPr>
        <w:pStyle w:val="Heading2"/>
      </w:pPr>
      <w:r>
        <w:t xml:space="preserve">4.1 Unit-operation description and prior knowledge</w:t>
      </w:r>
    </w:p>
    <w:p>
      <w:pPr>
        <w:pStyle w:val="FirstParagraph"/>
      </w:pPr>
      <w:r>
        <w:t xml:space="preserve">The step inactivates enveloped virus by acid denaturation. Exposure to low pH changes the</w:t>
      </w:r>
      <w:r>
        <w:t xml:space="preserve"> </w:t>
      </w:r>
      <w:r>
        <w:t xml:space="preserve">conformation of the viral envelope glycoproteins irreversibly, so the particle can no</w:t>
      </w:r>
      <w:r>
        <w:t xml:space="preserve"> </w:t>
      </w:r>
      <w:r>
        <w:t xml:space="preserve">longer fuse with a host cell membrane, and the loss of infectivity follows first-order</w:t>
      </w:r>
      <w:r>
        <w:t xml:space="preserve"> </w:t>
      </w:r>
      <w:r>
        <w:t xml:space="preserve">kinetics in the duration of the exposure</w:t>
      </w:r>
      <w:r>
        <w:t xml:space="preserve"> </w:t>
      </w:r>
      <w:r>
        <w:t xml:space="preserve">(International Council for Harmonisation 2023a)</w:t>
      </w:r>
      <w:r>
        <w:t xml:space="preserve">. The rate constant rises as pH falls</w:t>
      </w:r>
      <w:r>
        <w:t xml:space="preserve"> </w:t>
      </w:r>
      <w:r>
        <w:t xml:space="preserve">and as temperature rises, and the same two conditions act on the antibody, which is only</w:t>
      </w:r>
      <w:r>
        <w:t xml:space="preserve"> </w:t>
      </w:r>
      <w:r>
        <w:t xml:space="preserve">marginally stable at low pH, so the step is a balance between the inactivation the process</w:t>
      </w:r>
      <w:r>
        <w:t xml:space="preserve"> </w:t>
      </w:r>
      <w:r>
        <w:t xml:space="preserve">needs and the aggregation it has to avoid</w:t>
      </w:r>
      <w:r>
        <w:t xml:space="preserve"> </w:t>
      </w:r>
      <w:r>
        <w:t xml:space="preserve">(CMC Biotech Working Group 2009)</w:t>
      </w:r>
      <w:r>
        <w:t xml:space="preserve">.</w:t>
      </w:r>
    </w:p>
    <w:p>
      <w:pPr>
        <w:pStyle w:val="BodyText"/>
      </w:pPr>
      <w:r>
        <w:t xml:space="preserve">Novacyte Biologics has operated a low-pH hold on three prior humanized IgG1 products</w:t>
      </w:r>
      <w:r>
        <w:t xml:space="preserve"> </w:t>
      </w:r>
      <w:r>
        <w:t xml:space="preserve">(X-Mab, Y-Mab and Z-Mab), and the conditions of the hold have not changed materially</w:t>
      </w:r>
      <w:r>
        <w:t xml:space="preserve"> </w:t>
      </w:r>
      <w:r>
        <w:t xml:space="preserve">across those products or through A-Mab clinical supply. The inactivation kinetics</w:t>
      </w:r>
      <w:r>
        <w:t xml:space="preserve"> </w:t>
      </w:r>
      <w:r>
        <w:t xml:space="preserve">established on the prior products transfer directly to A-Mab, so the kinetic form of the</w:t>
      </w:r>
      <w:r>
        <w:t xml:space="preserve"> </w:t>
      </w:r>
      <w:r>
        <w:t xml:space="preserve">step is settled platform knowledge before the first run is executed. Prior knowledge of</w:t>
      </w:r>
      <w:r>
        <w:t xml:space="preserve"> </w:t>
      </w:r>
      <w:r>
        <w:t xml:space="preserve">that kind is what allows a characterization study to confirm and bound a known mechanism</w:t>
      </w:r>
      <w:r>
        <w:t xml:space="preserve"> </w:t>
      </w:r>
      <w:r>
        <w:t xml:space="preserve">instead of establishing one.</w:t>
      </w:r>
    </w:p>
    <w:p>
      <w:pPr>
        <w:pStyle w:val="BodyText"/>
      </w:pPr>
      <w:r>
        <w:t xml:space="preserve">Three expectations follow from the mechanism, and the study is designed to confirm or</w:t>
      </w:r>
      <w:r>
        <w:t xml:space="preserve"> </w:t>
      </w:r>
      <w:r>
        <w:t xml:space="preserve">refute each of them. Inactivation should improve as pH falls and worsen as pH rises, so</w:t>
      </w:r>
      <w:r>
        <w:t xml:space="preserve"> </w:t>
      </w:r>
      <w:r>
        <w:t xml:space="preserve">the high edge of the pH range is the direction of risk for viral safety. Aggregate content</w:t>
      </w:r>
      <w:r>
        <w:t xml:space="preserve"> </w:t>
      </w:r>
      <w:r>
        <w:t xml:space="preserve">should rise with hold time and with temperature, because acid-induced partial unfolding is</w:t>
      </w:r>
      <w:r>
        <w:t xml:space="preserve"> </w:t>
      </w:r>
      <w:r>
        <w:t xml:space="preserve">slow and thermally activated, which makes the long and warm corner of the design the</w:t>
      </w:r>
      <w:r>
        <w:t xml:space="preserve"> </w:t>
      </w:r>
      <w:r>
        <w:t xml:space="preserve">direction of risk for product quality. Acidic charge variants should increase over the</w:t>
      </w:r>
      <w:r>
        <w:t xml:space="preserve"> </w:t>
      </w:r>
      <w:r>
        <w:t xml:space="preserve">hold through deamidation of asparagine residues, and the increase is expected to be small</w:t>
      </w:r>
      <w:r>
        <w:t xml:space="preserve"> </w:t>
      </w:r>
      <w:r>
        <w:t xml:space="preserve">against the width of the drug substance criterion.</w:t>
      </w:r>
    </w:p>
    <w:p>
      <w:pPr>
        <w:pStyle w:val="BodyText"/>
      </w:pPr>
      <w:r>
        <w:t xml:space="preserve">The characterization ranges are wider than the ranges the commercial process will use, and</w:t>
      </w:r>
      <w:r>
        <w:t xml:space="preserve"> </w:t>
      </w:r>
      <w:r>
        <w:t xml:space="preserve">each edge has a reason taken from the platform studies</w:t>
      </w:r>
      <w:r>
        <w:t xml:space="preserve"> </w:t>
      </w:r>
      <w:r>
        <w:t xml:space="preserve">(CMC Biotech Working Group 2009)</w:t>
      </w:r>
      <w:r>
        <w:t xml:space="preserve">. Inactivation pH is</w:t>
      </w:r>
      <w:r>
        <w:t xml:space="preserve"> </w:t>
      </w:r>
      <w:r>
        <w:t xml:space="preserve">studied over 3.2–4 against a normal operating range (NOR) of</w:t>
      </w:r>
      <w:r>
        <w:t xml:space="preserve"> </w:t>
      </w:r>
      <w:r>
        <w:t xml:space="preserve">3.4–3.6. Earlier univariate work on the platform found that antibody</w:t>
      </w:r>
      <w:r>
        <w:t xml:space="preserve"> </w:t>
      </w:r>
      <w:r>
        <w:t xml:space="preserve">precipitation can occur just below the low edge of that range, so it was not extended</w:t>
      </w:r>
      <w:r>
        <w:t xml:space="preserve"> </w:t>
      </w:r>
      <w:r>
        <w:t xml:space="preserve">further. The high edge is the highest pH at which inactivation has been studied on the</w:t>
      </w:r>
      <w:r>
        <w:t xml:space="preserve"> </w:t>
      </w:r>
      <w:r>
        <w:t xml:space="preserve">platform, and it lies well above the normal operating range, so that loss of inactivation</w:t>
      </w:r>
      <w:r>
        <w:t xml:space="preserve"> </w:t>
      </w:r>
      <w:r>
        <w:t xml:space="preserve">at high pH is bounded inside the design. Hold time is studied over 60–180</w:t>
      </w:r>
      <w:r>
        <w:t xml:space="preserve"> </w:t>
      </w:r>
      <w:r>
        <w:t xml:space="preserve">min, which reaches well past the upper edge of its normal operating range.</w:t>
      </w:r>
      <w:r>
        <w:t xml:space="preserve"> </w:t>
      </w:r>
      <w:r>
        <w:t xml:space="preserve">Its high edge is the longest hold the platform has carried without loss of acceptable</w:t>
      </w:r>
      <w:r>
        <w:t xml:space="preserve"> </w:t>
      </w:r>
      <w:r>
        <w:t xml:space="preserve">product quality, and it leaves room for a hold extended by a downstream delay to fall</w:t>
      </w:r>
      <w:r>
        <w:t xml:space="preserve"> </w:t>
      </w:r>
      <w:r>
        <w:t xml:space="preserve">inside the characterized space. Temperature is studied over 15–25</w:t>
      </w:r>
      <w:r>
        <w:t xml:space="preserve"> </w:t>
      </w:r>
      <w:r>
        <w:t xml:space="preserve">°C. The high edge sits above the normal operating range to confirm that</w:t>
      </w:r>
      <w:r>
        <w:t xml:space="preserve"> </w:t>
      </w:r>
      <w:r>
        <w:t xml:space="preserve">the antibody is stable there, since a warmer hold raises the rate of aggregation as well as</w:t>
      </w:r>
      <w:r>
        <w:t xml:space="preserve"> </w:t>
      </w:r>
      <w:r>
        <w:t xml:space="preserve">the rate of inactivation. The low edge sits below the normal operating range to measure how</w:t>
      </w:r>
      <w:r>
        <w:t xml:space="preserve"> </w:t>
      </w:r>
      <w:r>
        <w:t xml:space="preserve">much a colder hold slows the inactivation, which is the direction that carries the viral</w:t>
      </w:r>
      <w:r>
        <w:t xml:space="preserve"> </w:t>
      </w:r>
      <w:r>
        <w:t xml:space="preserve">safety risk.</w:t>
      </w:r>
    </w:p>
    <w:bookmarkEnd w:id="17"/>
    <w:bookmarkStart w:id="19" w:name="sec-cqas"/>
    <w:p>
      <w:pPr>
        <w:pStyle w:val="Heading2"/>
      </w:pPr>
      <w:r>
        <w:t xml:space="preserve">4.2 Quality attributes in scope</w:t>
      </w:r>
    </w:p>
    <w:p>
      <w:pPr>
        <w:pStyle w:val="FirstParagraph"/>
      </w:pPr>
      <w:r>
        <w:t xml:space="preserve">The step sets one critical quality attribute (CQA) and can change two others. They are</w:t>
      </w:r>
      <w:r>
        <w:t xml:space="preserve"> </w:t>
      </w:r>
      <w:r>
        <w:t xml:space="preserve">given in</w:t>
      </w:r>
      <w:r>
        <w:t xml:space="preserve"> </w:t>
      </w:r>
      <w:hyperlink w:anchor="tbl-cqa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with the acceptance criterion and the criticality of each. Criticality</w:t>
      </w:r>
      <w:r>
        <w:t xml:space="preserve"> </w:t>
      </w:r>
      <w:r>
        <w:t xml:space="preserve">follows the continuum approach of ICH Q9</w:t>
      </w:r>
      <w:r>
        <w:t xml:space="preserve"> </w:t>
      </w:r>
      <w:r>
        <w:t xml:space="preserve">(International Council for Harmonisation 2023b)</w:t>
      </w:r>
      <w:r>
        <w:t xml:space="preserve">. It is assessed on two dimensions, which</w:t>
      </w:r>
      <w:r>
        <w:t xml:space="preserve"> </w:t>
      </w:r>
      <w:r>
        <w:t xml:space="preserve">are the potential impact of the attribute on safety and efficacy and the uncertainty</w:t>
      </w:r>
      <w:r>
        <w:t xml:space="preserve"> </w:t>
      </w:r>
      <w:r>
        <w:t xml:space="preserve">attached to that impact, and an attribute at the top of the scale (high or very high) is</w:t>
      </w:r>
      <w:r>
        <w:t xml:space="preserve"> </w:t>
      </w:r>
      <w:r>
        <w:t xml:space="preserve">treated as critical</w:t>
      </w:r>
      <w:r>
        <w:t xml:space="preserve"> </w:t>
      </w:r>
      <w:r>
        <w:t xml:space="preserve">(CMC Biotech Working Group 2009)</w:t>
      </w:r>
      <w:r>
        <w:t xml:space="preserve">. The Tool #1 score in</w:t>
      </w:r>
      <w:r>
        <w:t xml:space="preserve"> </w:t>
      </w:r>
      <w:hyperlink w:anchor="tbl-cqa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is the product of the two</w:t>
      </w:r>
      <w:r>
        <w:t xml:space="preserve"> </w:t>
      </w:r>
      <w:r>
        <w:t xml:space="preserve">dimensions, so it does not rank the three attributes in the order their criticality does.</w:t>
      </w:r>
      <w:r>
        <w:t xml:space="preserve"> </w:t>
      </w:r>
      <w:r>
        <w:t xml:space="preserve">An attribute of very high impact whose behaviour is well established scores below one of</w:t>
      </w:r>
      <w:r>
        <w:t xml:space="preserve"> </w:t>
      </w:r>
      <w:r>
        <w:t xml:space="preserve">moderate impact that is less well characterized.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cqa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Quality attributes governed by the low-pH hold.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786"/>
              <w:gridCol w:w="1173"/>
              <w:gridCol w:w="2053"/>
              <w:gridCol w:w="1100"/>
              <w:gridCol w:w="80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Tool #1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XMuLV (enveloped)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safety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16.7–30 log10 (cumulative)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0–5 % HMW (SEC)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charge variants (deamidation)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18–40 % (CEX/icIEF)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Enveloped-virus clearance is the attribute the step exists to deliver and it carries the</w:t>
      </w:r>
      <w:r>
        <w:t xml:space="preserve"> </w:t>
      </w:r>
      <w:r>
        <w:t xml:space="preserve">highest criticality of the three. Its Tool #1 score is the middle one, because the</w:t>
      </w:r>
      <w:r>
        <w:t xml:space="preserve"> </w:t>
      </w:r>
      <w:r>
        <w:t xml:space="preserve">consequence of a failure is severe but the mechanism is well understood and little</w:t>
      </w:r>
      <w:r>
        <w:t xml:space="preserve"> </w:t>
      </w:r>
      <w:r>
        <w:t xml:space="preserve">uncertainty attaches to it. Aggregate content carries the highest score of the three,</w:t>
      </w:r>
      <w:r>
        <w:t xml:space="preserve"> </w:t>
      </w:r>
      <w:r>
        <w:t xml:space="preserve">because its impact is the one assessed with the most uncertainty.</w:t>
      </w:r>
    </w:p>
    <w:p>
      <w:pPr>
        <w:pStyle w:val="BodyText"/>
      </w:pPr>
      <w:r>
        <w:t xml:space="preserve">The acceptance criterion for enveloped-virus clearance is cumulative over the</w:t>
      </w:r>
      <w:r>
        <w:t xml:space="preserve"> </w:t>
      </w:r>
      <w:r>
        <w:t xml:space="preserve">process, so no single step meets it alone. A-Mab claims enveloped-virus clearance at three</w:t>
      </w:r>
      <w:r>
        <w:t xml:space="preserve"> </w:t>
      </w:r>
      <w:r>
        <w:t xml:space="preserve">steps, which are the low-pH hold, anion exchange (Step 8) and small-virus retentive</w:t>
      </w:r>
      <w:r>
        <w:t xml:space="preserve"> </w:t>
      </w:r>
      <w:r>
        <w:t xml:space="preserve">filtration (Step 9), and the three mechanisms are independent of one another. The</w:t>
      </w:r>
      <w:r>
        <w:t xml:space="preserve"> </w:t>
      </w:r>
      <w:r>
        <w:t xml:space="preserve">contribution required from this step follows from the cumulative requirement and from the</w:t>
      </w:r>
      <w:r>
        <w:t xml:space="preserve"> </w:t>
      </w:r>
      <w:r>
        <w:t xml:space="preserve">clearance credited to the other two, and it is stated in</w:t>
      </w:r>
      <w:r>
        <w:t xml:space="preserve"> </w:t>
      </w:r>
      <w:hyperlink w:anchor="sec-acceptance">
        <w:r>
          <w:rPr>
            <w:rStyle w:val="Hyperlink"/>
          </w:rPr>
          <w:t xml:space="preserve">Section 7</w:t>
        </w:r>
      </w:hyperlink>
      <w:r>
        <w:t xml:space="preserve">.</w:t>
      </w:r>
    </w:p>
    <w:p>
      <w:pPr>
        <w:pStyle w:val="BodyText"/>
      </w:pPr>
      <w:r>
        <w:t xml:space="preserve">Aggregate content is formed in the production bioreactor and reduced at cation exchange</w:t>
      </w:r>
      <w:r>
        <w:t xml:space="preserve"> </w:t>
      </w:r>
      <w:r>
        <w:t xml:space="preserve">(PCP-003 and PCP-007). This step neither forms it in culture nor clears it, but it can add</w:t>
      </w:r>
      <w:r>
        <w:t xml:space="preserve"> </w:t>
      </w:r>
      <w:r>
        <w:t xml:space="preserve">to it, and the study is designed to bound how much it adds across the characterized space.</w:t>
      </w:r>
      <w:r>
        <w:t xml:space="preserve"> </w:t>
      </w:r>
      <w:r>
        <w:t xml:space="preserve">Acidic charge variants are of very low criticality and have a wide criterion, and they are</w:t>
      </w:r>
      <w:r>
        <w:t xml:space="preserve"> </w:t>
      </w:r>
      <w:r>
        <w:t xml:space="preserve">measured here because deamidation is dependent on pH and on time, and because this hold is</w:t>
      </w:r>
      <w:r>
        <w:t xml:space="preserve"> </w:t>
      </w:r>
      <w:r>
        <w:t xml:space="preserve">the longest low-pH exposure in the purification train.</w:t>
      </w:r>
    </w:p>
    <w:bookmarkEnd w:id="19"/>
    <w:bookmarkStart w:id="20" w:name="sec-risk"/>
    <w:p>
      <w:pPr>
        <w:pStyle w:val="Heading2"/>
      </w:pPr>
      <w:r>
        <w:t xml:space="preserve">4.3 Risk-based prioritization of parameters</w:t>
      </w:r>
    </w:p>
    <w:p>
      <w:pPr>
        <w:pStyle w:val="FirstParagraph"/>
      </w:pPr>
      <w:r>
        <w:t xml:space="preserve">RA-001 assigned a study type to every parameter of this step before this plan was written.</w:t>
      </w:r>
      <w:r>
        <w:t xml:space="preserve"> </w:t>
      </w:r>
      <w:r>
        <w:t xml:space="preserve">It scored each parameter on the severity of the attribute the parameter puts at risk, on</w:t>
      </w:r>
      <w:r>
        <w:t xml:space="preserve"> </w:t>
      </w:r>
      <w:r>
        <w:t xml:space="preserve">how often a departure was expected to occur before the step was characterized, and on how</w:t>
      </w:r>
      <w:r>
        <w:t xml:space="preserve"> </w:t>
      </w:r>
      <w:r>
        <w:t xml:space="preserve">likely such a departure was to be detected in process, and it combined the three into an</w:t>
      </w:r>
      <w:r>
        <w:t xml:space="preserve"> </w:t>
      </w:r>
      <w:r>
        <w:t xml:space="preserve">initial risk priority number. The study type followed from whether the parameter was</w:t>
      </w:r>
      <w:r>
        <w:t xml:space="preserve"> </w:t>
      </w:r>
      <w:r>
        <w:t xml:space="preserve">carried into the designed experiment for the step. Every parameter that acts on</w:t>
      </w:r>
      <w:r>
        <w:t xml:space="preserve"> </w:t>
      </w:r>
      <w:r>
        <w:t xml:space="preserve">enveloped-virus clearance ranks at the top of that assessment, because the attribute is</w:t>
      </w:r>
      <w:r>
        <w:t xml:space="preserve"> </w:t>
      </w:r>
      <w:r>
        <w:t xml:space="preserve">scored at the highest severity in the register and cannot be measured on a routine</w:t>
      </w:r>
      <w:r>
        <w:t xml:space="preserve"> </w:t>
      </w:r>
      <w:r>
        <w:t xml:space="preserve">manufacturing batch.</w:t>
      </w:r>
    </w:p>
    <w:p>
      <w:pPr>
        <w:pStyle w:val="BodyText"/>
      </w:pPr>
      <w:r>
        <w:t xml:space="preserve">Three parameters carried a multivariate assignment. Inactivation pH, hold time and</w:t>
      </w:r>
      <w:r>
        <w:t xml:space="preserve"> </w:t>
      </w:r>
      <w:r>
        <w:t xml:space="preserve">temperature all enter the inactivation rate, they act on the product at the same time, and</w:t>
      </w:r>
      <w:r>
        <w:t xml:space="preserve"> </w:t>
      </w:r>
      <w:r>
        <w:t xml:space="preserve">there is no prior basis for assuming that their effects stay additive across the full</w:t>
      </w:r>
      <w:r>
        <w:t xml:space="preserve"> </w:t>
      </w:r>
      <w:r>
        <w:t xml:space="preserve">width of the characterization ranges. A design that varied them one at a time could</w:t>
      </w:r>
      <w:r>
        <w:t xml:space="preserve"> </w:t>
      </w:r>
      <w:r>
        <w:t xml:space="preserve">neither detect that nor bound it.</w:t>
      </w:r>
    </w:p>
    <w:p>
      <w:pPr>
        <w:pStyle w:val="BodyText"/>
      </w:pPr>
      <w:r>
        <w:t xml:space="preserve">A-Mab concentration carried a univariate assignment. RA-001 scored it against process</w:t>
      </w:r>
      <w:r>
        <w:t xml:space="preserve"> </w:t>
      </w:r>
      <w:r>
        <w:t xml:space="preserve">performance rather than against a quality attribute of the step, which put it lowest of</w:t>
      </w:r>
      <w:r>
        <w:t xml:space="preserve"> </w:t>
      </w:r>
      <w:r>
        <w:t xml:space="preserve">the four parameters, and it is not a factor of the designed experiment. Its normal</w:t>
      </w:r>
      <w:r>
        <w:t xml:space="preserve"> </w:t>
      </w:r>
      <w:r>
        <w:t xml:space="preserve">operating range is the whole of its characterization range, because the concentration of</w:t>
      </w:r>
      <w:r>
        <w:t xml:space="preserve"> </w:t>
      </w:r>
      <w:r>
        <w:t xml:space="preserve">the Protein A eluate is set upstream (PCP-005) and is not adjusted at this step.</w:t>
      </w:r>
    </w:p>
    <w:p>
      <w:pPr>
        <w:pStyle w:val="BodyText"/>
      </w:pPr>
      <w:r>
        <w:t xml:space="preserve">Other operating variables of the step are fixed procedurally by the operation SOP</w:t>
      </w:r>
      <w:r>
        <w:t xml:space="preserve"> </w:t>
      </w:r>
      <w:r>
        <w:t xml:space="preserve">(SOP-2009) and were not carried forward as characterization parameters. They include the</w:t>
      </w:r>
      <w:r>
        <w:t xml:space="preserve"> </w:t>
      </w:r>
      <w:r>
        <w:t xml:space="preserve">identity and molarity of the titrant, the neutralisation target, the mixing configuration</w:t>
      </w:r>
      <w:r>
        <w:t xml:space="preserve"> </w:t>
      </w:r>
      <w:r>
        <w:t xml:space="preserve">and the vessel material. Their control is verified in the batch record for each run, and a</w:t>
      </w:r>
      <w:r>
        <w:t xml:space="preserve"> </w:t>
      </w:r>
      <w:r>
        <w:t xml:space="preserve">departure from any of them is handled as a deviation.</w:t>
      </w:r>
    </w:p>
    <w:bookmarkEnd w:id="20"/>
    <w:bookmarkEnd w:id="21"/>
    <w:bookmarkStart w:id="27" w:name="sec-methods"/>
    <w:p>
      <w:pPr>
        <w:pStyle w:val="Heading1"/>
      </w:pPr>
      <w:r>
        <w:t xml:space="preserve">5. Materials and methods</w:t>
      </w:r>
    </w:p>
    <w:bookmarkStart w:id="22" w:name="sec-sdm"/>
    <w:p>
      <w:pPr>
        <w:pStyle w:val="Heading2"/>
      </w:pPr>
      <w:r>
        <w:t xml:space="preserve">5.1 Scale-down model and its qualification</w:t>
      </w:r>
    </w:p>
    <w:p>
      <w:pPr>
        <w:pStyle w:val="FirstParagraph"/>
      </w:pPr>
      <w:r>
        <w:t xml:space="preserve">The studies are executed on a scale-down model of the commercial hold vessel, qualified</w:t>
      </w:r>
      <w:r>
        <w:t xml:space="preserve"> </w:t>
      </w:r>
      <w:r>
        <w:t xml:space="preserve">under SOP-1001 before the first characterization run. A hold has no separation mechanism,</w:t>
      </w:r>
      <w:r>
        <w:t xml:space="preserve"> </w:t>
      </w:r>
      <w:r>
        <w:t xml:space="preserve">so the model carries fewer scaling dependencies than a chromatography step, and the</w:t>
      </w:r>
      <w:r>
        <w:t xml:space="preserve"> </w:t>
      </w:r>
      <w:r>
        <w:t xml:space="preserve">scale-independent variables (pH, temperature, hold time, protein concentration) can simply</w:t>
      </w:r>
      <w:r>
        <w:t xml:space="preserve"> </w:t>
      </w:r>
      <w:r>
        <w:t xml:space="preserve">be operated at their commercial equivalents. The scale-dependent variables are vessel</w:t>
      </w:r>
      <w:r>
        <w:t xml:space="preserve"> </w:t>
      </w:r>
      <w:r>
        <w:t xml:space="preserve">geometry, mixing time, titration rate and the ratio of surface area to volume, and they</w:t>
      </w:r>
      <w:r>
        <w:t xml:space="preserve"> </w:t>
      </w:r>
      <w:r>
        <w:t xml:space="preserve">are set so that the titration and neutralisation profiles match the commercial records.</w:t>
      </w:r>
    </w:p>
    <w:p>
      <w:pPr>
        <w:pStyle w:val="BodyText"/>
      </w:pPr>
      <w:r>
        <w:t xml:space="preserve">Qualification compares replicate runs at the set-point against the commercial-scale record</w:t>
      </w:r>
      <w:r>
        <w:t xml:space="preserve"> </w:t>
      </w:r>
      <w:r>
        <w:t xml:space="preserve">for the same operation. The comparison covers the attributes of the load, the attributes</w:t>
      </w:r>
      <w:r>
        <w:t xml:space="preserve"> </w:t>
      </w:r>
      <w:r>
        <w:t xml:space="preserve">of the pool at the end of the hold, and the time taken to reach the target pH on</w:t>
      </w:r>
      <w:r>
        <w:t xml:space="preserve"> </w:t>
      </w:r>
      <w:r>
        <w:t xml:space="preserve">titration. The last of these matters more here than it would at a chromatography step,</w:t>
      </w:r>
      <w:r>
        <w:t xml:space="preserve"> </w:t>
      </w:r>
      <w:r>
        <w:t xml:space="preserve">because the hold clock starts when the target pH is confirmed and any difference in</w:t>
      </w:r>
      <w:r>
        <w:t xml:space="preserve"> </w:t>
      </w:r>
      <w:r>
        <w:t xml:space="preserve">titration time is a difference in exposure. The number of replicate runs, and the</w:t>
      </w:r>
      <w:r>
        <w:t xml:space="preserve"> </w:t>
      </w:r>
      <w:r>
        <w:t xml:space="preserve">difference judged acceptable for each compared attribute, are fixed in the qualification</w:t>
      </w:r>
      <w:r>
        <w:t xml:space="preserve"> </w:t>
      </w:r>
      <w:r>
        <w:t xml:space="preserve">protocol issued under SOP-1001 before the comparison is run. The acceptance criterion for</w:t>
      </w:r>
      <w:r>
        <w:t xml:space="preserve"> </w:t>
      </w:r>
      <w:r>
        <w:t xml:space="preserve">qualification is given in</w:t>
      </w:r>
      <w:r>
        <w:t xml:space="preserve"> </w:t>
      </w:r>
      <w:hyperlink w:anchor="sec-acceptance">
        <w:r>
          <w:rPr>
            <w:rStyle w:val="Hyperlink"/>
          </w:rPr>
          <w:t xml:space="preserve">Section 7</w:t>
        </w:r>
      </w:hyperlink>
      <w:r>
        <w:t xml:space="preserve">.</w:t>
      </w:r>
    </w:p>
    <w:p>
      <w:pPr>
        <w:pStyle w:val="BodyText"/>
      </w:pPr>
      <w:r>
        <w:t xml:space="preserve">Virus clearance is measured on a separate small-scale spiking model, which is what a</w:t>
      </w:r>
      <w:r>
        <w:t xml:space="preserve"> </w:t>
      </w:r>
      <w:r>
        <w:t xml:space="preserve">clearance claim requires</w:t>
      </w:r>
      <w:r>
        <w:t xml:space="preserve"> </w:t>
      </w:r>
      <w:r>
        <w:t xml:space="preserve">(International Council for Harmonisation 2023a)</w:t>
      </w:r>
      <w:r>
        <w:t xml:space="preserve">. Live XMuLV is added to the load at a defined titre,</w:t>
      </w:r>
      <w:r>
        <w:t xml:space="preserve"> </w:t>
      </w:r>
      <w:r>
        <w:t xml:space="preserve">and the spiked volume is held to a small fraction of the load volume so that the matrix of</w:t>
      </w:r>
      <w:r>
        <w:t xml:space="preserve"> </w:t>
      </w:r>
      <w:r>
        <w:t xml:space="preserve">the material is not altered. Spiked material is handled in a laboratory that is physically</w:t>
      </w:r>
      <w:r>
        <w:t xml:space="preserve"> </w:t>
      </w:r>
      <w:r>
        <w:t xml:space="preserve">separate from manufacturing and none of it returns to the process. The load for the</w:t>
      </w:r>
      <w:r>
        <w:t xml:space="preserve"> </w:t>
      </w:r>
      <w:r>
        <w:t xml:space="preserve">spiking runs is Protein A eluate from a representative campaign, so that the properties</w:t>
      </w:r>
      <w:r>
        <w:t xml:space="preserve"> </w:t>
      </w:r>
      <w:r>
        <w:t xml:space="preserve">that could change the outcome (buffer composition, protein concentration, impurity burden)</w:t>
      </w:r>
      <w:r>
        <w:t xml:space="preserve"> </w:t>
      </w:r>
      <w:r>
        <w:t xml:space="preserve">are those the commercial step will see.</w:t>
      </w:r>
    </w:p>
    <w:p>
      <w:pPr>
        <w:pStyle w:val="BodyText"/>
      </w:pPr>
      <w:r>
        <w:t xml:space="preserve">Centre-point replicates carry the pure-error term for the lack-of-fit tests described in</w:t>
      </w:r>
      <w:r>
        <w:t xml:space="preserve"> </w:t>
      </w:r>
      <w:hyperlink w:anchor="sec-stats">
        <w:r>
          <w:rPr>
            <w:rStyle w:val="Hyperlink"/>
          </w:rPr>
          <w:t xml:space="preserve">Section 5.5</w:t>
        </w:r>
      </w:hyperlink>
      <w:r>
        <w:t xml:space="preserve">. The screening design includes 3 centre points and the</w:t>
      </w:r>
      <w:r>
        <w:t xml:space="preserve"> </w:t>
      </w:r>
      <w:r>
        <w:t xml:space="preserve">response-surface design includes 4, which give</w:t>
      </w:r>
      <w:r>
        <w:t xml:space="preserve"> </w:t>
      </w:r>
      <w:r>
        <w:t xml:space="preserve">2 and 3 degrees of freedom for pure</w:t>
      </w:r>
      <w:r>
        <w:t xml:space="preserve"> </w:t>
      </w:r>
      <w:r>
        <w:t xml:space="preserve">error. Replication at the centre also gives the reproducibility of each response under</w:t>
      </w:r>
      <w:r>
        <w:t xml:space="preserve"> </w:t>
      </w:r>
      <w:r>
        <w:t xml:space="preserve">nominally identical conditions, which PCR-006 reports as a coefficient of variation per</w:t>
      </w:r>
      <w:r>
        <w:t xml:space="preserve"> </w:t>
      </w:r>
      <w:r>
        <w:t xml:space="preserve">response.</w:t>
      </w:r>
    </w:p>
    <w:bookmarkEnd w:id="22"/>
    <w:bookmarkStart w:id="23" w:name="sec-operation"/>
    <w:p>
      <w:pPr>
        <w:pStyle w:val="Heading2"/>
      </w:pPr>
      <w:r>
        <w:t xml:space="preserve">5.2 Operation</w:t>
      </w:r>
    </w:p>
    <w:p>
      <w:pPr>
        <w:pStyle w:val="FirstParagraph"/>
      </w:pPr>
      <w:r>
        <w:t xml:space="preserve">The step is operated as a batch hold in three phases. The Protein A eluate is titrated to</w:t>
      </w:r>
      <w:r>
        <w:t xml:space="preserve"> </w:t>
      </w:r>
      <w:r>
        <w:t xml:space="preserve">the target pH with acid under mixing, and the pH is measured in the vessel after a defined</w:t>
      </w:r>
      <w:r>
        <w:t xml:space="preserve"> </w:t>
      </w:r>
      <w:r>
        <w:t xml:space="preserve">mixing period. The batch is then held for the target time with the jacket controlling</w:t>
      </w:r>
      <w:r>
        <w:t xml:space="preserve"> </w:t>
      </w:r>
      <w:r>
        <w:t xml:space="preserve">temperature, and the hold clock starts when the target pH has been confirmed. At the end</w:t>
      </w:r>
      <w:r>
        <w:t xml:space="preserve"> </w:t>
      </w:r>
      <w:r>
        <w:t xml:space="preserve">of the hold the batch is neutralised to the load condition of the cation exchange step and</w:t>
      </w:r>
      <w:r>
        <w:t xml:space="preserve"> </w:t>
      </w:r>
      <w:r>
        <w:t xml:space="preserve">filtered through a depth filter, which removes precipitated HCP and any product that came</w:t>
      </w:r>
      <w:r>
        <w:t xml:space="preserve"> </w:t>
      </w:r>
      <w:r>
        <w:t xml:space="preserve">out of solution during the hold.</w:t>
      </w:r>
    </w:p>
    <w:p>
      <w:pPr>
        <w:pStyle w:val="BodyText"/>
      </w:pPr>
      <w:r>
        <w:t xml:space="preserve">Set-points and normal operating ranges for the four parameters are given in</w:t>
      </w:r>
      <w:r>
        <w:t xml:space="preserve"> </w:t>
      </w:r>
      <w:hyperlink w:anchor="tbl-params">
        <w:r>
          <w:rPr>
            <w:rStyle w:val="Hyperlink"/>
          </w:rPr>
          <w:t xml:space="preserve">Table 5</w:t>
        </w:r>
      </w:hyperlink>
      <w:r>
        <w:t xml:space="preserve">.</w:t>
      </w:r>
      <w:r>
        <w:t xml:space="preserve"> </w:t>
      </w:r>
      <w:r>
        <w:t xml:space="preserve">The buffers, the titrant and the neutralisation base are prepared and released to platform</w:t>
      </w:r>
      <w:r>
        <w:t xml:space="preserve"> </w:t>
      </w:r>
      <w:r>
        <w:t xml:space="preserve">specifications under SOP-2009. They are identity and quality controlled, and they are not</w:t>
      </w:r>
      <w:r>
        <w:t xml:space="preserve"> </w:t>
      </w:r>
      <w:r>
        <w:t xml:space="preserve">characterization parameters. The load is the Protein A eluate produced under PCP-005, and</w:t>
      </w:r>
      <w:r>
        <w:t xml:space="preserve"> </w:t>
      </w:r>
      <w:r>
        <w:t xml:space="preserve">its attributes (concentration, aggregate content, HCP burden) are controlled at that step.</w:t>
      </w:r>
    </w:p>
    <w:bookmarkEnd w:id="23"/>
    <w:bookmarkStart w:id="24" w:name="sec-assays"/>
    <w:p>
      <w:pPr>
        <w:pStyle w:val="Heading2"/>
      </w:pPr>
      <w:r>
        <w:t xml:space="preserve">5.3 Analytical methods</w:t>
      </w:r>
    </w:p>
    <w:p>
      <w:pPr>
        <w:pStyle w:val="FirstParagraph"/>
      </w:pPr>
      <w:r>
        <w:t xml:space="preserve">Each response is measured by one validated method, and the three methods are given in</w:t>
      </w:r>
      <w:r>
        <w:t xml:space="preserve"> </w:t>
      </w:r>
      <w:hyperlink w:anchor="tbl-sops">
        <w:r>
          <w:rPr>
            <w:rStyle w:val="Hyperlink"/>
          </w:rPr>
          <w:t xml:space="preserve">Table 3</w:t>
        </w:r>
      </w:hyperlink>
      <w:r>
        <w:t xml:space="preserve">. Enveloped-virus inactivation is measured as the XMuLV log reduction factor by</w:t>
      </w:r>
      <w:r>
        <w:t xml:space="preserve"> </w:t>
      </w:r>
      <w:r>
        <w:t xml:space="preserve">infectivity titration (AMV-3017), read at the 50 % tissue culture infectious dose</w:t>
      </w:r>
      <w:r>
        <w:t xml:space="preserve"> </w:t>
      </w:r>
      <w:r>
        <w:t xml:space="preserve">endpoint. The log reduction factor is the log₁₀ of the total virus in the spiked load</w:t>
      </w:r>
      <w:r>
        <w:t xml:space="preserve"> </w:t>
      </w:r>
      <w:r>
        <w:t xml:space="preserve">minus the log₁₀ of the total virus recovered at the end of the hold. Both terms are total</w:t>
      </w:r>
      <w:r>
        <w:t xml:space="preserve"> </w:t>
      </w:r>
      <w:r>
        <w:t xml:space="preserve">quantities, so the calculation accounts for the volume change on titration.</w:t>
      </w:r>
    </w:p>
    <w:p>
      <w:pPr>
        <w:pStyle w:val="BodyText"/>
      </w:pPr>
      <w:r>
        <w:t xml:space="preserve">Aggregate content is measured by size exclusion chromatography (SEC-HPLC, AMV-3011) and</w:t>
      </w:r>
      <w:r>
        <w:t xml:space="preserve"> </w:t>
      </w:r>
      <w:r>
        <w:t xml:space="preserve">reported as the percentage of high molecular weight species. Acidic charge variants are</w:t>
      </w:r>
      <w:r>
        <w:t xml:space="preserve"> </w:t>
      </w:r>
      <w:r>
        <w:t xml:space="preserve">measured by imaged capillary isoelectric focusing (icIEF, AMV-3013) and reported as the</w:t>
      </w:r>
      <w:r>
        <w:t xml:space="preserve"> </w:t>
      </w:r>
      <w:r>
        <w:t xml:space="preserve">percentage area of the acidic region. Both are platform methods already validated for</w:t>
      </w:r>
      <w:r>
        <w:t xml:space="preserve"> </w:t>
      </w:r>
      <w:r>
        <w:t xml:space="preserve">A-Mab drug substance, so their performance is documented in the validation reports and is</w:t>
      </w:r>
      <w:r>
        <w:t xml:space="preserve"> </w:t>
      </w:r>
      <w:r>
        <w:t xml:space="preserve">not reproduced in this plan.</w:t>
      </w:r>
    </w:p>
    <w:p>
      <w:pPr>
        <w:pStyle w:val="BodyText"/>
      </w:pPr>
      <w:r>
        <w:t xml:space="preserve">Two properties of the infectivity assay bound what the study can conclude. Its</w:t>
      </w:r>
      <w:r>
        <w:t xml:space="preserve"> </w:t>
      </w:r>
      <w:r>
        <w:t xml:space="preserve">intermediate precision is a standard deviation of</w:t>
      </w:r>
      <w:r>
        <w:t xml:space="preserve"> </w:t>
      </w:r>
      <w:r>
        <w:t xml:space="preserve">0.3 log₁₀, which sets the smallest difference in log</w:t>
      </w:r>
      <w:r>
        <w:t xml:space="preserve"> </w:t>
      </w:r>
      <w:r>
        <w:t xml:space="preserve">reduction factor the design can resolve and is the reason an effect is judged against the</w:t>
      </w:r>
      <w:r>
        <w:t xml:space="preserve"> </w:t>
      </w:r>
      <w:r>
        <w:t xml:space="preserve">pure-error term of the design. Its limit of quantitation is</w:t>
      </w:r>
      <w:r>
        <w:t xml:space="preserve"> </w:t>
      </w:r>
      <w:r>
        <w:t xml:space="preserve">1.5 log₁₀ TCID50/mL, which together with the achievable spike</w:t>
      </w:r>
      <w:r>
        <w:t xml:space="preserve"> </w:t>
      </w:r>
      <w:r>
        <w:t xml:space="preserve">titre sets the largest reduction the study can report. A condition that inactivates the</w:t>
      </w:r>
      <w:r>
        <w:t xml:space="preserve"> </w:t>
      </w:r>
      <w:r>
        <w:t xml:space="preserve">spike below the limit of quantitation is reported as a reduction of at least the</w:t>
      </w:r>
      <w:r>
        <w:t xml:space="preserve"> </w:t>
      </w:r>
      <w:r>
        <w:t xml:space="preserve">measurable value, and it is not extrapolated beyond it.</w:t>
      </w:r>
    </w:p>
    <w:bookmarkEnd w:id="24"/>
    <w:bookmarkStart w:id="25" w:name="sec-sampling"/>
    <w:p>
      <w:pPr>
        <w:pStyle w:val="Heading2"/>
      </w:pPr>
      <w:r>
        <w:t xml:space="preserve">5.4 Sampling plan</w:t>
      </w:r>
    </w:p>
    <w:p>
      <w:pPr>
        <w:pStyle w:val="FirstParagraph"/>
      </w:pPr>
      <w:r>
        <w:t xml:space="preserve">Sampling is designed so that every run yields one infectivity result, one aggregate result</w:t>
      </w:r>
      <w:r>
        <w:t xml:space="preserve"> </w:t>
      </w:r>
      <w:r>
        <w:t xml:space="preserve">and one charge-variant result, and so that the centre points also give the shape of the</w:t>
      </w:r>
      <w:r>
        <w:t xml:space="preserve"> </w:t>
      </w:r>
      <w:r>
        <w:t xml:space="preserve">inactivation curve.</w:t>
      </w:r>
    </w:p>
    <w:p>
      <w:pPr>
        <w:pStyle w:val="BodyText"/>
      </w:pPr>
      <w:r>
        <w:t xml:space="preserve">Each run is sampled at three points. The first sample is taken from the spiked load before</w:t>
      </w:r>
      <w:r>
        <w:t xml:space="preserve"> </w:t>
      </w:r>
      <w:r>
        <w:t xml:space="preserve">titration and fixes the starting virus titre. The second is taken at the end of the hold,</w:t>
      </w:r>
      <w:r>
        <w:t xml:space="preserve"> </w:t>
      </w:r>
      <w:r>
        <w:t xml:space="preserve">immediately before neutralisation, and carries the infectivity, aggregate and</w:t>
      </w:r>
      <w:r>
        <w:t xml:space="preserve"> </w:t>
      </w:r>
      <w:r>
        <w:t xml:space="preserve">charge-variant results for that run. The third is taken after neutralisation and depth</w:t>
      </w:r>
      <w:r>
        <w:t xml:space="preserve"> </w:t>
      </w:r>
      <w:r>
        <w:t xml:space="preserve">filtration and is retained as a reserve for investigation.</w:t>
      </w:r>
    </w:p>
    <w:p>
      <w:pPr>
        <w:pStyle w:val="BodyText"/>
      </w:pPr>
      <w:r>
        <w:t xml:space="preserve">The centre-point runs are sampled during the hold as well, at</w:t>
      </w:r>
      <w:r>
        <w:t xml:space="preserve"> </w:t>
      </w:r>
      <w:r>
        <w:t xml:space="preserve">60 and 90 min. These</w:t>
      </w:r>
      <w:r>
        <w:t xml:space="preserve"> </w:t>
      </w:r>
      <w:r>
        <w:t xml:space="preserve">samples confirm the shape of the inactivation curve without adding runs to the design, and</w:t>
      </w:r>
      <w:r>
        <w:t xml:space="preserve"> </w:t>
      </w:r>
      <w:r>
        <w:t xml:space="preserve">they carry the evidence for the first-order assumption that any statement about hold time</w:t>
      </w:r>
      <w:r>
        <w:t xml:space="preserve"> </w:t>
      </w:r>
      <w:r>
        <w:t xml:space="preserve">relies on. Product quality samples are not taken during the hold, because the aggregate</w:t>
      </w:r>
      <w:r>
        <w:t xml:space="preserve"> </w:t>
      </w:r>
      <w:r>
        <w:t xml:space="preserve">response of the step is defined at the end of it.</w:t>
      </w:r>
    </w:p>
    <w:p>
      <w:pPr>
        <w:pStyle w:val="BodyText"/>
      </w:pPr>
      <w:r>
        <w:t xml:space="preserve">Every sample is assayed inside the stability period established for its method. Sample</w:t>
      </w:r>
      <w:r>
        <w:t xml:space="preserve"> </w:t>
      </w:r>
      <w:r>
        <w:t xml:space="preserve">identity, time of collection and storage condition are recorded in the batch record of the</w:t>
      </w:r>
      <w:r>
        <w:t xml:space="preserve"> </w:t>
      </w:r>
      <w:r>
        <w:t xml:space="preserve">run, and a sample whose record is incomplete is not used in the analysis.</w:t>
      </w:r>
    </w:p>
    <w:bookmarkEnd w:id="25"/>
    <w:bookmarkStart w:id="26" w:name="sec-stats"/>
    <w:p>
      <w:pPr>
        <w:pStyle w:val="Heading2"/>
      </w:pPr>
      <w:r>
        <w:t xml:space="preserve">5.5 Statistical methods</w:t>
      </w:r>
    </w:p>
    <w:p>
      <w:pPr>
        <w:pStyle w:val="FirstParagraph"/>
      </w:pPr>
      <w:r>
        <w:t xml:space="preserve">All analysis follows the procedure for the design and analysis of designed experiments</w:t>
      </w:r>
      <w:r>
        <w:t xml:space="preserve"> </w:t>
      </w:r>
      <w:r>
        <w:t xml:space="preserve">(SOP-1002). Each factor is coded so that the centre of its characterization range is zero</w:t>
      </w:r>
      <w:r>
        <w:t xml:space="preserve"> </w:t>
      </w:r>
      <w:r>
        <w:t xml:space="preserve">and the two edges are −1 and +1, which puts the estimated effects on a common scale and</w:t>
      </w:r>
      <w:r>
        <w:t xml:space="preserve"> </w:t>
      </w:r>
      <w:r>
        <w:t xml:space="preserve">makes them comparable across factors measured in different units.</w:t>
      </w:r>
    </w:p>
    <w:p>
      <w:pPr>
        <w:pStyle w:val="BodyText"/>
      </w:pPr>
      <w:r>
        <w:t xml:space="preserve">The screening analysis fits all main effects and all two-factor interactions by ordinary</w:t>
      </w:r>
      <w:r>
        <w:t xml:space="preserve"> </w:t>
      </w:r>
      <w:r>
        <w:t xml:space="preserve">least squares. An effect is reported as twice the coded coefficient, which is the change</w:t>
      </w:r>
      <w:r>
        <w:t xml:space="preserve"> </w:t>
      </w:r>
      <w:r>
        <w:t xml:space="preserve">in the response between the two edges of the range. Significance is judged at α = 0.05.</w:t>
      </w:r>
      <w:r>
        <w:t xml:space="preserve"> </w:t>
      </w:r>
      <w:r>
        <w:t xml:space="preserve">The screening model has 7 terms in</w:t>
      </w:r>
      <w:r>
        <w:t xml:space="preserve"> </w:t>
      </w:r>
      <w:r>
        <w:t xml:space="preserve">11 runs, so it is close to saturated. It is used to identify which</w:t>
      </w:r>
      <w:r>
        <w:t xml:space="preserve"> </w:t>
      </w:r>
      <w:r>
        <w:t xml:space="preserve">factors and which interactions are active, and it is not used as a predictive model.</w:t>
      </w:r>
    </w:p>
    <w:p>
      <w:pPr>
        <w:pStyle w:val="BodyText"/>
      </w:pPr>
      <w:r>
        <w:t xml:space="preserve">The response-surface analysis fits the full quadratic model in the same factors, adding</w:t>
      </w:r>
      <w:r>
        <w:t xml:space="preserve"> </w:t>
      </w:r>
      <w:r>
        <w:t xml:space="preserve">the pure quadratic terms so that curvature can be estimated. That model is the predictive</w:t>
      </w:r>
      <w:r>
        <w:t xml:space="preserve"> </w:t>
      </w:r>
      <w:r>
        <w:t xml:space="preserve">model, and it is the basis of the design space declared in</w:t>
      </w:r>
      <w:r>
        <w:t xml:space="preserve"> </w:t>
      </w:r>
      <w:hyperlink w:anchor="sec-acceptance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and of the</w:t>
      </w:r>
      <w:r>
        <w:t xml:space="preserve"> </w:t>
      </w:r>
      <w:r>
        <w:t xml:space="preserve">proven acceptable ranges derived in</w:t>
      </w:r>
      <w:r>
        <w:t xml:space="preserve"> </w:t>
      </w:r>
      <w:hyperlink w:anchor="sec-par">
        <w:r>
          <w:rPr>
            <w:rStyle w:val="Hyperlink"/>
          </w:rPr>
          <w:t xml:space="preserve">Section 8</w:t>
        </w:r>
      </w:hyperlink>
      <w:r>
        <w:t xml:space="preserve">. Its adequacy is judged on the overall F</w:t>
      </w:r>
      <w:r>
        <w:t xml:space="preserve"> </w:t>
      </w:r>
      <w:r>
        <w:t xml:space="preserve">test, on R², on the adjusted R², on the predicted R² computed from the predicted residual</w:t>
      </w:r>
      <w:r>
        <w:t xml:space="preserve"> </w:t>
      </w:r>
      <w:r>
        <w:t xml:space="preserve">error sum of squares (PRESS), and on an analysis of variance that partitions the residual</w:t>
      </w:r>
      <w:r>
        <w:t xml:space="preserve"> </w:t>
      </w:r>
      <w:r>
        <w:t xml:space="preserve">into lack of fit and pure error. With 18 runs and 10 terms the</w:t>
      </w:r>
      <w:r>
        <w:t xml:space="preserve"> </w:t>
      </w:r>
      <w:r>
        <w:t xml:space="preserve">design leaves 8 residual degrees of freedom, of which</w:t>
      </w:r>
      <w:r>
        <w:t xml:space="preserve"> </w:t>
      </w:r>
      <w:r>
        <w:t xml:space="preserve">3 are pure error and 5 are lack of</w:t>
      </w:r>
      <w:r>
        <w:t xml:space="preserve"> </w:t>
      </w:r>
      <w:r>
        <w:t xml:space="preserve">fit.</w:t>
      </w:r>
    </w:p>
    <w:p>
      <w:pPr>
        <w:pStyle w:val="BodyText"/>
      </w:pPr>
      <w:r>
        <w:t xml:space="preserve">A factor with no significant effect on any response is not dropped from the record. It is</w:t>
      </w:r>
      <w:r>
        <w:t xml:space="preserve"> </w:t>
      </w:r>
      <w:r>
        <w:t xml:space="preserve">reported as inactive over the range studied, it is classified on that basis, and it stays</w:t>
      </w:r>
      <w:r>
        <w:t xml:space="preserve"> </w:t>
      </w:r>
      <w:r>
        <w:t xml:space="preserve">in the knowledge space as evidence that the responses are robust to it. A null result of</w:t>
      </w:r>
      <w:r>
        <w:t xml:space="preserve"> </w:t>
      </w:r>
      <w:r>
        <w:t xml:space="preserve">that kind is one of the more useful outcomes a characterization study can produce, because</w:t>
      </w:r>
      <w:r>
        <w:t xml:space="preserve"> </w:t>
      </w:r>
      <w:r>
        <w:t xml:space="preserve">it removes a parameter from the list of things the control strategy has to hold tightly.</w:t>
      </w:r>
    </w:p>
    <w:p>
      <w:pPr>
        <w:pStyle w:val="BodyText"/>
      </w:pPr>
      <w:r>
        <w:t xml:space="preserve">Commercial-scale capability is estimated by Monte-Carlo simulation of</w:t>
      </w:r>
      <w:r>
        <w:t xml:space="preserve"> </w:t>
      </w:r>
      <w:r>
        <w:t xml:space="preserve">2,000 batches, with every parameter drawn inside its normal</w:t>
      </w:r>
      <w:r>
        <w:t xml:space="preserve"> </w:t>
      </w:r>
      <w:r>
        <w:t xml:space="preserve">operating range. Capability is reported as a one-sided Cpk against the governing limit,</w:t>
      </w:r>
      <w:r>
        <w:t xml:space="preserve"> </w:t>
      </w:r>
      <w:r>
        <w:t xml:space="preserve">because each criterion for this step binds in one direction only. Run order within each</w:t>
      </w:r>
      <w:r>
        <w:t xml:space="preserve"> </w:t>
      </w:r>
      <w:r>
        <w:t xml:space="preserve">design is randomised, and the randomisation is recorded before execution so that it cannot</w:t>
      </w:r>
      <w:r>
        <w:t xml:space="preserve"> </w:t>
      </w:r>
      <w:r>
        <w:t xml:space="preserve">be adjusted afterwards.</w:t>
      </w:r>
    </w:p>
    <w:bookmarkEnd w:id="26"/>
    <w:bookmarkEnd w:id="27"/>
    <w:bookmarkStart w:id="34" w:name="sec-design"/>
    <w:p>
      <w:pPr>
        <w:pStyle w:val="Heading1"/>
      </w:pPr>
      <w:r>
        <w:t xml:space="preserve">6. Study design</w:t>
      </w:r>
    </w:p>
    <w:bookmarkStart w:id="30" w:name="sec-factors"/>
    <w:p>
      <w:pPr>
        <w:pStyle w:val="Heading2"/>
      </w:pPr>
      <w:r>
        <w:t xml:space="preserve">6.1 Factors, ranges and study type</w:t>
      </w:r>
    </w:p>
    <w:p>
      <w:pPr>
        <w:pStyle w:val="FirstParagraph"/>
      </w:pPr>
      <w:r>
        <w:t xml:space="preserve">The design separates the three parameters that act on the inactivation rate from the one</w:t>
      </w:r>
      <w:r>
        <w:t xml:space="preserve"> </w:t>
      </w:r>
      <w:r>
        <w:t xml:space="preserve">that does not.</w:t>
      </w:r>
      <w:r>
        <w:t xml:space="preserve"> </w:t>
      </w:r>
      <w:hyperlink w:anchor="tbl-params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gives the set-point, the characterization range, the normal</w:t>
      </w:r>
      <w:r>
        <w:t xml:space="preserve"> </w:t>
      </w:r>
      <w:r>
        <w:t xml:space="preserve">operating range and the study type for each of the four parameters.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para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Parameters, ranges and study type for the low-pH hold.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028"/>
              <w:gridCol w:w="772"/>
              <w:gridCol w:w="1255"/>
              <w:gridCol w:w="1641"/>
              <w:gridCol w:w="869"/>
              <w:gridCol w:w="135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Set-point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Range studied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Study 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Inactivation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3.2–4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3.4–3.6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Hold 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60–180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60–120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19–23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A-Mab concentration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g/L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5–35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5–35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</w:tbl>
          <w:bookmarkEnd w:id="28"/>
          <w:p/>
        </w:tc>
      </w:tr>
    </w:tbl>
    <w:p>
      <w:pPr>
        <w:pStyle w:val="BodyText"/>
      </w:pPr>
      <w:r>
        <w:t xml:space="preserve">The characterization ranges are the edges of the knowledge space and the normal operating</w:t>
      </w:r>
      <w:r>
        <w:t xml:space="preserve"> </w:t>
      </w:r>
      <w:r>
        <w:t xml:space="preserve">ranges are where the commercial process will run. Every characterization range covers the</w:t>
      </w:r>
      <w:r>
        <w:t xml:space="preserve"> </w:t>
      </w:r>
      <w:r>
        <w:t xml:space="preserve">whole of its normal operating range and extends past it in the direction in which an</w:t>
      </w:r>
      <w:r>
        <w:t xml:space="preserve"> </w:t>
      </w:r>
      <w:r>
        <w:t xml:space="preserve">excursion would carry risk, which is what makes these studies usable for assessing a</w:t>
      </w:r>
      <w:r>
        <w:t xml:space="preserve"> </w:t>
      </w:r>
      <w:r>
        <w:t xml:space="preserve">deviation later in the life cycle. A-Mab concentration is the exception in the table. Its</w:t>
      </w:r>
      <w:r>
        <w:t xml:space="preserve"> </w:t>
      </w:r>
      <w:r>
        <w:t xml:space="preserve">normal operating range is its whole characterization range, because the value is inherited</w:t>
      </w:r>
      <w:r>
        <w:t xml:space="preserve"> </w:t>
      </w:r>
      <w:r>
        <w:t xml:space="preserve">from the Protein A eluate (PCP-005) and is not adjusted at this step.</w:t>
      </w:r>
    </w:p>
    <w:p>
      <w:pPr>
        <w:pStyle w:val="BodyText"/>
      </w:pPr>
      <w:r>
        <w:t xml:space="preserve">The three multivariate factors are coded A to C, and that coding is used in every effect</w:t>
      </w:r>
      <w:r>
        <w:t xml:space="preserve"> </w:t>
      </w:r>
      <w:r>
        <w:t xml:space="preserve">and coefficient table of PCR-006. The legend is given in</w:t>
      </w:r>
      <w:r>
        <w:t xml:space="preserve"> </w:t>
      </w:r>
      <w:hyperlink w:anchor="tbl-legend">
        <w:r>
          <w:rPr>
            <w:rStyle w:val="Hyperlink"/>
          </w:rPr>
          <w:t xml:space="preserve">Table 6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lege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Factor legend for the multivariate designs.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Studied 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Inactivation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Hold 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sec-screening"/>
    <w:p>
      <w:pPr>
        <w:pStyle w:val="Heading2"/>
      </w:pPr>
      <w:r>
        <w:t xml:space="preserve">6.2 Screening design</w:t>
      </w:r>
    </w:p>
    <w:p>
      <w:pPr>
        <w:pStyle w:val="FirstParagraph"/>
      </w:pPr>
      <w:r>
        <w:t xml:space="preserve">The screening study is a two-level full factorial in the three multivariate factors,</w:t>
      </w:r>
      <w:r>
        <w:t xml:space="preserve"> </w:t>
      </w:r>
      <w:r>
        <w:t xml:space="preserve">augmented with centre points. It has 8 factorial runs at the</w:t>
      </w:r>
      <w:r>
        <w:t xml:space="preserve"> </w:t>
      </w:r>
      <w:r>
        <w:t xml:space="preserve">corners of the characterized space and 3 centre-point replicates,</w:t>
      </w:r>
      <w:r>
        <w:t xml:space="preserve"> </w:t>
      </w:r>
      <w:r>
        <w:t xml:space="preserve">11 runs in total. A full factorial estimates all three main effects</w:t>
      </w:r>
      <w:r>
        <w:t xml:space="preserve"> </w:t>
      </w:r>
      <w:r>
        <w:t xml:space="preserve">and all three two-factor interactions without aliasing, which a fractional design in three</w:t>
      </w:r>
      <w:r>
        <w:t xml:space="preserve"> </w:t>
      </w:r>
      <w:r>
        <w:t xml:space="preserve">factors could not do, and the run count is small enough that the fraction would save</w:t>
      </w:r>
      <w:r>
        <w:t xml:space="preserve"> </w:t>
      </w:r>
      <w:r>
        <w:t xml:space="preserve">little.</w:t>
      </w:r>
    </w:p>
    <w:p>
      <w:pPr>
        <w:pStyle w:val="BodyText"/>
      </w:pPr>
      <w:r>
        <w:t xml:space="preserve">The centre points serve two purposes. They estimate pure error, and they test for</w:t>
      </w:r>
      <w:r>
        <w:t xml:space="preserve"> </w:t>
      </w:r>
      <w:r>
        <w:t xml:space="preserve">curvature, because a difference between the mean of the centre points and the mean of the</w:t>
      </w:r>
      <w:r>
        <w:t xml:space="preserve"> </w:t>
      </w:r>
      <w:r>
        <w:t xml:space="preserve">factorial points is evidence that a first-order model is not sufficient. Curvature is</w:t>
      </w:r>
      <w:r>
        <w:t xml:space="preserve"> </w:t>
      </w:r>
      <w:r>
        <w:t xml:space="preserve">expected at this step, since inactivation is exponential in time and pH acts on the rate</w:t>
      </w:r>
      <w:r>
        <w:t xml:space="preserve"> </w:t>
      </w:r>
      <w:r>
        <w:t xml:space="preserve">constant. The response-surface study is therefore planned outright, and it is not made</w:t>
      </w:r>
      <w:r>
        <w:t xml:space="preserve"> </w:t>
      </w:r>
      <w:r>
        <w:t xml:space="preserve">conditional on the outcome of the screening study.</w:t>
      </w:r>
    </w:p>
    <w:p>
      <w:pPr>
        <w:pStyle w:val="BodyText"/>
      </w:pPr>
      <w:r>
        <w:t xml:space="preserve">The planned coded design matrix is given in Appendix A (</w:t>
      </w:r>
      <w:hyperlink w:anchor="sec-appa">
        <w:r>
          <w:rPr>
            <w:rStyle w:val="Hyperlink"/>
          </w:rPr>
          <w:t xml:space="preserve">Section 14</w:t>
        </w:r>
      </w:hyperlink>
      <w:r>
        <w:t xml:space="preserve">).</w:t>
      </w:r>
    </w:p>
    <w:bookmarkEnd w:id="31"/>
    <w:bookmarkStart w:id="32" w:name="sec-rsm"/>
    <w:p>
      <w:pPr>
        <w:pStyle w:val="Heading2"/>
      </w:pPr>
      <w:r>
        <w:t xml:space="preserve">6.3 Response-surface design</w:t>
      </w:r>
    </w:p>
    <w:p>
      <w:pPr>
        <w:pStyle w:val="FirstParagraph"/>
      </w:pPr>
      <w:r>
        <w:t xml:space="preserve">The response-surface study is a face-centred central composite design (CCD) in the same</w:t>
      </w:r>
      <w:r>
        <w:t xml:space="preserve"> </w:t>
      </w:r>
      <w:r>
        <w:t xml:space="preserve">three factors. It has 8 factorial runs,</w:t>
      </w:r>
      <w:r>
        <w:t xml:space="preserve"> </w:t>
      </w:r>
      <w:r>
        <w:t xml:space="preserve">6 axial runs placed on the faces of the cube, and</w:t>
      </w:r>
      <w:r>
        <w:t xml:space="preserve"> </w:t>
      </w:r>
      <w:r>
        <w:t xml:space="preserve">4 centre-point replicates, 18 runs in total.</w:t>
      </w:r>
      <w:r>
        <w:t xml:space="preserve"> </w:t>
      </w:r>
      <w:r>
        <w:t xml:space="preserve">Facing the axial points keeps every run inside the characterization ranges, which matters</w:t>
      </w:r>
      <w:r>
        <w:t xml:space="preserve"> </w:t>
      </w:r>
      <w:r>
        <w:t xml:space="preserve">here because neither edge of the pH range can be moved outward, for the reasons given in</w:t>
      </w:r>
      <w:r>
        <w:t xml:space="preserve"> </w:t>
      </w:r>
      <w:hyperlink w:anchor="sec-prior">
        <w:r>
          <w:rPr>
            <w:rStyle w:val="Hyperlink"/>
          </w:rPr>
          <w:t xml:space="preserve">Section 4</w:t>
        </w:r>
      </w:hyperlink>
      <w:r>
        <w:t xml:space="preserve">. A design with axial points outside the cube would place runs below the</w:t>
      </w:r>
      <w:r>
        <w:t xml:space="preserve"> </w:t>
      </w:r>
      <w:r>
        <w:t xml:space="preserve">precipitation edge and above the highest pH at which inactivation has been studied.</w:t>
      </w:r>
    </w:p>
    <w:p>
      <w:pPr>
        <w:pStyle w:val="BodyText"/>
      </w:pPr>
      <w:r>
        <w:t xml:space="preserve">All three factors go forward from the screening design into the response surface. This is</w:t>
      </w:r>
      <w:r>
        <w:t xml:space="preserve"> </w:t>
      </w:r>
      <w:r>
        <w:t xml:space="preserve">a design decision and not a result of the screening study, since the factor set is small</w:t>
      </w:r>
      <w:r>
        <w:t xml:space="preserve"> </w:t>
      </w:r>
      <w:r>
        <w:t xml:space="preserve">enough that dropping one would save few runs, and each of the three is expected to be</w:t>
      </w:r>
      <w:r>
        <w:t xml:space="preserve"> </w:t>
      </w:r>
      <w:r>
        <w:t xml:space="preserve">active on at least one response. If the screening study finds a factor inactive on every</w:t>
      </w:r>
      <w:r>
        <w:t xml:space="preserve"> </w:t>
      </w:r>
      <w:r>
        <w:t xml:space="preserve">response, the response-surface design is executed as planned and the factor is reported as</w:t>
      </w:r>
      <w:r>
        <w:t xml:space="preserve"> </w:t>
      </w:r>
      <w:r>
        <w:t xml:space="preserve">inactive on the evidence of both designs.</w:t>
      </w:r>
    </w:p>
    <w:p>
      <w:pPr>
        <w:pStyle w:val="BodyText"/>
      </w:pPr>
      <w:r>
        <w:t xml:space="preserve">The planned coded design matrix is given in Appendix B (</w:t>
      </w:r>
      <w:hyperlink w:anchor="sec-appb">
        <w:r>
          <w:rPr>
            <w:rStyle w:val="Hyperlink"/>
          </w:rPr>
          <w:t xml:space="preserve">Section 15</w:t>
        </w:r>
      </w:hyperlink>
      <w:r>
        <w:t xml:space="preserve">).</w:t>
      </w:r>
    </w:p>
    <w:bookmarkEnd w:id="32"/>
    <w:bookmarkStart w:id="33" w:name="sec-univariate"/>
    <w:p>
      <w:pPr>
        <w:pStyle w:val="Heading2"/>
      </w:pPr>
      <w:r>
        <w:t xml:space="preserve">6.4 Univariate assessment</w:t>
      </w:r>
    </w:p>
    <w:p>
      <w:pPr>
        <w:pStyle w:val="FirstParagraph"/>
      </w:pPr>
      <w:r>
        <w:t xml:space="preserve">A-Mab concentration is assessed one factor at a time, at the low edge, the set-point and</w:t>
      </w:r>
      <w:r>
        <w:t xml:space="preserve"> </w:t>
      </w:r>
      <w:r>
        <w:t xml:space="preserve">the high edge of 5–35 g/L, with pH, hold time and</w:t>
      </w:r>
      <w:r>
        <w:t xml:space="preserve"> </w:t>
      </w:r>
      <w:r>
        <w:t xml:space="preserve">temperature held at their set-points. Each condition is spiked and assayed as a full run,</w:t>
      </w:r>
      <w:r>
        <w:t xml:space="preserve"> </w:t>
      </w:r>
      <w:r>
        <w:t xml:space="preserve">so the univariate results are directly comparable with the centre points of the</w:t>
      </w:r>
      <w:r>
        <w:t xml:space="preserve"> </w:t>
      </w:r>
      <w:r>
        <w:t xml:space="preserve">multivariate designs. Spiking every condition is deliberate. A higher antibody</w:t>
      </w:r>
      <w:r>
        <w:t xml:space="preserve"> </w:t>
      </w:r>
      <w:r>
        <w:t xml:space="preserve">concentration has been reported to slow low-pH inactivation</w:t>
      </w:r>
      <w:r>
        <w:t xml:space="preserve"> </w:t>
      </w:r>
      <w:r>
        <w:t xml:space="preserve">(CMC Biotech Working Group 2009)</w:t>
      </w:r>
      <w:r>
        <w:t xml:space="preserve">, so the assessment</w:t>
      </w:r>
      <w:r>
        <w:t xml:space="preserve"> </w:t>
      </w:r>
      <w:r>
        <w:t xml:space="preserve">has to carry the log reduction factor and not the product quality attributes alone. The</w:t>
      </w:r>
      <w:r>
        <w:t xml:space="preserve"> </w:t>
      </w:r>
      <w:r>
        <w:t xml:space="preserve">acceptable range of A-Mab concentration is established from this assessment, against the</w:t>
      </w:r>
      <w:r>
        <w:t xml:space="preserve"> </w:t>
      </w:r>
      <w:r>
        <w:t xml:space="preserve">criteria in</w:t>
      </w:r>
      <w:r>
        <w:t xml:space="preserve"> </w:t>
      </w:r>
      <w:hyperlink w:anchor="tbl-acc">
        <w:r>
          <w:rPr>
            <w:rStyle w:val="Hyperlink"/>
          </w:rPr>
          <w:t xml:space="preserve">Table 7</w:t>
        </w:r>
      </w:hyperlink>
      <w:r>
        <w:t xml:space="preserve">.</w:t>
      </w:r>
    </w:p>
    <w:p>
      <w:pPr>
        <w:pStyle w:val="BodyText"/>
      </w:pPr>
      <w:r>
        <w:t xml:space="preserve">The reason for the univariate treatment is mechanistic, and it rests on two expectations</w:t>
      </w:r>
      <w:r>
        <w:t xml:space="preserve"> </w:t>
      </w:r>
      <w:r>
        <w:t xml:space="preserve">the study will test. The rate of inactivation at low pH is set by the three multivariate</w:t>
      </w:r>
      <w:r>
        <w:t xml:space="preserve"> </w:t>
      </w:r>
      <w:r>
        <w:t xml:space="preserve">factors (pH, temperature, duration of the exposure), and it is not expected to depend</w:t>
      </w:r>
      <w:r>
        <w:t xml:space="preserve"> </w:t>
      </w:r>
      <w:r>
        <w:t xml:space="preserve">materially on the concentration of the antibody in which the virus is suspended.</w:t>
      </w:r>
      <w:r>
        <w:t xml:space="preserve"> </w:t>
      </w:r>
      <w:r>
        <w:t xml:space="preserve">Aggregation is expected to depend on concentration, but through a mechanism that is not</w:t>
      </w:r>
      <w:r>
        <w:t xml:space="preserve"> </w:t>
      </w:r>
      <w:r>
        <w:t xml:space="preserve">expected to interact with the hold conditions over the range studied. If either</w:t>
      </w:r>
      <w:r>
        <w:t xml:space="preserve"> </w:t>
      </w:r>
      <w:r>
        <w:t xml:space="preserve">expectation is contradicted by the univariate results, the parameter is escalated to a</w:t>
      </w:r>
      <w:r>
        <w:t xml:space="preserve"> </w:t>
      </w:r>
      <w:r>
        <w:t xml:space="preserve">multivariate study and this plan is amended before that study is executed.</w:t>
      </w:r>
    </w:p>
    <w:p>
      <w:pPr>
        <w:pStyle w:val="BodyText"/>
      </w:pPr>
      <w:r>
        <w:t xml:space="preserve">The other operating variables named in</w:t>
      </w:r>
      <w:r>
        <w:t xml:space="preserve"> </w:t>
      </w:r>
      <w:hyperlink w:anchor="sec-risk">
        <w:r>
          <w:rPr>
            <w:rStyle w:val="Hyperlink"/>
          </w:rPr>
          <w:t xml:space="preserve">Section 4.3</w:t>
        </w:r>
      </w:hyperlink>
      <w:r>
        <w:t xml:space="preserve"> </w:t>
      </w:r>
      <w:r>
        <w:t xml:space="preserve">are not studied at all. They are held</w:t>
      </w:r>
      <w:r>
        <w:t xml:space="preserve"> </w:t>
      </w:r>
      <w:r>
        <w:t xml:space="preserve">procedurally and their control is verified in the batch record of each run.</w:t>
      </w:r>
    </w:p>
    <w:bookmarkEnd w:id="33"/>
    <w:bookmarkEnd w:id="34"/>
    <w:bookmarkStart w:id="36" w:name="sec-acceptance"/>
    <w:p>
      <w:pPr>
        <w:pStyle w:val="Heading1"/>
      </w:pPr>
      <w:r>
        <w:t xml:space="preserve">7. Acceptance and decision criteria</w:t>
      </w:r>
    </w:p>
    <w:p>
      <w:pPr>
        <w:pStyle w:val="FirstParagraph"/>
      </w:pPr>
      <w:r>
        <w:t xml:space="preserve">The study passes when three conditions hold together: the scale-down model is qualified,</w:t>
      </w:r>
      <w:r>
        <w:t xml:space="preserve"> </w:t>
      </w:r>
      <w:r>
        <w:t xml:space="preserve">every response model is adequate, and the design space defined from those models</w:t>
      </w:r>
      <w:r>
        <w:t xml:space="preserve"> </w:t>
      </w:r>
      <w:r>
        <w:t xml:space="preserve">contains the normal operating ranges of the parameters. Each of the three is defined below</w:t>
      </w:r>
      <w:r>
        <w:t xml:space="preserve"> </w:t>
      </w:r>
      <w:r>
        <w:t xml:space="preserve">before execution, and none of them may be redefined after the data are seen.</w:t>
      </w:r>
    </w:p>
    <w:p>
      <w:pPr>
        <w:pStyle w:val="BodyText"/>
      </w:pPr>
      <w:hyperlink w:anchor="tbl-acc">
        <w:r>
          <w:rPr>
            <w:rStyle w:val="Hyperlink"/>
          </w:rPr>
          <w:t xml:space="preserve">Table 7</w:t>
        </w:r>
      </w:hyperlink>
      <w:r>
        <w:t xml:space="preserve"> </w:t>
      </w:r>
      <w:r>
        <w:t xml:space="preserve">gives the criterion each response has to meet and the basis of each criterion.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tbl-ac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Acceptance criteria for the measured responses.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61"/>
              <w:gridCol w:w="1739"/>
              <w:gridCol w:w="1098"/>
              <w:gridCol w:w="869"/>
              <w:gridCol w:w="325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Quality attribute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 criterion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(HMW, 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≤ 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% HMW (SEC)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Drug-substance 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LRF (log₁₀)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XMuLV (enveloped)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≥ 4.93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log₁₀ (this step)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requirement less the clearance credited to the other steps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charge variants (deamidation)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≤ 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% (CEX/icIEF)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Drug-substance specification</w:t>
                  </w:r>
                </w:p>
              </w:tc>
            </w:tr>
          </w:tbl>
          <w:bookmarkEnd w:id="35"/>
          <w:p/>
        </w:tc>
      </w:tr>
    </w:tbl>
    <w:p>
      <w:pPr>
        <w:pStyle w:val="BodyText"/>
      </w:pPr>
      <w:r>
        <w:t xml:space="preserve">Two of the three criteria are drug substance specifications and apply to the pool as it</w:t>
      </w:r>
      <w:r>
        <w:t xml:space="preserve"> </w:t>
      </w:r>
      <w:r>
        <w:t xml:space="preserve">leaves the step. The third does not work that way. Enveloped-virus clearance is claimed</w:t>
      </w:r>
      <w:r>
        <w:t xml:space="preserve"> </w:t>
      </w:r>
      <w:r>
        <w:t xml:space="preserve">cumulatively over three steps, so the criterion for this step is the cumulative</w:t>
      </w:r>
      <w:r>
        <w:t xml:space="preserve"> </w:t>
      </w:r>
      <w:r>
        <w:t xml:space="preserve">requirement of 16.7 log₁₀ less the clearance credited to anion</w:t>
      </w:r>
      <w:r>
        <w:t xml:space="preserve"> </w:t>
      </w:r>
      <w:r>
        <w:t xml:space="preserve">exchange and to small-virus retentive filtration, which leaves</w:t>
      </w:r>
      <w:r>
        <w:t xml:space="preserve"> </w:t>
      </w:r>
      <w:r>
        <w:t xml:space="preserve">4.93 log₁₀ for the low-pH hold. That figure is a floor and not</w:t>
      </w:r>
      <w:r>
        <w:t xml:space="preserve"> </w:t>
      </w:r>
      <w:r>
        <w:t xml:space="preserve">a target. The step is expected to deliver more than the floor, and the margin above it is</w:t>
      </w:r>
      <w:r>
        <w:t xml:space="preserve"> </w:t>
      </w:r>
      <w:r>
        <w:t xml:space="preserve">what allows the cumulative claim to survive a weak result at one of the three contributing</w:t>
      </w:r>
      <w:r>
        <w:t xml:space="preserve"> </w:t>
      </w:r>
      <w:r>
        <w:t xml:space="preserve">steps.</w:t>
      </w:r>
    </w:p>
    <w:p>
      <w:pPr>
        <w:pStyle w:val="BodyText"/>
      </w:pPr>
      <w:r>
        <w:t xml:space="preserve">The scale-down model is qualified when the difference between the two scales at every</w:t>
      </w:r>
      <w:r>
        <w:t xml:space="preserve"> </w:t>
      </w:r>
      <w:r>
        <w:t xml:space="preserve">compared attribute falls inside the difference set for that attribute in the qualification</w:t>
      </w:r>
      <w:r>
        <w:t xml:space="preserve"> </w:t>
      </w:r>
      <w:r>
        <w:t xml:space="preserve">protocol (</w:t>
      </w:r>
      <w:hyperlink w:anchor="sec-sdm">
        <w:r>
          <w:rPr>
            <w:rStyle w:val="Hyperlink"/>
          </w:rPr>
          <w:t xml:space="preserve">Section 5.1</w:t>
        </w:r>
      </w:hyperlink>
      <w:r>
        <w:t xml:space="preserve">). The criterion is an equivalence criterion and not a test for a</w:t>
      </w:r>
      <w:r>
        <w:t xml:space="preserve"> </w:t>
      </w:r>
      <w:r>
        <w:t xml:space="preserve">significant difference, because a failure to find a difference over a small number of runs</w:t>
      </w:r>
      <w:r>
        <w:t xml:space="preserve"> </w:t>
      </w:r>
      <w:r>
        <w:t xml:space="preserve">is not evidence that the two scales agree. A model that fails on any attribute is corrected</w:t>
      </w:r>
      <w:r>
        <w:t xml:space="preserve"> </w:t>
      </w:r>
      <w:r>
        <w:t xml:space="preserve">and requalified, and characterization does not begin until it passes. The qualification</w:t>
      </w:r>
      <w:r>
        <w:t xml:space="preserve"> </w:t>
      </w:r>
      <w:r>
        <w:t xml:space="preserve">report is issued under SOP-1001 and is referenced by PCR-006.</w:t>
      </w:r>
    </w:p>
    <w:p>
      <w:pPr>
        <w:pStyle w:val="BodyText"/>
      </w:pPr>
      <w:r>
        <w:t xml:space="preserve">A response model is adequate when the overall F test is significant at α = 0.05 and the</w:t>
      </w:r>
      <w:r>
        <w:t xml:space="preserve"> </w:t>
      </w:r>
      <w:r>
        <w:t xml:space="preserve">lack-of-fit test against pure error is not significant at the same level. The predicted R²</w:t>
      </w:r>
      <w:r>
        <w:t xml:space="preserve"> </w:t>
      </w:r>
      <w:r>
        <w:t xml:space="preserve">is reported alongside the adjusted R², and a large gap between the two is treated as</w:t>
      </w:r>
      <w:r>
        <w:t xml:space="preserve"> </w:t>
      </w:r>
      <w:r>
        <w:t xml:space="preserve">evidence of over-fitting even where the lack-of-fit test passes. No numerical threshold is</w:t>
      </w:r>
      <w:r>
        <w:t xml:space="preserve"> </w:t>
      </w:r>
      <w:r>
        <w:t xml:space="preserve">set for R² in this protocol, because no such threshold is grounded in prior data for this</w:t>
      </w:r>
      <w:r>
        <w:t xml:space="preserve"> </w:t>
      </w:r>
      <w:r>
        <w:t xml:space="preserve">step, and a value chosen for the occasion would carry no information. Where a model is</w:t>
      </w:r>
      <w:r>
        <w:t xml:space="preserve"> </w:t>
      </w:r>
      <w:r>
        <w:t xml:space="preserve">adequate but the fitted surface is flat against the precision of the assay (</w:t>
      </w:r>
      <w:hyperlink w:anchor="sec-assays">
        <w:r>
          <w:rPr>
            <w:rStyle w:val="Hyperlink"/>
          </w:rPr>
          <w:t xml:space="preserve">Section 5.3</w:t>
        </w:r>
      </w:hyperlink>
      <w:r>
        <w:t xml:space="preserve">),</w:t>
      </w:r>
      <w:r>
        <w:t xml:space="preserve"> </w:t>
      </w:r>
      <w:r>
        <w:t xml:space="preserve">the parameter is reported as inactive over the range studied and not as a small effect.</w:t>
      </w:r>
    </w:p>
    <w:p>
      <w:pPr>
        <w:pStyle w:val="BodyText"/>
      </w:pPr>
      <w:r>
        <w:t xml:space="preserve">The design space is declared as the set of conditions inside the characterized space</w:t>
      </w:r>
      <w:r>
        <w:t xml:space="preserve"> </w:t>
      </w:r>
      <w:r>
        <w:t xml:space="preserve">at which every response in</w:t>
      </w:r>
      <w:r>
        <w:t xml:space="preserve"> </w:t>
      </w:r>
      <w:hyperlink w:anchor="tbl-acc">
        <w:r>
          <w:rPr>
            <w:rStyle w:val="Hyperlink"/>
          </w:rPr>
          <w:t xml:space="preserve">Table 7</w:t>
        </w:r>
      </w:hyperlink>
      <w:r>
        <w:t xml:space="preserve"> </w:t>
      </w:r>
      <w:r>
        <w:t xml:space="preserve">is predicted to meet its criterion. It is declared</w:t>
      </w:r>
      <w:r>
        <w:t xml:space="preserve"> </w:t>
      </w:r>
      <w:r>
        <w:t xml:space="preserve">from the response-surface models. The screening models identify which factors are active</w:t>
      </w:r>
      <w:r>
        <w:t xml:space="preserve"> </w:t>
      </w:r>
      <w:r>
        <w:t xml:space="preserve">and they are not used to draw the boundary. The study passes on this criterion when the</w:t>
      </w:r>
      <w:r>
        <w:t xml:space="preserve"> </w:t>
      </w:r>
      <w:r>
        <w:t xml:space="preserve">normal operating ranges of the three multivariate parameters lie inside the design space,</w:t>
      </w:r>
      <w:r>
        <w:t xml:space="preserve"> </w:t>
      </w:r>
      <w:r>
        <w:t xml:space="preserve">and when the worst-case corners of the normal operating box lie inside it as well. For viral</w:t>
      </w:r>
      <w:r>
        <w:t xml:space="preserve"> </w:t>
      </w:r>
      <w:r>
        <w:t xml:space="preserve">safety the worst case is the corner at the highest pH, the shortest hold and the lowest</w:t>
      </w:r>
      <w:r>
        <w:t xml:space="preserve"> </w:t>
      </w:r>
      <w:r>
        <w:t xml:space="preserve">temperature. For product quality it is the corner at the lowest pH, the longest hold and</w:t>
      </w:r>
      <w:r>
        <w:t xml:space="preserve"> </w:t>
      </w:r>
      <w:r>
        <w:t xml:space="preserve">the highest temperature. Both are evaluated explicitly and reported whether or not they</w:t>
      </w:r>
      <w:r>
        <w:t xml:space="preserve"> </w:t>
      </w:r>
      <w:r>
        <w:t xml:space="preserve">pass.</w:t>
      </w:r>
    </w:p>
    <w:p>
      <w:pPr>
        <w:pStyle w:val="BodyText"/>
      </w:pPr>
      <w:r>
        <w:t xml:space="preserve">Parameter classification follows SOP-4001 and the criticality continuum of ICH Q9</w:t>
      </w:r>
      <w:r>
        <w:t xml:space="preserve"> </w:t>
      </w:r>
      <w:r>
        <w:t xml:space="preserve">(International Council for Harmonisation 2023b)</w:t>
      </w:r>
      <w:r>
        <w:t xml:space="preserve">. A parameter whose variation across its normal operating range moves a critical</w:t>
      </w:r>
      <w:r>
        <w:t xml:space="preserve"> </w:t>
      </w:r>
      <w:r>
        <w:t xml:space="preserve">quality attribute measurably is a critical process parameter (CPP). It is classified as a</w:t>
      </w:r>
      <w:r>
        <w:t xml:space="preserve"> </w:t>
      </w:r>
      <w:r>
        <w:t xml:space="preserve">well-controlled critical process parameter (WC-CPP) where the control system holds it</w:t>
      </w:r>
      <w:r>
        <w:t xml:space="preserve"> </w:t>
      </w:r>
      <w:r>
        <w:t xml:space="preserve">comfortably inside the range that keeps the attribute within its criterion, and it is</w:t>
      </w:r>
      <w:r>
        <w:t xml:space="preserve"> </w:t>
      </w:r>
      <w:r>
        <w:t xml:space="preserve">classified as a CPP without that qualification where the range is narrow relative to the</w:t>
      </w:r>
      <w:r>
        <w:t xml:space="preserve"> </w:t>
      </w:r>
      <w:r>
        <w:t xml:space="preserve">control capability</w:t>
      </w:r>
      <w:r>
        <w:t xml:space="preserve"> </w:t>
      </w:r>
      <w:r>
        <w:t xml:space="preserve">(CMC Biotech Working Group 2009)</w:t>
      </w:r>
      <w:r>
        <w:t xml:space="preserve">. A parameter with no demonstrated effect on any attribute</w:t>
      </w:r>
      <w:r>
        <w:t xml:space="preserve"> </w:t>
      </w:r>
      <w:r>
        <w:t xml:space="preserve">is a general process parameter (GPP). The classification is an output of the study and it</w:t>
      </w:r>
      <w:r>
        <w:t xml:space="preserve"> </w:t>
      </w:r>
      <w:r>
        <w:t xml:space="preserve">is reported in PCR-006, so this plan states the decision rule and stops there.</w:t>
      </w:r>
    </w:p>
    <w:p>
      <w:pPr>
        <w:pStyle w:val="BodyText"/>
      </w:pPr>
      <w:r>
        <w:t xml:space="preserve">Capability is reported for each attribute the step governs, as a one-sided Cpk from the</w:t>
      </w:r>
      <w:r>
        <w:t xml:space="preserve"> </w:t>
      </w:r>
      <w:r>
        <w:t xml:space="preserve">simulation described in</w:t>
      </w:r>
      <w:r>
        <w:t xml:space="preserve"> </w:t>
      </w:r>
      <w:hyperlink w:anchor="sec-stats">
        <w:r>
          <w:rPr>
            <w:rStyle w:val="Hyperlink"/>
          </w:rPr>
          <w:t xml:space="preserve">Section 5.5</w:t>
        </w:r>
      </w:hyperlink>
      <w:r>
        <w:t xml:space="preserve">. No minimum Cpk is set as an acceptance criterion in</w:t>
      </w:r>
      <w:r>
        <w:t xml:space="preserve"> </w:t>
      </w:r>
      <w:r>
        <w:t xml:space="preserve">this protocol. The capability figure is evidence about the margin the process holds at</w:t>
      </w:r>
      <w:r>
        <w:t xml:space="preserve"> </w:t>
      </w:r>
      <w:r>
        <w:t xml:space="preserve">commercial scale, and it is weighed against the criticality of the attribute when the</w:t>
      </w:r>
      <w:r>
        <w:t xml:space="preserve"> </w:t>
      </w:r>
      <w:r>
        <w:t xml:space="preserve">control strategy is defined in PCR-006 and consolidated in PCMR-001.</w:t>
      </w:r>
    </w:p>
    <w:p>
      <w:pPr>
        <w:pStyle w:val="BodyText"/>
      </w:pPr>
      <w:r>
        <w:t xml:space="preserve">A failed criterion is not handled by widening the design space. If the design space does</w:t>
      </w:r>
      <w:r>
        <w:t xml:space="preserve"> </w:t>
      </w:r>
      <w:r>
        <w:t xml:space="preserve">not contain a normal operating range, the range is narrowed or the set-point is moved, and the</w:t>
      </w:r>
      <w:r>
        <w:t xml:space="preserve"> </w:t>
      </w:r>
      <w:r>
        <w:t xml:space="preserve">change is justified in PCR-006 against the same models. If a model is not adequate, the</w:t>
      </w:r>
      <w:r>
        <w:t xml:space="preserve"> </w:t>
      </w:r>
      <w:r>
        <w:t xml:space="preserve">affected design is repeated once the cause is understood, and a deviation is raised and</w:t>
      </w:r>
      <w:r>
        <w:t xml:space="preserve"> </w:t>
      </w:r>
      <w:r>
        <w:t xml:space="preserve">dispositioned before the repeat is executed. Any departure from this plan is recorded and</w:t>
      </w:r>
      <w:r>
        <w:t xml:space="preserve"> </w:t>
      </w:r>
      <w:r>
        <w:t xml:space="preserve">assessed for its effect on the conclusions, whether or not it changed a result.</w:t>
      </w:r>
    </w:p>
    <w:bookmarkEnd w:id="36"/>
    <w:bookmarkStart w:id="37" w:name="sec-par"/>
    <w:p>
      <w:pPr>
        <w:pStyle w:val="Heading1"/>
      </w:pPr>
      <w:r>
        <w:t xml:space="preserve">8. Proven acceptable ranges (planned analysis)</w:t>
      </w:r>
    </w:p>
    <w:p>
      <w:pPr>
        <w:pStyle w:val="FirstParagraph"/>
      </w:pPr>
      <w:r>
        <w:t xml:space="preserve">A proven acceptable range is a range of one parameter over which one quality attribute</w:t>
      </w:r>
      <w:r>
        <w:t xml:space="preserve"> </w:t>
      </w:r>
      <w:r>
        <w:t xml:space="preserve">stays inside its acceptance criterion. The design space is the multivariate region</w:t>
      </w:r>
      <w:r>
        <w:t xml:space="preserve"> </w:t>
      </w:r>
      <w:r>
        <w:t xml:space="preserve">described in</w:t>
      </w:r>
      <w:r>
        <w:t xml:space="preserve"> </w:t>
      </w:r>
      <w:hyperlink w:anchor="sec-acceptance">
        <w:r>
          <w:rPr>
            <w:rStyle w:val="Hyperlink"/>
          </w:rPr>
          <w:t xml:space="preserve">Section 7</w:t>
        </w:r>
      </w:hyperlink>
      <w:r>
        <w:t xml:space="preserve">. The two are different objects, and PCR-006 will report both,</w:t>
      </w:r>
      <w:r>
        <w:t xml:space="preserve"> </w:t>
      </w:r>
      <w:r>
        <w:t xml:space="preserve">because a univariate range is what a batch record and an operator can work with, while the</w:t>
      </w:r>
      <w:r>
        <w:t xml:space="preserve"> </w:t>
      </w:r>
      <w:r>
        <w:t xml:space="preserve">design space is what the filing claims. Both are drawn from the response-surface models,</w:t>
      </w:r>
      <w:r>
        <w:t xml:space="preserve"> </w:t>
      </w:r>
      <w:r>
        <w:t xml:space="preserve">which carry the multivariate parameters only. The acceptable range of A-Mab concentration</w:t>
      </w:r>
      <w:r>
        <w:t xml:space="preserve"> </w:t>
      </w:r>
      <w:r>
        <w:t xml:space="preserve">comes from the univariate assessment instead (1).</w:t>
      </w:r>
    </w:p>
    <w:p>
      <w:pPr>
        <w:pStyle w:val="BodyText"/>
      </w:pPr>
      <w:r>
        <w:t xml:space="preserve">The acceptance basis is the same as in</w:t>
      </w:r>
      <w:r>
        <w:t xml:space="preserve"> </w:t>
      </w:r>
      <w:hyperlink w:anchor="tbl-acc">
        <w:r>
          <w:rPr>
            <w:rStyle w:val="Hyperlink"/>
          </w:rPr>
          <w:t xml:space="preserve">Table 7</w:t>
        </w:r>
      </w:hyperlink>
      <w:r>
        <w:t xml:space="preserve">. Aggregate content and acidic charge</w:t>
      </w:r>
      <w:r>
        <w:t xml:space="preserve"> </w:t>
      </w:r>
      <w:r>
        <w:t xml:space="preserve">variants are judged against the drug substance specification. The XMuLV LRF is judged</w:t>
      </w:r>
      <w:r>
        <w:t xml:space="preserve"> </w:t>
      </w:r>
      <w:r>
        <w:t xml:space="preserve">against the step floor back-calculated from the cumulative requirement, and it is never</w:t>
      </w:r>
      <w:r>
        <w:t xml:space="preserve"> </w:t>
      </w:r>
      <w:r>
        <w:t xml:space="preserve">judged against the cumulative figure itself, which no single step can meet.</w:t>
      </w:r>
    </w:p>
    <w:p>
      <w:pPr>
        <w:pStyle w:val="BodyText"/>
      </w:pPr>
      <w:r>
        <w:t xml:space="preserve">Two analyses are run for each combination of multivariate parameter and governed attribute.</w:t>
      </w:r>
      <w:r>
        <w:t xml:space="preserve"> </w:t>
      </w:r>
      <w:r>
        <w:t xml:space="preserve">The first holds the other parameters at their set-points and scans the parameter of</w:t>
      </w:r>
      <w:r>
        <w:t xml:space="preserve"> </w:t>
      </w:r>
      <w:r>
        <w:t xml:space="preserve">interest across its characterization range. That scan uses the fitted response-surface</w:t>
      </w:r>
      <w:r>
        <w:t xml:space="preserve"> </w:t>
      </w:r>
      <w:r>
        <w:t xml:space="preserve">model on a grid of 201 points, and the proven acceptable</w:t>
      </w:r>
      <w:r>
        <w:t xml:space="preserve"> </w:t>
      </w:r>
      <w:r>
        <w:t xml:space="preserve">range is the contiguous part of the scan, containing the operating point, over which the</w:t>
      </w:r>
      <w:r>
        <w:t xml:space="preserve"> </w:t>
      </w:r>
      <w:r>
        <w:t xml:space="preserve">predicted response meets its criterion.</w:t>
      </w:r>
    </w:p>
    <w:p>
      <w:pPr>
        <w:pStyle w:val="BodyText"/>
      </w:pPr>
      <w:r>
        <w:t xml:space="preserve">The second analysis propagates the normal operating ranges of the other parameters across</w:t>
      </w:r>
      <w:r>
        <w:t xml:space="preserve"> </w:t>
      </w:r>
      <w:r>
        <w:t xml:space="preserve">a grid of 81 points. At each grid point the other parameters are</w:t>
      </w:r>
      <w:r>
        <w:t xml:space="preserve"> </w:t>
      </w:r>
      <w:r>
        <w:t xml:space="preserve">drawn inside their normal operating ranges, the fitted model is evaluated, and model</w:t>
      </w:r>
      <w:r>
        <w:t xml:space="preserve"> </w:t>
      </w:r>
      <w:r>
        <w:t xml:space="preserve">residual variation is added, for 2,000 draws per point. The proven acceptable range from this</w:t>
      </w:r>
      <w:r>
        <w:t xml:space="preserve"> </w:t>
      </w:r>
      <w:r>
        <w:t xml:space="preserve">analysis is the part of the scan over which the 95 % predictive interval of the response</w:t>
      </w:r>
      <w:r>
        <w:t xml:space="preserve"> </w:t>
      </w:r>
      <w:r>
        <w:t xml:space="preserve">stays inside the criterion. The whole interval has to clear the limit and not only the</w:t>
      </w:r>
      <w:r>
        <w:t xml:space="preserve"> </w:t>
      </w:r>
      <w:r>
        <w:t xml:space="preserve">predicted mean, so this analysis is a robustness criterion, it is expected to give the</w:t>
      </w:r>
      <w:r>
        <w:t xml:space="preserve"> </w:t>
      </w:r>
      <w:r>
        <w:t xml:space="preserve">narrower of the two ranges, and it is the one the control strategy uses.</w:t>
      </w:r>
    </w:p>
    <w:p>
      <w:pPr>
        <w:pStyle w:val="BodyText"/>
      </w:pPr>
      <w:r>
        <w:t xml:space="preserve">Every proven acceptable range is reported as a two-panel figure, with the at-set-point</w:t>
      </w:r>
      <w:r>
        <w:t xml:space="preserve"> </w:t>
      </w:r>
      <w:r>
        <w:t xml:space="preserve">analysis on the left and the propagated analysis on the right. The parameter is on the</w:t>
      </w:r>
      <w:r>
        <w:t xml:space="preserve"> </w:t>
      </w:r>
      <w:r>
        <w:t xml:space="preserve">horizontal axis and the response on the vertical axis, the acceptance limit is drawn, the</w:t>
      </w:r>
      <w:r>
        <w:t xml:space="preserve"> </w:t>
      </w:r>
      <w:r>
        <w:t xml:space="preserve">acceptable part of the parameter range is shaded green, and the set-point and the normal</w:t>
      </w:r>
      <w:r>
        <w:t xml:space="preserve"> </w:t>
      </w:r>
      <w:r>
        <w:t xml:space="preserve">operating range are marked.</w:t>
      </w:r>
    </w:p>
    <w:p>
      <w:pPr>
        <w:pStyle w:val="BodyText"/>
      </w:pPr>
      <w:r>
        <w:t xml:space="preserve">Where the two analyses agree across the whole characterization range, the entire studied</w:t>
      </w:r>
      <w:r>
        <w:t xml:space="preserve"> </w:t>
      </w:r>
      <w:r>
        <w:t xml:space="preserve">range of that parameter is proven acceptable and is robust to co-variation of the other</w:t>
      </w:r>
      <w:r>
        <w:t xml:space="preserve"> </w:t>
      </w:r>
      <w:r>
        <w:t xml:space="preserve">parameters inside their normal operating ranges. Where the propagated analysis is</w:t>
      </w:r>
      <w:r>
        <w:t xml:space="preserve"> </w:t>
      </w:r>
      <w:r>
        <w:t xml:space="preserve">narrower, PCR-006 names the attribute that binds and states the margin remaining between</w:t>
      </w:r>
      <w:r>
        <w:t xml:space="preserve"> </w:t>
      </w:r>
      <w:r>
        <w:t xml:space="preserve">the normal operating range and the edge of the proven acceptable range. Where the whole</w:t>
      </w:r>
      <w:r>
        <w:t xml:space="preserve"> </w:t>
      </w:r>
      <w:r>
        <w:t xml:space="preserve">characterization range is proven acceptable for every attribute, the binding constraint on</w:t>
      </w:r>
      <w:r>
        <w:t xml:space="preserve"> </w:t>
      </w:r>
      <w:r>
        <w:t xml:space="preserve">the design space is the multivariate corner and not any univariate range, and PCR-006</w:t>
      </w:r>
      <w:r>
        <w:t xml:space="preserve"> </w:t>
      </w:r>
      <w:r>
        <w:t xml:space="preserve">states that explicitly instead of leaving the reader to infer it.</w:t>
      </w:r>
    </w:p>
    <w:p>
      <w:pPr>
        <w:pStyle w:val="BodyText"/>
      </w:pPr>
      <w:r>
        <w:t xml:space="preserve">Both analyses are bounded by the characterization ranges and by the fitted models. Neither</w:t>
      </w:r>
      <w:r>
        <w:t xml:space="preserve"> </w:t>
      </w:r>
      <w:r>
        <w:t xml:space="preserve">supports a claim about conditions outside the ranges studied. Neither replaces</w:t>
      </w:r>
      <w:r>
        <w:t xml:space="preserve"> </w:t>
      </w:r>
      <w:r>
        <w:t xml:space="preserve">confirmation at commercial scale, which belongs to Stage 2.</w:t>
      </w:r>
    </w:p>
    <w:bookmarkEnd w:id="37"/>
    <w:bookmarkStart w:id="38" w:name="sec-data"/>
    <w:p>
      <w:pPr>
        <w:pStyle w:val="Heading1"/>
      </w:pPr>
      <w:r>
        <w:t xml:space="preserve">9. Data management and integrity</w:t>
      </w:r>
    </w:p>
    <w:p>
      <w:pPr>
        <w:pStyle w:val="FirstParagraph"/>
      </w:pPr>
      <w:r>
        <w:t xml:space="preserve">Study records are created, reviewed and retained under the ALCOA+ principles, so that each</w:t>
      </w:r>
      <w:r>
        <w:t xml:space="preserve"> </w:t>
      </w:r>
      <w:r>
        <w:t xml:space="preserve">record is attributable, legible, contemporaneous, original, accurate, complete, consistent,</w:t>
      </w:r>
      <w:r>
        <w:t xml:space="preserve"> </w:t>
      </w:r>
      <w:r>
        <w:t xml:space="preserve">enduring and available.</w:t>
      </w:r>
    </w:p>
    <w:p>
      <w:pPr>
        <w:pStyle w:val="BodyText"/>
      </w:pPr>
      <w:r>
        <w:t xml:space="preserve">Raw data are captured in the validated laboratory systems that serve each method. The</w:t>
      </w:r>
      <w:r>
        <w:t xml:space="preserve"> </w:t>
      </w:r>
      <w:r>
        <w:t xml:space="preserve">process conditions of each run are recorded in the electronic batch record of the</w:t>
      </w:r>
      <w:r>
        <w:t xml:space="preserve"> </w:t>
      </w:r>
      <w:r>
        <w:t xml:space="preserve">scale-down system, and the pH, temperature and time traces are retained as the primary</w:t>
      </w:r>
      <w:r>
        <w:t xml:space="preserve"> </w:t>
      </w:r>
      <w:r>
        <w:t xml:space="preserve">record of the hold. Infectivity results are transferred from the assay system into the</w:t>
      </w:r>
      <w:r>
        <w:t xml:space="preserve"> </w:t>
      </w:r>
      <w:r>
        <w:t xml:space="preserve">study data set under second-person verification, because a titration endpoint is read</w:t>
      </w:r>
      <w:r>
        <w:t xml:space="preserve"> </w:t>
      </w:r>
      <w:r>
        <w:t xml:space="preserve">rather than integrated.</w:t>
      </w:r>
    </w:p>
    <w:p>
      <w:pPr>
        <w:pStyle w:val="BodyText"/>
      </w:pPr>
      <w:r>
        <w:t xml:space="preserve">The analysis data set is locked before any model is fitted and the lock is recorded. A</w:t>
      </w:r>
      <w:r>
        <w:t xml:space="preserve"> </w:t>
      </w:r>
      <w:r>
        <w:t xml:space="preserve">change after the lock is made as a new version with the reason recorded, and the analysis</w:t>
      </w:r>
      <w:r>
        <w:t xml:space="preserve"> </w:t>
      </w:r>
      <w:r>
        <w:t xml:space="preserve">is then repeated in full. Analysis scripts and their outputs are retained with the study</w:t>
      </w:r>
      <w:r>
        <w:t xml:space="preserve"> </w:t>
      </w:r>
      <w:r>
        <w:t xml:space="preserve">record, so that every table in PCR-006 can be regenerated from the raw data by a reviewer</w:t>
      </w:r>
      <w:r>
        <w:t xml:space="preserve"> </w:t>
      </w:r>
      <w:r>
        <w:t xml:space="preserve">who has only that record.</w:t>
      </w:r>
    </w:p>
    <w:p>
      <w:pPr>
        <w:pStyle w:val="BodyText"/>
      </w:pPr>
      <w:r>
        <w:t xml:space="preserve">Access to the systems is role based. Audit trails are enabled and are reviewed as part of</w:t>
      </w:r>
      <w:r>
        <w:t xml:space="preserve"> </w:t>
      </w:r>
      <w:r>
        <w:t xml:space="preserve">the study record review, and records are retained for the period the licence application</w:t>
      </w:r>
      <w:r>
        <w:t xml:space="preserve"> </w:t>
      </w:r>
      <w:r>
        <w:t xml:space="preserve">requires.</w:t>
      </w:r>
    </w:p>
    <w:bookmarkEnd w:id="38"/>
    <w:bookmarkStart w:id="40" w:name="sec-roles"/>
    <w:p>
      <w:pPr>
        <w:pStyle w:val="Heading1"/>
      </w:pPr>
      <w:r>
        <w:t xml:space="preserve">10. Roles and responsibilities</w:t>
      </w:r>
    </w:p>
    <w:p>
      <w:pPr>
        <w:pStyle w:val="FirstParagraph"/>
      </w:pPr>
      <w:r>
        <w:t xml:space="preserve">The study is executed by Process Development and Manufacturing Science and Technology,</w:t>
      </w:r>
      <w:r>
        <w:t xml:space="preserve"> </w:t>
      </w:r>
      <w:r>
        <w:t xml:space="preserve">with the clearance runs executed by the virology laboratory. Responsibilities are given in</w:t>
      </w:r>
      <w:r>
        <w:t xml:space="preserve"> </w:t>
      </w:r>
      <w:hyperlink w:anchor="tbl-roles">
        <w:r>
          <w:rPr>
            <w:rStyle w:val="Hyperlink"/>
          </w:rPr>
          <w:t xml:space="preserve">Table 8</w:t>
        </w:r>
      </w:hyperlink>
      <w:r>
        <w:t xml:space="preserve">. Each function approves this plan before execution and reviews the report</w:t>
      </w:r>
      <w:r>
        <w:t xml:space="preserve"> </w:t>
      </w:r>
      <w:r>
        <w:t xml:space="preserve">against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rol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Functions and their responsibilities for the study.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Responsibility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Owns this plan, qualifies the scale-down model, executes the process runs and authors PCR-006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Virology laboratory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Executes the spiking runs, performs the infectivity assays and issues the clearance results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Performs the size-variant and charge-variant testing and maintains the validated methods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Reviews the designs before execution, performs the model fitting and reviews the reported inferences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Confirms that the scale-down model and the studied ranges represent the receiving site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Approves this plan and the report, and dispositions any deviation from either</w:t>
                  </w:r>
                </w:p>
              </w:tc>
            </w:tr>
          </w:tbl>
          <w:bookmarkEnd w:id="39"/>
          <w:p/>
        </w:tc>
      </w:tr>
    </w:tbl>
    <w:bookmarkEnd w:id="40"/>
    <w:bookmarkStart w:id="42" w:name="sec-deliverables"/>
    <w:p>
      <w:pPr>
        <w:pStyle w:val="Heading1"/>
      </w:pPr>
      <w:r>
        <w:t xml:space="preserve">11. Deliverables and schedule</w:t>
      </w:r>
    </w:p>
    <w:p>
      <w:pPr>
        <w:pStyle w:val="FirstParagraph"/>
      </w:pPr>
      <w:r>
        <w:t xml:space="preserve">The deliverable of this plan is PCR-006, the process characterization report for the</w:t>
      </w:r>
      <w:r>
        <w:t xml:space="preserve"> </w:t>
      </w:r>
      <w:r>
        <w:t xml:space="preserve">low-pH hold. The studies run in the four phases given in</w:t>
      </w:r>
      <w:r>
        <w:t xml:space="preserve"> </w:t>
      </w:r>
      <w:hyperlink w:anchor="tbl-phases">
        <w:r>
          <w:rPr>
            <w:rStyle w:val="Hyperlink"/>
          </w:rPr>
          <w:t xml:space="preserve">Table 9</w:t>
        </w:r>
      </w:hyperlink>
      <w:r>
        <w:t xml:space="preserve">, in that order. No</w:t>
      </w:r>
      <w:r>
        <w:t xml:space="preserve"> </w:t>
      </w:r>
      <w:r>
        <w:t xml:space="preserve">calendar dates are fixed here, because each phase begins only when the preceding one has</w:t>
      </w:r>
      <w:r>
        <w:t xml:space="preserve"> </w:t>
      </w:r>
      <w:r>
        <w:t xml:space="preserve">been reviewed and released.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tbl-phas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Study phases and their outputs.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Phase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Activity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Scale-down model qualification against the commercial-scale record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Qualification report under SOP-1001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Screening study, executed in randomised order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Screening data set and effect estimates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Response-surface study, executed in randomised order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Response-surface data set and fitted models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Univariate assessment, analysis, capability simulation and reporting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PCR-006, including the design space and the proven acceptable ranges</w:t>
                  </w:r>
                </w:p>
              </w:tc>
            </w:tr>
          </w:tbl>
          <w:bookmarkEnd w:id="41"/>
          <w:p/>
        </w:tc>
      </w:tr>
    </w:tbl>
    <w:p>
      <w:pPr>
        <w:pStyle w:val="BodyText"/>
      </w:pPr>
      <w:r>
        <w:t xml:space="preserve">The report is issued into the characterization package and rolls up into PCMR-001. Where a</w:t>
      </w:r>
      <w:r>
        <w:t xml:space="preserve"> </w:t>
      </w:r>
      <w:r>
        <w:t xml:space="preserve">phase produces a result that changes the design of a later phase, the change is documented</w:t>
      </w:r>
      <w:r>
        <w:t xml:space="preserve"> </w:t>
      </w:r>
      <w:r>
        <w:t xml:space="preserve">before that phase begins.</w:t>
      </w:r>
    </w:p>
    <w:bookmarkEnd w:id="42"/>
    <w:bookmarkStart w:id="43" w:name="sec-risks"/>
    <w:p>
      <w:pPr>
        <w:pStyle w:val="Heading1"/>
      </w:pPr>
      <w:r>
        <w:t xml:space="preserve">12. Risks and assumptions</w:t>
      </w:r>
    </w:p>
    <w:p>
      <w:pPr>
        <w:pStyle w:val="FirstParagraph"/>
      </w:pPr>
      <w:r>
        <w:t xml:space="preserve">Four risks could invalidate part of the study, and each has a defined response. They are</w:t>
      </w:r>
      <w:r>
        <w:t xml:space="preserve"> </w:t>
      </w:r>
      <w:r>
        <w:t xml:space="preserve">stated here so that the response is agreed before the risk materialises.</w:t>
      </w:r>
    </w:p>
    <w:p>
      <w:pPr>
        <w:pStyle w:val="BodyText"/>
      </w:pPr>
      <w:r>
        <w:t xml:space="preserve">Titration at small scale reaches the target pH faster than at commercial scale, so a</w:t>
      </w:r>
      <w:r>
        <w:t xml:space="preserve"> </w:t>
      </w:r>
      <w:r>
        <w:t xml:space="preserve">commercial batch spends longer at intermediate pH before its hold clock starts. The</w:t>
      </w:r>
      <w:r>
        <w:t xml:space="preserve"> </w:t>
      </w:r>
      <w:r>
        <w:t xml:space="preserve">scale-down model would then understate the total acid exposure of the step, and with it</w:t>
      </w:r>
      <w:r>
        <w:t xml:space="preserve"> </w:t>
      </w:r>
      <w:r>
        <w:t xml:space="preserve">the aggregate burden. The response is to match the titration profile during qualification,</w:t>
      </w:r>
      <w:r>
        <w:t xml:space="preserve"> </w:t>
      </w:r>
      <w:r>
        <w:t xml:space="preserve">to record the time to target pH for every run, and to treat a run whose titration time</w:t>
      </w:r>
      <w:r>
        <w:t xml:space="preserve"> </w:t>
      </w:r>
      <w:r>
        <w:t xml:space="preserve">falls outside the qualified profile as a deviation.</w:t>
      </w:r>
    </w:p>
    <w:p>
      <w:pPr>
        <w:pStyle w:val="BodyText"/>
      </w:pPr>
      <w:r>
        <w:t xml:space="preserve">The virus stock adds its own matrix to the load, and that matrix can interfere with the</w:t>
      </w:r>
      <w:r>
        <w:t xml:space="preserve"> </w:t>
      </w:r>
      <w:r>
        <w:t xml:space="preserve">infectivity assay or be cytotoxic at low dilution. The response is to hold the spike to a</w:t>
      </w:r>
      <w:r>
        <w:t xml:space="preserve"> </w:t>
      </w:r>
      <w:r>
        <w:t xml:space="preserve">small fraction of the load volume, and to run cytotoxicity and interference controls with</w:t>
      </w:r>
      <w:r>
        <w:t xml:space="preserve"> </w:t>
      </w:r>
      <w:r>
        <w:t xml:space="preserve">every assay, so that an apparent reduction caused by the assay is distinguishable from one</w:t>
      </w:r>
      <w:r>
        <w:t xml:space="preserve"> </w:t>
      </w:r>
      <w:r>
        <w:t xml:space="preserve">caused by the hold.</w:t>
      </w:r>
    </w:p>
    <w:p>
      <w:pPr>
        <w:pStyle w:val="BodyText"/>
      </w:pPr>
      <w:r>
        <w:t xml:space="preserve">The study needs Protein A eluate that represents commercial material. If the eluate</w:t>
      </w:r>
      <w:r>
        <w:t xml:space="preserve"> </w:t>
      </w:r>
      <w:r>
        <w:t xml:space="preserve">available differs in concentration or in impurity burden, the aggregation responses will</w:t>
      </w:r>
      <w:r>
        <w:t xml:space="preserve"> </w:t>
      </w:r>
      <w:r>
        <w:t xml:space="preserve">shift and the fitted surfaces will describe the wrong load. The response is to record the</w:t>
      </w:r>
      <w:r>
        <w:t xml:space="preserve"> </w:t>
      </w:r>
      <w:r>
        <w:t xml:space="preserve">load attributes for every run and compare them against the release record of the eluate,</w:t>
      </w:r>
      <w:r>
        <w:t xml:space="preserve"> </w:t>
      </w:r>
      <w:r>
        <w:t xml:space="preserve">and to invalidate the affected runs where the load is not representative.</w:t>
      </w:r>
    </w:p>
    <w:p>
      <w:pPr>
        <w:pStyle w:val="BodyText"/>
      </w:pPr>
      <w:r>
        <w:t xml:space="preserve">Inactivation may be complete at most design points, in which case the log reduction factor</w:t>
      </w:r>
      <w:r>
        <w:t xml:space="preserve"> </w:t>
      </w:r>
      <w:r>
        <w:t xml:space="preserve">is censored at the limit of quantitation and the models cannot estimate an effect from it.</w:t>
      </w:r>
      <w:r>
        <w:t xml:space="preserve"> </w:t>
      </w:r>
      <w:r>
        <w:t xml:space="preserve">The response is to maximise the spike titre within the constraint on spike volume, and to</w:t>
      </w:r>
      <w:r>
        <w:t xml:space="preserve"> </w:t>
      </w:r>
      <w:r>
        <w:t xml:space="preserve">treat a censored result as a bound rather than as a value in the analysis. The low-pH,</w:t>
      </w:r>
      <w:r>
        <w:t xml:space="preserve"> </w:t>
      </w:r>
      <w:r>
        <w:t xml:space="preserve">long-hold corner of the design is the one most likely to be censored.</w:t>
      </w:r>
    </w:p>
    <w:p>
      <w:pPr>
        <w:pStyle w:val="BodyText"/>
      </w:pPr>
      <w:r>
        <w:t xml:space="preserve">Three assumptions underlie the plan. The SDM represents the commercial hold once it is</w:t>
      </w:r>
      <w:r>
        <w:t xml:space="preserve"> </w:t>
      </w:r>
      <w:r>
        <w:t xml:space="preserve">qualified under SOP-1001. The Protein A eluate used as load represents</w:t>
      </w:r>
      <w:r>
        <w:t xml:space="preserve"> </w:t>
      </w:r>
      <w:r>
        <w:t xml:space="preserve">commercial material. The clearance credited to the other two enveloped-virus steps in the</w:t>
      </w:r>
      <w:r>
        <w:t xml:space="preserve"> </w:t>
      </w:r>
      <w:r>
        <w:t xml:space="preserve">modular claim is achieved, and those two steps (PCP-008 and PCP-009) carry the evidence for</w:t>
      </w:r>
      <w:r>
        <w:t xml:space="preserve"> </w:t>
      </w:r>
      <w:r>
        <w:t xml:space="preserve">it. If the third assumption fails, the floor for this step rises and the design space</w:t>
      </w:r>
      <w:r>
        <w:t xml:space="preserve"> </w:t>
      </w:r>
      <w:r>
        <w:t xml:space="preserve">reported in PCR-006 is reassessed against the new floor.</w:t>
      </w:r>
    </w:p>
    <w:bookmarkEnd w:id="43"/>
    <w:bookmarkStart w:id="44" w:name="sec-approvals"/>
    <w:p>
      <w:pPr>
        <w:pStyle w:val="Heading1"/>
      </w:pPr>
      <w:r>
        <w:t xml:space="preserve">13. Approvals</w:t>
      </w:r>
    </w:p>
    <w:p>
      <w:pPr>
        <w:pStyle w:val="FirstParagraph"/>
      </w:pPr>
      <w:r>
        <w:t xml:space="preserve">This plan takes effect when it has been approved by the functions listed in</w:t>
      </w:r>
      <w:r>
        <w:t xml:space="preserve"> </w:t>
      </w:r>
      <w:hyperlink w:anchor="tbl-appr">
        <w:r>
          <w:rPr>
            <w:rStyle w:val="Hyperlink"/>
          </w:rPr>
          <w:t xml:space="preserve">Table 1</w:t>
        </w:r>
      </w:hyperlink>
      <w:r>
        <w:t xml:space="preserve">.</w:t>
      </w:r>
      <w:r>
        <w:t xml:space="preserve"> </w:t>
      </w:r>
      <w:r>
        <w:t xml:space="preserve">Approval signifies that the design, the acceptance criteria and the planned analysis are</w:t>
      </w:r>
      <w:r>
        <w:t xml:space="preserve"> </w:t>
      </w:r>
      <w:r>
        <w:t xml:space="preserve">agreed before execution starts. A change to any acceptance criterion after approval</w:t>
      </w:r>
      <w:r>
        <w:t xml:space="preserve"> </w:t>
      </w:r>
      <w:r>
        <w:t xml:space="preserve">requires a revision of this plan and re-approval by the same functions.</w:t>
      </w:r>
    </w:p>
    <w:bookmarkEnd w:id="44"/>
    <w:bookmarkStart w:id="46" w:name="sec-appa"/>
    <w:p>
      <w:pPr>
        <w:pStyle w:val="Heading1"/>
      </w:pPr>
      <w:r>
        <w:t xml:space="preserve">14. Appendix A — Planned screening design matrix</w:t>
      </w:r>
    </w:p>
    <w:p>
      <w:pPr>
        <w:pStyle w:val="FirstParagraph"/>
      </w:pPr>
      <w:r>
        <w:t xml:space="preserve">The coded matrix below is the screening design as planned. Coded −1 and +1 are the low and</w:t>
      </w:r>
      <w:r>
        <w:t xml:space="preserve"> </w:t>
      </w:r>
      <w:r>
        <w:t xml:space="preserve">the high edge of the characterization range of each factor, and 0 is the centre of that</w:t>
      </w:r>
      <w:r>
        <w:t xml:space="preserve"> </w:t>
      </w:r>
      <w:r>
        <w:t xml:space="preserve">range. The response columns are absent because no data exist at the time of approval, and</w:t>
      </w:r>
      <w:r>
        <w:t xml:space="preserve"> </w:t>
      </w:r>
      <w:r>
        <w:t xml:space="preserve">they are reported in PCR-006.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tbl-app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Planned screening design matrix, coded.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45"/>
          <w:p/>
        </w:tc>
      </w:tr>
    </w:tbl>
    <w:bookmarkEnd w:id="46"/>
    <w:bookmarkStart w:id="48" w:name="sec-appb"/>
    <w:p>
      <w:pPr>
        <w:pStyle w:val="Heading1"/>
      </w:pPr>
      <w:r>
        <w:t xml:space="preserve">15. Appendix B — Planned response-surface design matrix</w:t>
      </w:r>
    </w:p>
    <w:p>
      <w:pPr>
        <w:pStyle w:val="FirstParagraph"/>
      </w:pPr>
      <w:r>
        <w:t xml:space="preserve">The coded matrix below is the response-surface design as planned, in the same coding as</w:t>
      </w:r>
      <w:r>
        <w:t xml:space="preserve"> </w:t>
      </w:r>
      <w:hyperlink w:anchor="tbl-appa">
        <w:r>
          <w:rPr>
            <w:rStyle w:val="Hyperlink"/>
          </w:rPr>
          <w:t xml:space="preserve">Table 10</w:t>
        </w:r>
      </w:hyperlink>
      <w:r>
        <w:t xml:space="preserve">. The axial runs sit on the faces of the cube, so every planned run lies inside</w:t>
      </w:r>
      <w:r>
        <w:t xml:space="preserve"> </w:t>
      </w:r>
      <w:r>
        <w:t xml:space="preserve">the characterization ranges given in</w:t>
      </w:r>
      <w:r>
        <w:t xml:space="preserve"> </w:t>
      </w:r>
      <w:hyperlink w:anchor="tbl-params">
        <w:r>
          <w:rPr>
            <w:rStyle w:val="Hyperlink"/>
          </w:rPr>
          <w:t xml:space="preserve">Table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tbl-app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Planned response-surface design matrix, coded.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47"/>
          <w:p/>
        </w:tc>
      </w:tr>
    </w:tbl>
    <w:bookmarkEnd w:id="48"/>
    <w:bookmarkStart w:id="54" w:name="references"/>
    <w:p>
      <w:pPr>
        <w:pStyle w:val="Heading1"/>
      </w:pPr>
      <w:r>
        <w:t xml:space="preserve">References</w:t>
      </w:r>
    </w:p>
    <w:bookmarkStart w:id="53" w:name="refs"/>
    <w:bookmarkStart w:id="49" w:name="ref-amab2009"/>
    <w:p>
      <w:pPr>
        <w:pStyle w:val="Bibliography"/>
      </w:pPr>
      <w:r>
        <w:t xml:space="preserve">CMC Biotech Working Group. 2009.</w:t>
      </w:r>
      <w:r>
        <w:t xml:space="preserve"> </w:t>
      </w:r>
      <w:r>
        <w:rPr>
          <w:i/>
          <w:iCs/>
        </w:rPr>
        <w:t xml:space="preserve">A-Mab: A Case Study in Bioprocess Development</w:t>
      </w:r>
      <w:r>
        <w:t xml:space="preserve">. CASSS.</w:t>
      </w:r>
    </w:p>
    <w:bookmarkEnd w:id="49"/>
    <w:bookmarkStart w:id="50" w:name="ref-ichq5a"/>
    <w:p>
      <w:pPr>
        <w:pStyle w:val="Bibliography"/>
      </w:pPr>
      <w:r>
        <w:t xml:space="preserve">International Council for Harmonisation. 2023a.</w:t>
      </w:r>
      <w:r>
        <w:t xml:space="preserve"> </w:t>
      </w:r>
      <w:r>
        <w:rPr>
          <w:i/>
          <w:iCs/>
        </w:rPr>
        <w:t xml:space="preserve">ICH Q5A(R2): Viral Safety Evaluation of Biotechnology Products Derived from Cell Lines of Human or Animal Origin</w:t>
      </w:r>
      <w:r>
        <w:t xml:space="preserve">. ICH.</w:t>
      </w:r>
    </w:p>
    <w:bookmarkEnd w:id="50"/>
    <w:bookmarkStart w:id="51" w:name="ref-ichq9"/>
    <w:p>
      <w:pPr>
        <w:pStyle w:val="Bibliography"/>
      </w:pPr>
      <w:r>
        <w:t xml:space="preserve">International Council for Harmonisation. 2023b.</w:t>
      </w:r>
      <w:r>
        <w:t xml:space="preserve"> </w:t>
      </w:r>
      <w:r>
        <w:rPr>
          <w:i/>
          <w:iCs/>
        </w:rPr>
        <w:t xml:space="preserve">ICH Q9(R1): Quality Risk Management</w:t>
      </w:r>
      <w:r>
        <w:t xml:space="preserve">. ICH.</w:t>
      </w:r>
    </w:p>
    <w:bookmarkEnd w:id="51"/>
    <w:bookmarkStart w:id="52" w:name="ref-fda2011"/>
    <w:p>
      <w:pPr>
        <w:pStyle w:val="Bibliography"/>
      </w:pPr>
      <w:r>
        <w:t xml:space="preserve">U.S. Food and Drug Administration. 2011.</w:t>
      </w:r>
      <w:r>
        <w:t xml:space="preserve"> </w:t>
      </w:r>
      <w:r>
        <w:rPr>
          <w:i/>
          <w:iCs/>
        </w:rPr>
        <w:t xml:space="preserve">Guidance for Industry: Process Validation — General Principles and Practices</w:t>
      </w:r>
      <w:r>
        <w:t xml:space="preserve">. FDA.</w:t>
      </w:r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534">
    <w:nsid w:val="00A99534"/>
    <w:multiLevelType w:val="multilevel"/>
    <w:lvl w:ilvl="0">
      <w:start w:val="4"/>
      <w:numFmt w:val="lowerRoman"/>
      <w:lvlText w:val="(%1)"/>
      <w:lvlJc w:val="left"/>
      <w:pPr>
        <w:ind w:left="720" w:hanging="360"/>
      </w:pPr>
    </w:lvl>
    <w:lvl w:ilvl="1">
      <w:start w:val="4"/>
      <w:numFmt w:val="lowerRoman"/>
      <w:lvlText w:val="(%2)"/>
      <w:lvlJc w:val="left"/>
      <w:pPr>
        <w:ind w:left="1440" w:hanging="360"/>
      </w:pPr>
    </w:lvl>
    <w:lvl w:ilvl="2">
      <w:start w:val="4"/>
      <w:numFmt w:val="lowerRoman"/>
      <w:lvlText w:val="(%3)"/>
      <w:lvlJc w:val="left"/>
      <w:pPr>
        <w:ind w:left="2160" w:hanging="360"/>
      </w:pPr>
    </w:lvl>
    <w:lvl w:ilvl="3">
      <w:start w:val="4"/>
      <w:numFmt w:val="lowerRoman"/>
      <w:lvlText w:val="(%4)"/>
      <w:lvlJc w:val="left"/>
      <w:pPr>
        <w:ind w:left="2880" w:hanging="360"/>
      </w:pPr>
    </w:lvl>
    <w:lvl w:ilvl="4">
      <w:start w:val="4"/>
      <w:numFmt w:val="lowerRoman"/>
      <w:lvlText w:val="(%5)"/>
      <w:lvlJc w:val="left"/>
      <w:pPr>
        <w:ind w:left="3600" w:hanging="360"/>
      </w:pPr>
    </w:lvl>
    <w:lvl w:ilvl="5">
      <w:start w:val="4"/>
      <w:numFmt w:val="lowerRoman"/>
      <w:lvlText w:val="(%6)"/>
      <w:lvlJc w:val="left"/>
      <w:pPr>
        <w:ind w:left="4320" w:hanging="360"/>
      </w:pPr>
    </w:lvl>
    <w:lvl w:ilvl="6">
      <w:start w:val="4"/>
      <w:numFmt w:val="lowerRoman"/>
      <w:lvlText w:val="(%7)"/>
      <w:lvlJc w:val="left"/>
      <w:pPr>
        <w:ind w:left="5040" w:hanging="360"/>
      </w:pPr>
    </w:lvl>
    <w:lvl w:ilvl="7">
      <w:start w:val="4"/>
      <w:numFmt w:val="lowerRoman"/>
      <w:lvlText w:val="(%8)"/>
      <w:lvlJc w:val="left"/>
      <w:pPr>
        <w:ind w:left="5760" w:hanging="360"/>
      </w:pPr>
    </w:lvl>
    <w:lvl w:ilvl="8">
      <w:start w:val="4"/>
      <w:numFmt w:val="lowerRoman"/>
      <w:lvlText w:val="(%9)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7322">
    <w:nsid w:val="0A997322"/>
    <w:multiLevelType w:val="multilevel"/>
    <w:lvl w:ilvl="0">
      <w:start w:val="22"/>
      <w:numFmt w:val="lowerLetter"/>
      <w:lvlText w:val="(%1)"/>
      <w:lvlJc w:val="left"/>
      <w:pPr>
        <w:ind w:left="720" w:hanging="360"/>
      </w:pPr>
    </w:lvl>
    <w:lvl w:ilvl="1">
      <w:start w:val="22"/>
      <w:numFmt w:val="lowerLetter"/>
      <w:lvlText w:val="(%2)"/>
      <w:lvlJc w:val="left"/>
      <w:pPr>
        <w:ind w:left="1440" w:hanging="360"/>
      </w:pPr>
    </w:lvl>
    <w:lvl w:ilvl="2">
      <w:start w:val="22"/>
      <w:numFmt w:val="lowerLetter"/>
      <w:lvlText w:val="(%3)"/>
      <w:lvlJc w:val="left"/>
      <w:pPr>
        <w:ind w:left="2160" w:hanging="360"/>
      </w:pPr>
    </w:lvl>
    <w:lvl w:ilvl="3">
      <w:start w:val="22"/>
      <w:numFmt w:val="lowerLetter"/>
      <w:lvlText w:val="(%4)"/>
      <w:lvlJc w:val="left"/>
      <w:pPr>
        <w:ind w:left="2880" w:hanging="360"/>
      </w:pPr>
    </w:lvl>
    <w:lvl w:ilvl="4">
      <w:start w:val="22"/>
      <w:numFmt w:val="lowerLetter"/>
      <w:lvlText w:val="(%5)"/>
      <w:lvlJc w:val="left"/>
      <w:pPr>
        <w:ind w:left="3600" w:hanging="360"/>
      </w:pPr>
    </w:lvl>
    <w:lvl w:ilvl="5">
      <w:start w:val="22"/>
      <w:numFmt w:val="lowerLetter"/>
      <w:lvlText w:val="(%6)"/>
      <w:lvlJc w:val="left"/>
      <w:pPr>
        <w:ind w:left="4320" w:hanging="360"/>
      </w:pPr>
    </w:lvl>
    <w:lvl w:ilvl="6">
      <w:start w:val="22"/>
      <w:numFmt w:val="lowerLetter"/>
      <w:lvlText w:val="(%7)"/>
      <w:lvlJc w:val="left"/>
      <w:pPr>
        <w:ind w:left="5040" w:hanging="360"/>
      </w:pPr>
    </w:lvl>
    <w:lvl w:ilvl="7">
      <w:start w:val="22"/>
      <w:numFmt w:val="lowerLetter"/>
      <w:lvlText w:val="(%8)"/>
      <w:lvlJc w:val="left"/>
      <w:pPr>
        <w:ind w:left="5760" w:hanging="360"/>
      </w:pPr>
    </w:lvl>
    <w:lvl w:ilvl="8">
      <w:start w:val="22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5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322"/>
    <w:lvlOverride w:ilvl="0">
      <w:startOverride w:val="22"/>
    </w:lvlOverride>
    <w:lvlOverride w:ilvl="1">
      <w:startOverride w:val="22"/>
    </w:lvlOverride>
    <w:lvlOverride w:ilvl="2">
      <w:startOverride w:val="22"/>
    </w:lvlOverride>
    <w:lvlOverride w:ilvl="3">
      <w:startOverride w:val="22"/>
    </w:lvlOverride>
    <w:lvlOverride w:ilvl="4">
      <w:startOverride w:val="22"/>
    </w:lvlOverride>
    <w:lvlOverride w:ilvl="5">
      <w:startOverride w:val="22"/>
    </w:lvlOverride>
    <w:lvlOverride w:ilvl="6">
      <w:startOverride w:val="22"/>
    </w:lvlOverride>
    <w:lvlOverride w:ilvl="7">
      <w:startOverride w:val="22"/>
    </w:lvlOverride>
    <w:lvlOverride w:ilvl="8">
      <w:startOverride w:val="2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 Characterization Plan</dc:title>
  <dc:creator>Process Development / Manufacturing Science &amp; Technology (MSAT)</dc:creator>
  <cp:keywords/>
  <dcterms:created xsi:type="dcterms:W3CDTF">2026-08-02T19:04:16Z</dcterms:created>
  <dcterms:modified xsi:type="dcterms:W3CDTF">2026-08-02T19:04:16Z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2026-07-24</vt:lpwstr>
  </property>
  <property fmtid="{D5CDD505-2E9C-101B-9397-08002B2CF9AE}" pid="7" name="execute">
    <vt:lpwstr/>
  </property>
  <property fmtid="{D5CDD505-2E9C-101B-9397-08002B2CF9AE}" pid="8" name="fig-cap-location">
    <vt:lpwstr>bottom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jupyter">
    <vt:lpwstr>python3</vt:lpwstr>
  </property>
  <property fmtid="{D5CDD505-2E9C-101B-9397-08002B2CF9AE}" pid="13" name="labels">
    <vt:lpwstr/>
  </property>
  <property fmtid="{D5CDD505-2E9C-101B-9397-08002B2CF9AE}" pid="14" name="subtitle">
    <vt:lpwstr>A-Mab Drug Substance — Low-pH Viral Inactivation (Step 6) — PCP-006</vt:lpwstr>
  </property>
  <property fmtid="{D5CDD505-2E9C-101B-9397-08002B2CF9AE}" pid="15" name="tbl-cap-location">
    <vt:lpwstr>top</vt:lpwstr>
  </property>
  <property fmtid="{D5CDD505-2E9C-101B-9397-08002B2CF9AE}" pid="16" name="toc-title">
    <vt:lpwstr>Table of contents</vt:lpwstr>
  </property>
</Properties>
</file>