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Anion Exchange Chromatography (Step 8) — PCP-008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Anion Exchange Chromatography (Step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laboratory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 and accurate, plus complete,</w:t>
      </w:r>
      <w:r>
        <w:t xml:space="preserve"> </w:t>
      </w:r>
      <w:r>
        <w:t xml:space="preserve">consistent, enduring and available; AMV, analytical method validation; Cpk, one-sided</w:t>
      </w:r>
      <w:r>
        <w:t xml:space="preserve"> </w:t>
      </w:r>
      <w:r>
        <w:t xml:space="preserve">process capability index; CQA, critical quality attribute; DoE, design of experiments; DS,</w:t>
      </w:r>
      <w:r>
        <w:t xml:space="preserve"> </w:t>
      </w:r>
      <w:r>
        <w:t xml:space="preserve">drug substance; ELISA, enzyme-linked immunosorbent assay; HCP, host cell protein; icIEF,</w:t>
      </w:r>
      <w:r>
        <w:t xml:space="preserve"> </w:t>
      </w:r>
      <w:r>
        <w:t xml:space="preserve">imaged capillary isoelectric focusing; LOQ, limit of quantitation; LRF, log reduction</w:t>
      </w:r>
      <w:r>
        <w:t xml:space="preserve"> </w:t>
      </w:r>
      <w:r>
        <w:t xml:space="preserve">factor; MSAT, Manufacturing Science and Technology; MVM, minute virus of mice; NOR, normal</w:t>
      </w:r>
      <w:r>
        <w:t xml:space="preserve"> </w:t>
      </w:r>
      <w:r>
        <w:t xml:space="preserve">operating range; PRESS, predicted residual error sum of squares; qPCR, quantitative</w:t>
      </w:r>
      <w:r>
        <w:t xml:space="preserve"> </w:t>
      </w:r>
      <w:r>
        <w:t xml:space="preserve">polymerase chain reaction; RSM, response surface methodology; SOP, standard operating</w:t>
      </w:r>
      <w:r>
        <w:t xml:space="preserve"> </w:t>
      </w:r>
      <w:r>
        <w:t xml:space="preserve">procedure; TCID50, fifty percent tissue culture infectious dose; XMuLV, xenotropic murine</w:t>
      </w:r>
      <w:r>
        <w:t xml:space="preserve"> </w:t>
      </w:r>
      <w:r>
        <w:t xml:space="preserve">leukaemia virus.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Anion exchange chromatography is the final chromatographic step of the A-Mab drug</w:t>
      </w:r>
      <w:r>
        <w:t xml:space="preserve"> </w:t>
      </w:r>
      <w:r>
        <w:t xml:space="preserve">substance process, and it is operated in the flow-through mode. This plan defines the</w:t>
      </w:r>
      <w:r>
        <w:t xml:space="preserve"> </w:t>
      </w:r>
      <w:r>
        <w:t xml:space="preserve">process characterization study for that step, and it is written before the study is</w:t>
      </w:r>
      <w:r>
        <w:t xml:space="preserve"> </w:t>
      </w:r>
      <w:r>
        <w:t xml:space="preserve">executed, so it states what will be done and how the result will be judged, and it states</w:t>
      </w:r>
      <w:r>
        <w:t xml:space="preserve"> </w:t>
      </w:r>
      <w:r>
        <w:t xml:space="preserve">no findings.</w:t>
      </w:r>
    </w:p>
    <w:p>
      <w:pPr>
        <w:pStyle w:val="BodyText"/>
      </w:pPr>
      <w:r>
        <w:t xml:space="preserve">The study provides the Stage 1 process design record for the anion exchange step under the</w:t>
      </w:r>
      <w:r>
        <w:t xml:space="preserve"> </w:t>
      </w:r>
      <w:r>
        <w:t xml:space="preserve">lifecycle approach to process validation</w:t>
      </w:r>
      <w:r>
        <w:t xml:space="preserve"> </w:t>
      </w:r>
      <w:r>
        <w:t xml:space="preserve">(U.S. Food and Drug Administration 2011)</w:t>
      </w:r>
      <w:r>
        <w:t xml:space="preserve">, and it supports the transfer of the</w:t>
      </w:r>
      <w:r>
        <w:t xml:space="preserve"> </w:t>
      </w:r>
      <w:r>
        <w:t xml:space="preserve">drug substance process from the development site to the commercial site (PTP-001). The</w:t>
      </w:r>
      <w:r>
        <w:t xml:space="preserve"> </w:t>
      </w:r>
      <w:r>
        <w:t xml:space="preserve">ranges justified here are the ranges that will be carried into process performance</w:t>
      </w:r>
      <w:r>
        <w:t xml:space="preserve"> </w:t>
      </w:r>
      <w:r>
        <w:t xml:space="preserve">qualification.</w:t>
      </w:r>
    </w:p>
    <w:p>
      <w:pPr>
        <w:pStyle w:val="BodyText"/>
      </w:pPr>
      <w:r>
        <w:t xml:space="preserve">The plan covers the 5 process parameters of the step (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), the</w:t>
      </w:r>
      <w:r>
        <w:t xml:space="preserve"> </w:t>
      </w:r>
      <w:r>
        <w:t xml:space="preserve">quality attributes the step governs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), and the qualified scale-down model on</w:t>
      </w:r>
      <w:r>
        <w:t xml:space="preserve"> </w:t>
      </w:r>
      <w:r>
        <w:t xml:space="preserve">which every study run will be performed. The 4 measured responses are</w:t>
      </w:r>
      <w:r>
        <w:t xml:space="preserve"> </w:t>
      </w:r>
      <w:r>
        <w:t xml:space="preserve">pool host cell protein, the log reduction factors for XMuLV and for MVM, and step yield.</w:t>
      </w:r>
      <w:r>
        <w:t xml:space="preserve"> </w:t>
      </w:r>
      <w:r>
        <w:t xml:space="preserve">The work will be executed at development scale and analysed by design of experiments, in</w:t>
      </w:r>
      <w:r>
        <w:t xml:space="preserve"> </w:t>
      </w:r>
      <w:r>
        <w:t xml:space="preserve">the enhanced development approach described in ICH Q8 and ICH Q11</w:t>
      </w:r>
      <w:r>
        <w:t xml:space="preserve"> </w:t>
      </w:r>
      <w:r>
        <w:t xml:space="preserve">(International Council for Harmonisation 2009, 2012)</w:t>
      </w:r>
      <w:r>
        <w:t xml:space="preserve">.</w:t>
      </w:r>
    </w:p>
    <w:p>
      <w:pPr>
        <w:pStyle w:val="BodyText"/>
      </w:pPr>
      <w:r>
        <w:t xml:space="preserve">The column itself is outside the scope of this plan. Packing, sanitization and resin</w:t>
      </w:r>
      <w:r>
        <w:t xml:space="preserve"> </w:t>
      </w:r>
      <w:r>
        <w:t xml:space="preserve">life-cycle qualification are covered by SOP-2008 and are not characterized here.</w:t>
      </w:r>
      <w:r>
        <w:t xml:space="preserve"> </w:t>
      </w:r>
      <w:r>
        <w:t xml:space="preserve">Confirmation of the operating ranges at commercial scale belongs to</w:t>
      </w:r>
      <w:r>
        <w:t xml:space="preserve"> </w:t>
      </w:r>
      <w:r>
        <w:t xml:space="preserve">Stage 2 and to the process performance qualification, and the cumulative viral clearance</w:t>
      </w:r>
      <w:r>
        <w:t xml:space="preserve"> </w:t>
      </w:r>
      <w:r>
        <w:t xml:space="preserve">claim for the drug substance is consolidated in PCMR-001, so this plan covers only the</w:t>
      </w:r>
      <w:r>
        <w:t xml:space="preserve"> </w:t>
      </w:r>
      <w:r>
        <w:t xml:space="preserve">contribution the anion exchange step makes to that claim.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is designed to meet the five objectives listed below, and PCR-008 will report</w:t>
      </w:r>
      <w:r>
        <w:t xml:space="preserve"> </w:t>
      </w:r>
      <w:r>
        <w:t xml:space="preserve">the outcome against each of them in turn.</w:t>
      </w:r>
    </w:p>
    <w:p>
      <w:pPr>
        <w:pStyle w:val="Compact"/>
        <w:numPr>
          <w:ilvl w:val="0"/>
          <w:numId w:val="1001"/>
        </w:numPr>
      </w:pPr>
      <w:r>
        <w:t xml:space="preserve">Quantify the effect of load pH, equilibration and wash-1 conductivity, load</w:t>
      </w:r>
      <w:r>
        <w:t xml:space="preserve"> </w:t>
      </w:r>
      <w:r>
        <w:t xml:space="preserve">conductivity and protein load on pool host cell protein, on XMuLV and MVM clearance</w:t>
      </w:r>
      <w:r>
        <w:t xml:space="preserve"> </w:t>
      </w:r>
      <w:r>
        <w:t xml:space="preserve">and on step yield, over the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Define a multivariate operating region in the parameters studied multivariately, within</w:t>
      </w:r>
      <w:r>
        <w:t xml:space="preserve"> </w:t>
      </w:r>
      <w:r>
        <w:t xml:space="preserve">which every governed quality attribute meets its acceptance criterion.</w:t>
      </w:r>
    </w:p>
    <w:p>
      <w:pPr>
        <w:pStyle w:val="Compact"/>
        <w:numPr>
          <w:ilvl w:val="0"/>
          <w:numId w:val="1001"/>
        </w:numPr>
      </w:pPr>
      <w:r>
        <w:t xml:space="preserve">Establish a proven acceptable range for each parameter and each governed attribute,</w:t>
      </w:r>
      <w:r>
        <w:t xml:space="preserve"> </w:t>
      </w:r>
      <w:r>
        <w:t xml:space="preserve">and confirm that the normal operating ranges lie inside those ranges.</w:t>
      </w:r>
    </w:p>
    <w:p>
      <w:pPr>
        <w:pStyle w:val="Compact"/>
        <w:numPr>
          <w:ilvl w:val="0"/>
          <w:numId w:val="1001"/>
        </w:numPr>
      </w:pPr>
      <w:r>
        <w:t xml:space="preserve">Classify every parameter of the step under SOP-4001, from the effects the study</w:t>
      </w:r>
      <w:r>
        <w:t xml:space="preserve"> </w:t>
      </w:r>
      <w:r>
        <w:t xml:space="preserve">demonstrates and from the risk of operating outside the region.</w:t>
      </w:r>
    </w:p>
    <w:p>
      <w:pPr>
        <w:pStyle w:val="Compact"/>
        <w:numPr>
          <w:ilvl w:val="0"/>
          <w:numId w:val="1001"/>
        </w:numPr>
      </w:pPr>
      <w:r>
        <w:t xml:space="preserve">Establish the log reduction the step contributes to the cumulative MVM and XMuLV</w:t>
      </w:r>
      <w:r>
        <w:t xml:space="preserve"> </w:t>
      </w:r>
      <w:r>
        <w:t xml:space="preserve">claims, so that the modular clearance argument can be consolidated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The parent documents and the paired report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 RA-001 sets the</w:t>
      </w:r>
      <w:r>
        <w:t xml:space="preserve"> </w:t>
      </w:r>
      <w:r>
        <w:t xml:space="preserve">scope of this study, PCMP-001 sets the approach common to every characterization plan in</w:t>
      </w:r>
      <w:r>
        <w:t xml:space="preserve"> </w:t>
      </w:r>
      <w:r>
        <w:t xml:space="preserve">the campaign, and PCR-008 is the report in which the executed study will be described.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4651"/>
              <w:gridCol w:w="232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(Anion Exchange Chromatography (Step 8))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controlled procedures and the validated analytical methods this study depends on are</w:t>
      </w:r>
      <w:r>
        <w:t xml:space="preserve"> </w:t>
      </w:r>
      <w:r>
        <w:t xml:space="preserve">listed in</w:t>
      </w:r>
      <w:r>
        <w:t xml:space="preserve"> </w:t>
      </w:r>
      <w:hyperlink w:anchor="tbl-sops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analytical methods for the anion exchange characterization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2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anion exchange step is a flow-through polish. The column is packed with a strong</w:t>
      </w:r>
      <w:r>
        <w:t xml:space="preserve"> </w:t>
      </w:r>
      <w:r>
        <w:t xml:space="preserve">anion exchange resin and equilibrated at a pH that lies above the isoelectric point of the</w:t>
      </w:r>
      <w:r>
        <w:t xml:space="preserve"> </w:t>
      </w:r>
      <w:r>
        <w:t xml:space="preserve">acidic process impurities and below that of the antibody. Under those conditions A-Mab</w:t>
      </w:r>
      <w:r>
        <w:t xml:space="preserve"> </w:t>
      </w:r>
      <w:r>
        <w:t xml:space="preserve">carries a net positive charge and passes through the column. Host cell protein, DNA,</w:t>
      </w:r>
      <w:r>
        <w:t xml:space="preserve"> </w:t>
      </w:r>
      <w:r>
        <w:t xml:space="preserve">endotoxin and virus particles bind to the resin instead. Product is collected in the</w:t>
      </w:r>
      <w:r>
        <w:t xml:space="preserve"> </w:t>
      </w:r>
      <w:r>
        <w:t xml:space="preserve">flow-through and in the post-load wash, so the step purifies without a bind and elute</w:t>
      </w:r>
      <w:r>
        <w:t xml:space="preserve"> </w:t>
      </w:r>
      <w:r>
        <w:t xml:space="preserve">cycle, which is why its yield is high and why its capacity is set by the impurity burden</w:t>
      </w:r>
      <w:r>
        <w:t xml:space="preserve"> </w:t>
      </w:r>
      <w:r>
        <w:t xml:space="preserve">and not by the product.</w:t>
      </w:r>
    </w:p>
    <w:p>
      <w:pPr>
        <w:pStyle w:val="BodyText"/>
      </w:pPr>
      <w:r>
        <w:t xml:space="preserve">Load pH and conductivity govern the separation. Load pH sets the charge on the antibody</w:t>
      </w:r>
      <w:r>
        <w:t xml:space="preserve"> </w:t>
      </w:r>
      <w:r>
        <w:t xml:space="preserve">and on the impurities, and conductivity sets how strongly the buffer counter-ions compete</w:t>
      </w:r>
      <w:r>
        <w:t xml:space="preserve"> </w:t>
      </w:r>
      <w:r>
        <w:t xml:space="preserve">with those impurities for the resin surface. As load pH falls the antibody becomes more</w:t>
      </w:r>
      <w:r>
        <w:t xml:space="preserve"> </w:t>
      </w:r>
      <w:r>
        <w:t xml:space="preserve">positively charged and the acidic impurities less</w:t>
      </w:r>
      <w:r>
        <w:t xml:space="preserve"> </w:t>
      </w:r>
      <w:r>
        <w:t xml:space="preserve">negatively charged, so binding weakens and clearance falls. As conductivity rises the same</w:t>
      </w:r>
      <w:r>
        <w:t xml:space="preserve"> </w:t>
      </w:r>
      <w:r>
        <w:t xml:space="preserve">binding is screened and clearance falls again, and the equilibration and wash-1 buffer</w:t>
      </w:r>
      <w:r>
        <w:t xml:space="preserve"> </w:t>
      </w:r>
      <w:r>
        <w:t xml:space="preserve">acts on this equilibrium at the point where a weakly bound impurity is most likely to be</w:t>
      </w:r>
      <w:r>
        <w:t xml:space="preserve"> </w:t>
      </w:r>
      <w:r>
        <w:t xml:space="preserve">displaced into the pool, which is why its conductivity is treated as a parameter in its</w:t>
      </w:r>
      <w:r>
        <w:t xml:space="preserve"> </w:t>
      </w:r>
      <w:r>
        <w:t xml:space="preserve">own right. Protein load sets the mass challenge on the column, and at high load the</w:t>
      </w:r>
      <w:r>
        <w:t xml:space="preserve"> </w:t>
      </w:r>
      <w:r>
        <w:t xml:space="preserve">impurity burden approaches the binding capacity available to hold it.</w:t>
      </w:r>
    </w:p>
    <w:p>
      <w:pPr>
        <w:pStyle w:val="BodyText"/>
      </w:pPr>
      <w:r>
        <w:t xml:space="preserve">The platform is well established. A flow-through anion exchange polish of this design has</w:t>
      </w:r>
      <w:r>
        <w:t xml:space="preserve"> </w:t>
      </w:r>
      <w:r>
        <w:t xml:space="preserve">been used to manufacture three prior products (X-Mab, Y-Mab and Z-Mab), and</w:t>
      </w:r>
      <w:r>
        <w:t xml:space="preserve"> </w:t>
      </w:r>
      <w:r>
        <w:t xml:space="preserve">the mechanism of impurity and virus removal is the same for A-Mab as it is for those</w:t>
      </w:r>
      <w:r>
        <w:t xml:space="preserve"> </w:t>
      </w:r>
      <w:r>
        <w:t xml:space="preserve">products</w:t>
      </w:r>
      <w:r>
        <w:t xml:space="preserve"> </w:t>
      </w:r>
      <w:r>
        <w:t xml:space="preserve">(CMC Biotech Working Group 2009)</w:t>
      </w:r>
      <w:r>
        <w:t xml:space="preserve">. Prior knowledge therefore sets the expectations that this study will</w:t>
      </w:r>
      <w:r>
        <w:t xml:space="preserve"> </w:t>
      </w:r>
      <w:r>
        <w:t xml:space="preserve">confirm or refute, but it does not by itself define an operating region, because the</w:t>
      </w:r>
      <w:r>
        <w:t xml:space="preserve"> </w:t>
      </w:r>
      <w:r>
        <w:t xml:space="preserve">ranges, the interactions and the position of the acceptance limits are specific to this</w:t>
      </w:r>
      <w:r>
        <w:t xml:space="preserve"> </w:t>
      </w:r>
      <w:r>
        <w:t xml:space="preserve">product and this load material.</w:t>
      </w:r>
    </w:p>
    <w:p>
      <w:pPr>
        <w:pStyle w:val="BodyText"/>
      </w:pPr>
      <w:r>
        <w:t xml:space="preserve">The mechanistic expectation is specific enough to be tested. Clearance of both model</w:t>
      </w:r>
      <w:r>
        <w:t xml:space="preserve"> </w:t>
      </w:r>
      <w:r>
        <w:t xml:space="preserve">viruses should fall as load pH falls and as load conductivity rises, and the two factors</w:t>
      </w:r>
      <w:r>
        <w:t xml:space="preserve"> </w:t>
      </w:r>
      <w:r>
        <w:t xml:space="preserve">should interact, because both act on the same electrostatic equilibrium. Pool host cell</w:t>
      </w:r>
      <w:r>
        <w:t xml:space="preserve"> </w:t>
      </w:r>
      <w:r>
        <w:t xml:space="preserve">protein should rise with protein load, with equilibration and wash-1 conductivity, and as</w:t>
      </w:r>
      <w:r>
        <w:t xml:space="preserve"> </w:t>
      </w:r>
      <w:r>
        <w:t xml:space="preserve">load pH falls. Step yield should be high and largely insensitive across the ranges</w:t>
      </w:r>
      <w:r>
        <w:t xml:space="preserve"> </w:t>
      </w:r>
      <w:r>
        <w:t xml:space="preserve">studied, since the product does not bind to the resin.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quality attributes this step governs are listed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 and the two viral safety</w:t>
      </w:r>
      <w:r>
        <w:t xml:space="preserve"> </w:t>
      </w:r>
      <w:r>
        <w:t xml:space="preserve">attributes carry the highest criticality in that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governed by the anion exchange step, with acceptance criteria and criticality from the drug substance register.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88"/>
              <w:gridCol w:w="1307"/>
              <w:gridCol w:w="2034"/>
              <w:gridCol w:w="1089"/>
              <w:gridCol w:w="79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cumulative clearance of MVM is assigned to this step in the drug substance CQA</w:t>
      </w:r>
      <w:r>
        <w:t xml:space="preserve"> </w:t>
      </w:r>
      <w:r>
        <w:t xml:space="preserve">register. MVM is a non-enveloped parvovirus, so it is not inactivated by the low-pH hold</w:t>
      </w:r>
      <w:r>
        <w:t xml:space="preserve"> </w:t>
      </w:r>
      <w:r>
        <w:t xml:space="preserve">at Step 6, and the claim rests on the anion exchange step and the small virus retentive</w:t>
      </w:r>
      <w:r>
        <w:t xml:space="preserve"> </w:t>
      </w:r>
      <w:r>
        <w:t xml:space="preserve">filter together. Those two steps remove virus by different mechanisms, which is what makes their</w:t>
      </w:r>
      <w:r>
        <w:t xml:space="preserve"> </w:t>
      </w:r>
      <w:r>
        <w:t xml:space="preserve">contributions additive under ICH Q5A(R2)</w:t>
      </w:r>
      <w:r>
        <w:t xml:space="preserve"> </w:t>
      </w:r>
      <w:r>
        <w:t xml:space="preserve">(International Council for Harmonisation 2023a)</w:t>
      </w:r>
      <w:r>
        <w:t xml:space="preserve">. The step is credited with XMuLV</w:t>
      </w:r>
      <w:r>
        <w:t xml:space="preserve"> </w:t>
      </w:r>
      <w:r>
        <w:t xml:space="preserve">clearance as well, and there the low-pH hold (PCP-006) carries the larger share while the</w:t>
      </w:r>
      <w:r>
        <w:t xml:space="preserve"> </w:t>
      </w:r>
      <w:r>
        <w:t xml:space="preserve">filtration step (PCP-009) carries a further increment.</w:t>
      </w:r>
    </w:p>
    <w:p>
      <w:pPr>
        <w:pStyle w:val="BodyText"/>
      </w:pPr>
      <w:r>
        <w:t xml:space="preserve">Host cell protein is the impurity attribute that drives the design of this study, and its</w:t>
      </w:r>
      <w:r>
        <w:t xml:space="preserve"> </w:t>
      </w:r>
      <w:r>
        <w:t xml:space="preserve">criticality is moderate to high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Three steps of the train remove it. Protein A</w:t>
      </w:r>
      <w:r>
        <w:t xml:space="preserve"> </w:t>
      </w:r>
      <w:r>
        <w:t xml:space="preserve">capture (PCP-005) removes the bulk of the burden, cation exchange (PCP-007) removes most</w:t>
      </w:r>
      <w:r>
        <w:t xml:space="preserve"> </w:t>
      </w:r>
      <w:r>
        <w:t xml:space="preserve">of the remainder, and this step provides the final reduction before formulation. Residual</w:t>
      </w:r>
      <w:r>
        <w:t xml:space="preserve"> </w:t>
      </w:r>
      <w:r>
        <w:t xml:space="preserve">DNA and leached Protein A are also reduced here, and the register assigns residual DNA a</w:t>
      </w:r>
      <w:r>
        <w:t xml:space="preserve"> </w:t>
      </w:r>
      <w:r>
        <w:t xml:space="preserve">very low criticality and leached Protein A a low to moderate one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), so neither is</w:t>
      </w:r>
      <w:r>
        <w:t xml:space="preserve"> </w:t>
      </w:r>
      <w:r>
        <w:t xml:space="preserve">expected to constrain the operating region. Both will be measured at every design point so</w:t>
      </w:r>
      <w:r>
        <w:t xml:space="preserve"> </w:t>
      </w:r>
      <w:r>
        <w:t xml:space="preserve">that the expectation can be checked.</w:t>
      </w:r>
    </w:p>
    <w:p>
      <w:pPr>
        <w:pStyle w:val="BodyText"/>
      </w:pPr>
      <w:r>
        <w:t xml:space="preserve">No claim is made for aggregate removal across the anion exchange step, since aggregate is</w:t>
      </w:r>
      <w:r>
        <w:t xml:space="preserve"> </w:t>
      </w:r>
      <w:r>
        <w:t xml:space="preserve">polished at cation exchange (PCP-007). The charge variant and glycan distributions are</w:t>
      </w:r>
      <w:r>
        <w:t xml:space="preserve"> </w:t>
      </w:r>
      <w:r>
        <w:t xml:space="preserve">formed upstream and are not modified by the purification steps themselves</w:t>
      </w:r>
      <w:r>
        <w:t xml:space="preserve"> </w:t>
      </w:r>
      <w:r>
        <w:t xml:space="preserve">(CMC Biotech Working Group 2009)</w:t>
      </w:r>
      <w:r>
        <w:t xml:space="preserve">, so</w:t>
      </w:r>
      <w:r>
        <w:t xml:space="preserve"> </w:t>
      </w:r>
      <w:r>
        <w:t xml:space="preserve">they are not responses of this study.</w:t>
      </w:r>
    </w:p>
    <w:bookmarkEnd w:id="19"/>
    <w:bookmarkStart w:id="21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The pre-characterization risk assessment RA-001 decided which parameters are studied and</w:t>
      </w:r>
      <w:r>
        <w:t xml:space="preserve"> </w:t>
      </w:r>
      <w:r>
        <w:t xml:space="preserve">how, and its output for this step is reproduced in</w:t>
      </w:r>
      <w:r>
        <w:t xml:space="preserve"> </w:t>
      </w:r>
      <w:hyperlink w:anchor="tbl-risk">
        <w:r>
          <w:rPr>
            <w:rStyle w:val="Hyperlink"/>
          </w:rPr>
          <w:t xml:space="preserve">Table 5</w:t>
        </w:r>
      </w:hyperlink>
      <w:r>
        <w:t xml:space="preserve">. The method is risk ranking</w:t>
      </w:r>
      <w:r>
        <w:t xml:space="preserve"> </w:t>
      </w:r>
      <w:r>
        <w:t xml:space="preserve">and filtering. A severity score for the potential impact on a quality attribute is</w:t>
      </w:r>
      <w:r>
        <w:t xml:space="preserve"> </w:t>
      </w:r>
      <w:r>
        <w:t xml:space="preserve">combined with the likelihood of the failure mode and with the ability to detect it, and</w:t>
      </w:r>
      <w:r>
        <w:t xml:space="preserve"> </w:t>
      </w:r>
      <w:r>
        <w:t xml:space="preserve">the resulting score carries the parameter into a multivariate design, into a univariate</w:t>
      </w:r>
      <w:r>
        <w:t xml:space="preserve"> </w:t>
      </w:r>
      <w:r>
        <w:t xml:space="preserve">study, or into neither</w:t>
      </w:r>
      <w:r>
        <w:t xml:space="preserve"> </w:t>
      </w:r>
      <w:r>
        <w:t xml:space="preserve">(International Council for Harmonisation 2023b)</w:t>
      </w:r>
      <w:r>
        <w:t xml:space="preserve">. Criticality is treated as a continuum and not as a</w:t>
      </w:r>
      <w:r>
        <w:t xml:space="preserve"> </w:t>
      </w:r>
      <w:r>
        <w:t xml:space="preserve">binary classification</w:t>
      </w:r>
      <w:r>
        <w:t xml:space="preserve"> </w:t>
      </w:r>
      <w:r>
        <w:t xml:space="preserve">(CMC Biotech Working Group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ris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Pre-characterization risk assessment for the anion exchange step, from RA-001. The assigned study type is the scope this plan inherits.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9"/>
              <w:gridCol w:w="2109"/>
              <w:gridCol w:w="2035"/>
              <w:gridCol w:w="296"/>
              <w:gridCol w:w="296"/>
              <w:gridCol w:w="296"/>
              <w:gridCol w:w="555"/>
              <w:gridCol w:w="888"/>
              <w:gridCol w:w="4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Prospective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Det.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Initial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study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 below characterized range (&lt;7.2)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HCP removal and reduced XMuLV/MVM clearance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 above 3.6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HCP removal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 above characterized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viral clearance (interacts with pH)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characterized range (&gt;300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HCP removal capacity (viral clearance robust)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 above 450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residence time / viral clearance margin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(justified)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Load pH, load conductivity and operating flow rate carry the highest score in</w:t>
      </w:r>
      <w:r>
        <w:t xml:space="preserve"> </w:t>
      </w:r>
      <w:hyperlink w:anchor="tbl-risk">
        <w:r>
          <w:rPr>
            <w:rStyle w:val="Hyperlink"/>
          </w:rPr>
          <w:t xml:space="preserve">Table 5</w:t>
        </w:r>
      </w:hyperlink>
      <w:r>
        <w:t xml:space="preserve">.</w:t>
      </w:r>
      <w:r>
        <w:t xml:space="preserve"> </w:t>
      </w:r>
      <w:r>
        <w:t xml:space="preserve">Load pH and load conductivity score 700, because a low</w:t>
      </w:r>
      <w:r>
        <w:t xml:space="preserve"> </w:t>
      </w:r>
      <w:r>
        <w:t xml:space="preserve">load pH reduces both host cell protein removal and viral clearance, and a high load</w:t>
      </w:r>
      <w:r>
        <w:t xml:space="preserve"> </w:t>
      </w:r>
      <w:r>
        <w:t xml:space="preserve">conductivity reduces clearance in the same way. A loss of viral clearance is scored at the</w:t>
      </w:r>
      <w:r>
        <w:t xml:space="preserve"> </w:t>
      </w:r>
      <w:r>
        <w:t xml:space="preserve">top of the severity scale. Operating flow rate carries the same score for the same</w:t>
      </w:r>
      <w:r>
        <w:t xml:space="preserve"> </w:t>
      </w:r>
      <w:r>
        <w:t xml:space="preserve">attribute, but RA-001 assigned it</w:t>
      </w:r>
      <w:r>
        <w:t xml:space="preserve"> </w:t>
      </w:r>
      <w:r>
        <w:t xml:space="preserve">a univariate study, because it acts on the separation through residence time and not</w:t>
      </w:r>
      <w:r>
        <w:t xml:space="preserve"> </w:t>
      </w:r>
      <w:r>
        <w:t xml:space="preserve">through the buffer chemistry that sets the binding equilibrium. Equilibration and wash-1</w:t>
      </w:r>
      <w:r>
        <w:t xml:space="preserve"> </w:t>
      </w:r>
      <w:r>
        <w:t xml:space="preserve">conductivity and protein load score 336, since their expected</w:t>
      </w:r>
      <w:r>
        <w:t xml:space="preserve"> </w:t>
      </w:r>
      <w:r>
        <w:t xml:space="preserve">effect is on host cell protein rather than on viral safety.</w:t>
      </w:r>
    </w:p>
    <w:p>
      <w:pPr>
        <w:pStyle w:val="BodyText"/>
      </w:pPr>
      <w:r>
        <w:t xml:space="preserve">The 4 parameters assigned to a multivariate study are the factors of the</w:t>
      </w:r>
      <w:r>
        <w:t xml:space="preserve"> </w:t>
      </w:r>
      <w:r>
        <w:t xml:space="preserve">designed experiments described below, and flow rate is assessed one factor at a time. No</w:t>
      </w:r>
      <w:r>
        <w:t xml:space="preserve"> </w:t>
      </w:r>
      <w:r>
        <w:t xml:space="preserve">parameter of this step was left unstudied, so the study scope is the whole parameter set</w:t>
      </w:r>
      <w:r>
        <w:t xml:space="preserve"> </w:t>
      </w:r>
      <w:r>
        <w:t xml:space="preserve">of the unit operation and not a filtered subset of it.</w:t>
      </w:r>
    </w:p>
    <w:bookmarkEnd w:id="21"/>
    <w:bookmarkEnd w:id="22"/>
    <w:bookmarkStart w:id="29" w:name="materials-and-methods"/>
    <w:p>
      <w:pPr>
        <w:pStyle w:val="Heading1"/>
      </w:pPr>
      <w:r>
        <w:t xml:space="preserve">5. Materials and methods</w:t>
      </w:r>
    </w:p>
    <w:bookmarkStart w:id="23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Every run in this study will be performed on a qualified scale-down model of the</w:t>
      </w:r>
      <w:r>
        <w:t xml:space="preserve"> </w:t>
      </w:r>
      <w:r>
        <w:t xml:space="preserve">commercial column, and that qualification is what allows the results to be applied to</w:t>
      </w:r>
      <w:r>
        <w:t xml:space="preserve"> </w:t>
      </w:r>
      <w:r>
        <w:t xml:space="preserve">commercial manufacture (SOP-1001).</w:t>
      </w:r>
    </w:p>
    <w:p>
      <w:pPr>
        <w:pStyle w:val="BodyText"/>
      </w:pPr>
      <w:r>
        <w:t xml:space="preserve">The model is designed on the established principles of chromatography scaling. Bed height,</w:t>
      </w:r>
      <w:r>
        <w:t xml:space="preserve"> </w:t>
      </w:r>
      <w:r>
        <w:t xml:space="preserve">linear velocity, protein load per litre of resin, buffer composition and the volume of</w:t>
      </w:r>
      <w:r>
        <w:t xml:space="preserve"> </w:t>
      </w:r>
      <w:r>
        <w:t xml:space="preserve">each phase normalized to column volumes are held equal to the commercial values. Column</w:t>
      </w:r>
      <w:r>
        <w:t xml:space="preserve"> </w:t>
      </w:r>
      <w:r>
        <w:t xml:space="preserve">efficiency is measured before use by plate count and peak asymmetry. A column that fails</w:t>
      </w:r>
      <w:r>
        <w:t xml:space="preserve"> </w:t>
      </w:r>
      <w:r>
        <w:t xml:space="preserve">the packing criteria of SOP-2008 is repacked before any study run. Residence time at the</w:t>
      </w:r>
      <w:r>
        <w:t xml:space="preserve"> </w:t>
      </w:r>
      <w:r>
        <w:t xml:space="preserve">model scale therefore matches residence time at commercial scale for the same linear</w:t>
      </w:r>
      <w:r>
        <w:t xml:space="preserve"> </w:t>
      </w:r>
      <w:r>
        <w:t xml:space="preserve">velocity, which is the property a flow-through separation depends on.</w:t>
      </w:r>
    </w:p>
    <w:p>
      <w:pPr>
        <w:pStyle w:val="BodyText"/>
      </w:pPr>
      <w:r>
        <w:t xml:space="preserve">Qualification will compare the model against commercial scale data at set-point</w:t>
      </w:r>
      <w:r>
        <w:t xml:space="preserve"> </w:t>
      </w:r>
      <w:r>
        <w:t xml:space="preserve">conditions, and replicate runs at the set-point will be compared with the at-scale record</w:t>
      </w:r>
      <w:r>
        <w:t xml:space="preserve"> </w:t>
      </w:r>
      <w:r>
        <w:t xml:space="preserve">for step yield, pool host cell protein and pool volume. The model will be accepted when the</w:t>
      </w:r>
      <w:r>
        <w:t xml:space="preserve"> </w:t>
      </w:r>
      <w:r>
        <w:t xml:space="preserve">means do not differ significantly and when every model result falls inside the range</w:t>
      </w:r>
      <w:r>
        <w:t xml:space="preserve"> </w:t>
      </w:r>
      <w:r>
        <w:t xml:space="preserve">observed at scale. The comparison is documented under SOP-1001. Its completion is a</w:t>
      </w:r>
      <w:r>
        <w:t xml:space="preserve"> </w:t>
      </w:r>
      <w:r>
        <w:t xml:space="preserve">precondition for starting any characterization run.</w:t>
      </w:r>
    </w:p>
    <w:p>
      <w:pPr>
        <w:pStyle w:val="BodyText"/>
      </w:pPr>
      <w:r>
        <w:t xml:space="preserve">Viral clearance cannot be measured at manufacturing scale, because live virus may not be</w:t>
      </w:r>
      <w:r>
        <w:t xml:space="preserve"> </w:t>
      </w:r>
      <w:r>
        <w:t xml:space="preserve">introduced into a manufacturing facility. The clearance runs will therefore be executed</w:t>
      </w:r>
      <w:r>
        <w:t xml:space="preserve"> </w:t>
      </w:r>
      <w:r>
        <w:t xml:space="preserve">in a dedicated biosafety laboratory, on a separately qualified small-scale spiking model,</w:t>
      </w:r>
      <w:r>
        <w:t xml:space="preserve"> </w:t>
      </w:r>
      <w:r>
        <w:t xml:space="preserve">following ICH Q5A(R2)</w:t>
      </w:r>
      <w:r>
        <w:t xml:space="preserve"> </w:t>
      </w:r>
      <w:r>
        <w:t xml:space="preserve">(International Council for Harmonisation 2023a)</w:t>
      </w:r>
      <w:r>
        <w:t xml:space="preserve">. The virus spike is added to the load at a small volume</w:t>
      </w:r>
      <w:r>
        <w:t xml:space="preserve"> </w:t>
      </w:r>
      <w:r>
        <w:t xml:space="preserve">fraction, so that the composition of the load is essentially unchanged, and the spiked</w:t>
      </w:r>
      <w:r>
        <w:t xml:space="preserve"> </w:t>
      </w:r>
      <w:r>
        <w:t xml:space="preserve">load is assayed alongside the pool so that the log reduction factor is the difference</w:t>
      </w:r>
      <w:r>
        <w:t xml:space="preserve"> </w:t>
      </w:r>
      <w:r>
        <w:t xml:space="preserve">between two measurements from the same run. The qualification of the spiking model, and</w:t>
      </w:r>
      <w:r>
        <w:t xml:space="preserve"> </w:t>
      </w:r>
      <w:r>
        <w:t xml:space="preserve">not the size of the column, is what supports a clearance claim.</w:t>
      </w:r>
    </w:p>
    <w:p>
      <w:pPr>
        <w:pStyle w:val="BodyText"/>
      </w:pPr>
      <w:r>
        <w:t xml:space="preserve">Centre point runs are replicated so that the pure error of the system can be estimated</w:t>
      </w:r>
      <w:r>
        <w:t xml:space="preserve"> </w:t>
      </w:r>
      <w:r>
        <w:t xml:space="preserve">independently of the fitted model. The screening design carries 3 centre</w:t>
      </w:r>
      <w:r>
        <w:t xml:space="preserve"> </w:t>
      </w:r>
      <w:r>
        <w:t xml:space="preserve">points and the response-surface design carries 4, which give</w:t>
      </w:r>
      <w:r>
        <w:t xml:space="preserve"> </w:t>
      </w:r>
      <w:r>
        <w:t xml:space="preserve">2 and 3 degrees of freedom for pure error. Those</w:t>
      </w:r>
      <w:r>
        <w:t xml:space="preserve"> </w:t>
      </w:r>
      <w:r>
        <w:t xml:space="preserve">terms are the reference against which lack of fit will be tested.</w:t>
      </w:r>
    </w:p>
    <w:bookmarkEnd w:id="23"/>
    <w:bookmarkStart w:id="24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step will be operated as it is operated at commercial scale, under SOP-2011. The</w:t>
      </w:r>
      <w:r>
        <w:t xml:space="preserve"> </w:t>
      </w:r>
      <w:r>
        <w:t xml:space="preserve">column is equilibrated with the wash-1 buffer, the load is applied at the target protein</w:t>
      </w:r>
      <w:r>
        <w:t xml:space="preserve"> </w:t>
      </w:r>
      <w:r>
        <w:t xml:space="preserve">load and linear velocity, the column is washed with the same buffer, and the product is</w:t>
      </w:r>
      <w:r>
        <w:t xml:space="preserve"> </w:t>
      </w:r>
      <w:r>
        <w:t xml:space="preserve">collected across the flow-through and the wash. Pool collection starts and stops on</w:t>
      </w:r>
      <w:r>
        <w:t xml:space="preserve"> </w:t>
      </w:r>
      <w:r>
        <w:t xml:space="preserve">ultraviolet absorbance thresholds, and the pool is held refrigerated until it is sampled.</w:t>
      </w:r>
    </w:p>
    <w:p>
      <w:pPr>
        <w:pStyle w:val="BodyText"/>
      </w:pPr>
      <w:r>
        <w:t xml:space="preserve">The load material is the cation exchange pool from Step 7. A single pool, or a set of</w:t>
      </w:r>
      <w:r>
        <w:t xml:space="preserve"> </w:t>
      </w:r>
      <w:r>
        <w:t xml:space="preserve">pools blended to one specification, will be used for the whole study, so that load</w:t>
      </w:r>
      <w:r>
        <w:t xml:space="preserve"> </w:t>
      </w:r>
      <w:r>
        <w:t xml:space="preserve">composition is not a hidden factor in the design. Before the study starts the load will be</w:t>
      </w:r>
      <w:r>
        <w:t xml:space="preserve"> </w:t>
      </w:r>
      <w:r>
        <w:t xml:space="preserve">confirmed representative. Protein concentration, pH and conductivity will be adjusted to</w:t>
      </w:r>
      <w:r>
        <w:t xml:space="preserve"> </w:t>
      </w:r>
      <w:r>
        <w:t xml:space="preserve">the study target, and the acidic charge variant content will be measured by icIEF</w:t>
      </w:r>
      <w:r>
        <w:t xml:space="preserve"> </w:t>
      </w:r>
      <w:r>
        <w:t xml:space="preserve">(AMV-3013) and confirmed to lie within the range seen in routine cation exchange pools.</w:t>
      </w:r>
      <w:r>
        <w:t xml:space="preserve"> </w:t>
      </w:r>
      <w:r>
        <w:t xml:space="preserve">The hold time between neutralization of the cation exchange pool and its use as anion</w:t>
      </w:r>
      <w:r>
        <w:t xml:space="preserve"> </w:t>
      </w:r>
      <w:r>
        <w:t xml:space="preserve">exchange load will be kept within the limit recorded in SOP-2011, because an extended</w:t>
      </w:r>
      <w:r>
        <w:t xml:space="preserve"> </w:t>
      </w:r>
      <w:r>
        <w:t xml:space="preserve">neutral hold raises the deamidated fraction of the load and changes the charge</w:t>
      </w:r>
      <w:r>
        <w:t xml:space="preserve"> </w:t>
      </w:r>
      <w:r>
        <w:t xml:space="preserve">distribution that this step has to separate.</w:t>
      </w:r>
    </w:p>
    <w:p>
      <w:pPr>
        <w:pStyle w:val="BodyText"/>
      </w:pPr>
      <w:r>
        <w:t xml:space="preserve">Buffers, resin and the column are inputs controlled to platform specification. They are</w:t>
      </w:r>
      <w:r>
        <w:t xml:space="preserve"> </w:t>
      </w:r>
      <w:r>
        <w:t xml:space="preserve">identity and quality controlled under SOP-2011 and SOP-2008. They are not parameters of</w:t>
      </w:r>
      <w:r>
        <w:t xml:space="preserve"> </w:t>
      </w:r>
      <w:r>
        <w:t xml:space="preserve">this study, and they are held at their platform values throughout it. Resin lot and column</w:t>
      </w:r>
      <w:r>
        <w:t xml:space="preserve"> </w:t>
      </w:r>
      <w:r>
        <w:t xml:space="preserve">use history will likewise be held constant across the study, so that the fitted effects</w:t>
      </w:r>
      <w:r>
        <w:t xml:space="preserve"> </w:t>
      </w:r>
      <w:r>
        <w:t xml:space="preserve">cannot be confounded with resin age.</w:t>
      </w:r>
    </w:p>
    <w:bookmarkEnd w:id="24"/>
    <w:bookmarkStart w:id="26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Every response is measured by a validated method, and the validated performance of the</w:t>
      </w:r>
      <w:r>
        <w:t xml:space="preserve"> </w:t>
      </w:r>
      <w:r>
        <w:t xml:space="preserve">methods that carry the conclusions of this study is given in</w:t>
      </w:r>
      <w:r>
        <w:t xml:space="preserve"> </w:t>
      </w:r>
      <w:hyperlink w:anchor="tbl-methods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Validated performance of the analytical methods that measure the study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18"/>
              <w:gridCol w:w="2289"/>
              <w:gridCol w:w="1608"/>
              <w:gridCol w:w="1299"/>
              <w:gridCol w:w="990"/>
              <w:gridCol w:w="11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 precision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 share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9.5 %RSD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ng/mg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6.5 %RSD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 ppm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 log10 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 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0.32 log10 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 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Pool host cell protein is measured by ELISA (AMV-3012). Its intermediate precision is</w:t>
      </w:r>
      <w:r>
        <w:t xml:space="preserve"> </w:t>
      </w:r>
      <w:r>
        <w:t xml:space="preserve">9.5% relative standard deviation, against</w:t>
      </w:r>
      <w:r>
        <w:t xml:space="preserve"> </w:t>
      </w:r>
      <w:r>
        <w:t xml:space="preserve">6.5% for the leached Protein A ELISA (AMV-3016), and</w:t>
      </w:r>
      <w:r>
        <w:t xml:space="preserve"> </w:t>
      </w:r>
      <w:r>
        <w:t xml:space="preserve">those are the only two methods in</w:t>
      </w:r>
      <w:r>
        <w:t xml:space="preserve"> </w:t>
      </w:r>
      <w:hyperlink w:anchor="tbl-method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whose precision is reported on a relative</w:t>
      </w:r>
      <w:r>
        <w:t xml:space="preserve"> </w:t>
      </w:r>
      <w:r>
        <w:t xml:space="preserve">scale. A difference in pool host cell protein therefore has to stand clear of a relative</w:t>
      </w:r>
      <w:r>
        <w:t xml:space="preserve"> </w:t>
      </w:r>
      <w:r>
        <w:t xml:space="preserve">standard deviation of that size before it can be attributed to a factor of the design.</w:t>
      </w:r>
    </w:p>
    <w:p>
      <w:pPr>
        <w:pStyle w:val="BodyText"/>
      </w:pPr>
      <w:r>
        <w:t xml:space="preserve">XMuLV titre is measured by an infectivity assay (AMV-3017) and MVM titre by infectivity</w:t>
      </w:r>
      <w:r>
        <w:t xml:space="preserve"> </w:t>
      </w:r>
      <w:r>
        <w:t xml:space="preserve">with a molecular confirmation (AMV-3018), while residual DNA is measured by qPCR</w:t>
      </w:r>
      <w:r>
        <w:t xml:space="preserve"> </w:t>
      </w:r>
      <w:r>
        <w:t xml:space="preserve">(AMV-3014). The precision of the two infectivity assays is reported as a standard</w:t>
      </w:r>
      <w:r>
        <w:t xml:space="preserve"> </w:t>
      </w:r>
      <w:r>
        <w:t xml:space="preserve">deviation on the log10 scale, which is not comparable with a relative standard deviation.</w:t>
      </w:r>
      <w:r>
        <w:t xml:space="preserve"> </w:t>
      </w:r>
      <w:r>
        <w:t xml:space="preserve">Both carry an intermediate precision of about</w:t>
      </w:r>
      <w:r>
        <w:t xml:space="preserve"> </w:t>
      </w:r>
      <w:r>
        <w:t xml:space="preserve">0.32 log10 (</w:t>
      </w:r>
      <w:hyperlink w:anchor="tbl-methods">
        <w:r>
          <w:rPr>
            <w:rStyle w:val="Hyperlink"/>
          </w:rPr>
          <w:t xml:space="preserve">Table 6</w:t>
        </w:r>
      </w:hyperlink>
      <w:r>
        <w:t xml:space="preserve">), so a difference of that order</w:t>
      </w:r>
      <w:r>
        <w:t xml:space="preserve"> </w:t>
      </w:r>
      <w:r>
        <w:t xml:space="preserve">between two clearance runs sits inside the noise of the assay and will not be interpreted</w:t>
      </w:r>
      <w:r>
        <w:t xml:space="preserve"> </w:t>
      </w:r>
      <w:r>
        <w:t xml:space="preserve">as an effect of a process parameter.</w:t>
      </w:r>
    </w:p>
    <w:p>
      <w:pPr>
        <w:pStyle w:val="BodyText"/>
      </w:pPr>
      <w:r>
        <w:t xml:space="preserve">Step yield is calculated from the product mass in the load and in the pool, each of them</w:t>
      </w:r>
      <w:r>
        <w:t xml:space="preserve"> </w:t>
      </w:r>
      <w:r>
        <w:t xml:space="preserve">the product of a measured protein concentration and a measured volume, and protein</w:t>
      </w:r>
      <w:r>
        <w:t xml:space="preserve"> </w:t>
      </w:r>
      <w:r>
        <w:t xml:space="preserve">concentration is measured by ultraviolet absorbance under AMV-3019. Validated performance</w:t>
      </w:r>
      <w:r>
        <w:t xml:space="preserve"> </w:t>
      </w:r>
      <w:r>
        <w:t xml:space="preserve">for that method, for the charge variant method (AMV-3013) and for the residual DNA method</w:t>
      </w:r>
      <w:r>
        <w:t xml:space="preserve"> </w:t>
      </w:r>
      <w:r>
        <w:t xml:space="preserve">(AMV-3014) is recorded in the respective method validation reports and is not reproduced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Where the virus titre of a pool falls below the quantitation limit of the infectivity</w:t>
      </w:r>
      <w:r>
        <w:t xml:space="preserve"> </w:t>
      </w:r>
      <w:r>
        <w:t xml:space="preserve">assay (</w:t>
      </w:r>
      <w:hyperlink w:anchor="tbl-methods">
        <w:r>
          <w:rPr>
            <w:rStyle w:val="Hyperlink"/>
          </w:rPr>
          <w:t xml:space="preserve">Table 6</w:t>
        </w:r>
      </w:hyperlink>
      <w:r>
        <w:t xml:space="preserve">), the log reduction factor is a lower bound and will be reported as</w:t>
      </w:r>
      <w:r>
        <w:t xml:space="preserve"> </w:t>
      </w:r>
      <w:r>
        <w:t xml:space="preserve">such. A lower bound is used as it stands in the modular clearance summary, and it is</w:t>
      </w:r>
      <w:r>
        <w:t xml:space="preserve"> </w:t>
      </w:r>
      <w:r>
        <w:t xml:space="preserve">never converted into a point estimate.</w:t>
      </w:r>
    </w:p>
    <w:bookmarkEnd w:id="26"/>
    <w:bookmarkStart w:id="27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Samples will be taken from the same points in every run, so that the study is balanced in</w:t>
      </w:r>
      <w:r>
        <w:t xml:space="preserve"> </w:t>
      </w:r>
      <w:r>
        <w:t xml:space="preserve">the analytical dimension as well as in the factors.</w:t>
      </w:r>
    </w:p>
    <w:p>
      <w:pPr>
        <w:pStyle w:val="BodyText"/>
      </w:pPr>
      <w:r>
        <w:t xml:space="preserve">Each run of the non-viral designs is sampled at the load and at the pool. The load is</w:t>
      </w:r>
      <w:r>
        <w:t xml:space="preserve"> </w:t>
      </w:r>
      <w:r>
        <w:t xml:space="preserve">sampled before application for protein concentration, pH, conductivity, host cell protein</w:t>
      </w:r>
      <w:r>
        <w:t xml:space="preserve"> </w:t>
      </w:r>
      <w:r>
        <w:t xml:space="preserve">and charge variants, and the flow-through pool is sampled after collection for protein</w:t>
      </w:r>
      <w:r>
        <w:t xml:space="preserve"> </w:t>
      </w:r>
      <w:r>
        <w:t xml:space="preserve">concentration, host cell protein, residual DNA and leached Protein A. A retain of each</w:t>
      </w:r>
      <w:r>
        <w:t xml:space="preserve"> </w:t>
      </w:r>
      <w:r>
        <w:t xml:space="preserve">pool is stored frozen, so that an unexpected result can be re-tested without repeating</w:t>
      </w:r>
      <w:r>
        <w:t xml:space="preserve"> </w:t>
      </w:r>
      <w:r>
        <w:t xml:space="preserve">the run.</w:t>
      </w:r>
    </w:p>
    <w:p>
      <w:pPr>
        <w:pStyle w:val="BodyText"/>
      </w:pPr>
      <w:r>
        <w:t xml:space="preserve">The viral runs are sampled differently. The spiked load and the flow-through pool are</w:t>
      </w:r>
      <w:r>
        <w:t xml:space="preserve"> </w:t>
      </w:r>
      <w:r>
        <w:t xml:space="preserve">assayed for infectious virus, and a cytotoxicity and interference control is run for each</w:t>
      </w:r>
      <w:r>
        <w:t xml:space="preserve"> </w:t>
      </w:r>
      <w:r>
        <w:t xml:space="preserve">matrix, as ICH Q5A(R2) requires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Centre point runs are sampled exactly as the factorial runs are. They will be executed at</w:t>
      </w:r>
      <w:r>
        <w:t xml:space="preserve"> </w:t>
      </w:r>
      <w:r>
        <w:t xml:space="preserve">intervals through the study and not consecutively, so that the pure error term reflects</w:t>
      </w:r>
      <w:r>
        <w:t xml:space="preserve"> </w:t>
      </w:r>
      <w:r>
        <w:t xml:space="preserve">the variability of the whole campaign and not the variability of a single day.</w:t>
      </w:r>
    </w:p>
    <w:bookmarkEnd w:id="27"/>
    <w:bookmarkStart w:id="28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The analysis follows SOP-1002. Each factor is coded so that the midpoint of its</w:t>
      </w:r>
      <w:r>
        <w:t xml:space="preserve"> </w:t>
      </w:r>
      <w:r>
        <w:t xml:space="preserve">characterization range is zero and the two edges are ±1, and every model is fitted to the</w:t>
      </w:r>
      <w:r>
        <w:t xml:space="preserve"> </w:t>
      </w:r>
      <w:r>
        <w:t xml:space="preserve">coded factors, so that estimated effects are comparable across factors carrying different</w:t>
      </w:r>
      <w:r>
        <w:t xml:space="preserve"> </w:t>
      </w:r>
      <w:r>
        <w:t xml:space="preserve">units. Centre point runs sit at the midpoint of every characterization range, which is the</w:t>
      </w:r>
      <w:r>
        <w:t xml:space="preserve"> </w:t>
      </w:r>
      <w:r>
        <w:t xml:space="preserve">common reference condition of both designs.</w:t>
      </w:r>
    </w:p>
    <w:p>
      <w:pPr>
        <w:pStyle w:val="BodyText"/>
      </w:pPr>
      <w:r>
        <w:t xml:space="preserve">The screening study will be analysed with a model carrying every main effect and every</w:t>
      </w:r>
      <w:r>
        <w:t xml:space="preserve"> </w:t>
      </w:r>
      <w:r>
        <w:t xml:space="preserve">two-factor interaction, fitted by ordinary least squares. An effect is reported as twice</w:t>
      </w:r>
      <w:r>
        <w:t xml:space="preserve"> </w:t>
      </w:r>
      <w:r>
        <w:t xml:space="preserve">the coded coefficient, which is the change in the response between the two edges of the</w:t>
      </w:r>
      <w:r>
        <w:t xml:space="preserve"> </w:t>
      </w:r>
      <w:r>
        <w:t xml:space="preserve">studied range. Terms are judged at α = 0.05, and the screening study identifies which</w:t>
      </w:r>
      <w:r>
        <w:t xml:space="preserve"> </w:t>
      </w:r>
      <w:r>
        <w:t xml:space="preserve">factors and which interactions act on each response. It is not the predictive model, and</w:t>
      </w:r>
      <w:r>
        <w:t xml:space="preserve"> </w:t>
      </w:r>
      <w:r>
        <w:t xml:space="preserve">no operating range will be defined from it.</w:t>
      </w:r>
    </w:p>
    <w:p>
      <w:pPr>
        <w:pStyle w:val="BodyText"/>
      </w:pPr>
      <w:r>
        <w:t xml:space="preserve">The response-surface study will be analysed with the full quadratic model in the</w:t>
      </w:r>
      <w:r>
        <w:t xml:space="preserve"> </w:t>
      </w:r>
      <w:r>
        <w:t xml:space="preserve">4 multivariate factors. That model carries 15 terms</w:t>
      </w:r>
      <w:r>
        <w:t xml:space="preserve"> </w:t>
      </w:r>
      <w:r>
        <w:t xml:space="preserve">against 28 runs and leaves 13 residual degrees of</w:t>
      </w:r>
      <w:r>
        <w:t xml:space="preserve"> </w:t>
      </w:r>
      <w:r>
        <w:t xml:space="preserve">freedom, and it is the predictive model, so it is the basis of the operating region, of</w:t>
      </w:r>
      <w:r>
        <w:t xml:space="preserve"> </w:t>
      </w:r>
      <w:r>
        <w:t xml:space="preserve">every proven acceptable range and of the capability estimates in this plan. Model adequacy</w:t>
      </w:r>
      <w:r>
        <w:t xml:space="preserve"> </w:t>
      </w:r>
      <w:r>
        <w:t xml:space="preserve">will be judged on four statements taken together. These are the significance of the</w:t>
      </w:r>
      <w:r>
        <w:t xml:space="preserve"> </w:t>
      </w:r>
      <w:r>
        <w:t xml:space="preserve">model F test, the coefficient of determination and its adjusted form, the predicted</w:t>
      </w:r>
      <w:r>
        <w:t xml:space="preserve"> </w:t>
      </w:r>
      <w:r>
        <w:t xml:space="preserve">coefficient of determination computed from the PRESS residuals, and the lack of fit test</w:t>
      </w:r>
      <w:r>
        <w:t xml:space="preserve"> </w:t>
      </w:r>
      <w:r>
        <w:t xml:space="preserve">against pure error. Residuals will be inspected against the predicted values, against the</w:t>
      </w:r>
      <w:r>
        <w:t xml:space="preserve"> </w:t>
      </w:r>
      <w:r>
        <w:t xml:space="preserve">run order and on a normal probability plot.</w:t>
      </w:r>
    </w:p>
    <w:p>
      <w:pPr>
        <w:pStyle w:val="BodyText"/>
      </w:pPr>
      <w:r>
        <w:t xml:space="preserve">A factor with no significant effect on any response is a result and not a gap. It will be</w:t>
      </w:r>
      <w:r>
        <w:t xml:space="preserve"> </w:t>
      </w:r>
      <w:r>
        <w:t xml:space="preserve">classified on the evidence of that absence. It will be retained in the knowledge space as</w:t>
      </w:r>
      <w:r>
        <w:t xml:space="preserve"> </w:t>
      </w:r>
      <w:r>
        <w:t xml:space="preserve">evidence that the governed attributes are robust to it across the range screened.</w:t>
      </w:r>
    </w:p>
    <w:p>
      <w:pPr>
        <w:pStyle w:val="BodyText"/>
      </w:pPr>
      <w:r>
        <w:t xml:space="preserve">Commercial scale capability will be estimated by Monte-Carlo simulation of</w:t>
      </w:r>
      <w:r>
        <w:t xml:space="preserve"> </w:t>
      </w:r>
      <w:r>
        <w:t xml:space="preserve">2,000 batches, with every parameter drawn inside its normal operating</w:t>
      </w:r>
      <w:r>
        <w:t xml:space="preserve"> </w:t>
      </w:r>
      <w:r>
        <w:t xml:space="preserve">range and the fitted models used to predict each attribute. Capability will be reported as</w:t>
      </w:r>
      <w:r>
        <w:t xml:space="preserve"> </w:t>
      </w:r>
      <w:r>
        <w:t xml:space="preserve">a one-sided Cpk against the relevant limit. This plan sets no numerical capability</w:t>
      </w:r>
      <w:r>
        <w:t xml:space="preserve"> </w:t>
      </w:r>
      <w:r>
        <w:t xml:space="preserve">threshold. The report will state each Cpk with the margin between the predicted</w:t>
      </w:r>
      <w:r>
        <w:t xml:space="preserve"> </w:t>
      </w:r>
      <w:r>
        <w:t xml:space="preserve">distribution and the limit, and the acceptability of that margin will be argued from the</w:t>
      </w:r>
      <w:r>
        <w:t xml:space="preserve"> </w:t>
      </w:r>
      <w:r>
        <w:t xml:space="preserve">criticality of the attribute and the control capability of the parameters.</w:t>
      </w:r>
    </w:p>
    <w:bookmarkEnd w:id="28"/>
    <w:bookmarkEnd w:id="29"/>
    <w:bookmarkStart w:id="36" w:name="study-design"/>
    <w:p>
      <w:pPr>
        <w:pStyle w:val="Heading1"/>
      </w:pPr>
      <w:r>
        <w:t xml:space="preserve">6. Study design</w:t>
      </w:r>
    </w:p>
    <w:p>
      <w:pPr>
        <w:pStyle w:val="FirstParagraph"/>
      </w:pPr>
      <w:r>
        <w:t xml:space="preserve">The design has to separate 4 factors that act on one equilibrium, so the</w:t>
      </w:r>
      <w:r>
        <w:t xml:space="preserve"> </w:t>
      </w:r>
      <w:r>
        <w:t xml:space="preserve">multivariate work is done in two stages. A screening study identifies the active factors</w:t>
      </w:r>
      <w:r>
        <w:t xml:space="preserve"> </w:t>
      </w:r>
      <w:r>
        <w:t xml:space="preserve">and interactions, a response-surface study models the region they define, and operating</w:t>
      </w:r>
      <w:r>
        <w:t xml:space="preserve"> </w:t>
      </w:r>
      <w:r>
        <w:t xml:space="preserve">flow rate is assessed one factor at a time for the mechanistic reason given below.</w:t>
      </w:r>
    </w:p>
    <w:bookmarkStart w:id="32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parameters, their set-points, the ranges to be studied and the normal operating ranges</w:t>
      </w:r>
      <w:r>
        <w:t xml:space="preserve"> </w:t>
      </w:r>
      <w:r>
        <w:t xml:space="preserve">are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 coded letters used for the 4 multivariate</w:t>
      </w:r>
      <w:r>
        <w:t xml:space="preserve"> </w:t>
      </w:r>
      <w:r>
        <w:t xml:space="preserve">factors in the design matrices are given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Parameters of the anion exchange step, with the ranges to be studied, the normal operating ranges and the assigned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99"/>
              <w:gridCol w:w="936"/>
              <w:gridCol w:w="1107"/>
              <w:gridCol w:w="1447"/>
              <w:gridCol w:w="936"/>
              <w:gridCol w:w="11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7.35–7.65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2.1–3.1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120–280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150–450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200–400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Every studied range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is wider than the corresponding normal operating range,</w:t>
      </w:r>
      <w:r>
        <w:t xml:space="preserve"> </w:t>
      </w:r>
      <w:r>
        <w:t xml:space="preserve">and deliberately so, because a characterization range has to bound the knowledge space,</w:t>
      </w:r>
      <w:r>
        <w:t xml:space="preserve"> </w:t>
      </w:r>
      <w:r>
        <w:t xml:space="preserve">which means it has to include settings the commercial process will not normally see</w:t>
      </w:r>
      <w:r>
        <w:t xml:space="preserve"> </w:t>
      </w:r>
      <w:r>
        <w:t xml:space="preserve">(CMC Biotech Working Group 2009)</w:t>
      </w:r>
      <w:r>
        <w:t xml:space="preserve">. The wider ranges also support later movement within the operating region</w:t>
      </w:r>
      <w:r>
        <w:t xml:space="preserve"> </w:t>
      </w:r>
      <w:r>
        <w:t xml:space="preserve">without new studies, and each range was set from prior knowledge and from the mechanism.</w:t>
      </w:r>
    </w:p>
    <w:p>
      <w:pPr>
        <w:pStyle w:val="BodyText"/>
      </w:pPr>
      <w:r>
        <w:t xml:space="preserve">Load pH will be studied over 7.2–7.8 against a set-point of</w:t>
      </w:r>
      <w:r>
        <w:t xml:space="preserve"> </w:t>
      </w:r>
      <w:r>
        <w:t xml:space="preserve">7.5 (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). The lower edge sits below the pH at which prior</w:t>
      </w:r>
      <w:r>
        <w:t xml:space="preserve"> </w:t>
      </w:r>
      <w:r>
        <w:t xml:space="preserve">products began to lose virus binding, so that the loss of clearance is bounded by</w:t>
      </w:r>
      <w:r>
        <w:t xml:space="preserve"> </w:t>
      </w:r>
      <w:r>
        <w:t xml:space="preserve">measurement instead of by extrapolation. The upper edge is limited by antibody stability</w:t>
      </w:r>
      <w:r>
        <w:t xml:space="preserve"> </w:t>
      </w:r>
      <w:r>
        <w:t xml:space="preserve">at the load protein concentration.</w:t>
      </w:r>
    </w:p>
    <w:p>
      <w:pPr>
        <w:pStyle w:val="BodyText"/>
      </w:pPr>
      <w:r>
        <w:t xml:space="preserve">Equilibration and wash-1 conductivity will be studied over 1.6–3.6</w:t>
      </w:r>
      <w:r>
        <w:t xml:space="preserve"> </w:t>
      </w:r>
      <w:r>
        <w:t xml:space="preserve">mS/cm, where the lower edge is a more dilute buffer than the commercial site will prepare</w:t>
      </w:r>
      <w:r>
        <w:t xml:space="preserve"> </w:t>
      </w:r>
      <w:r>
        <w:t xml:space="preserve">and the upper edge lies above the conductivity at which platform experience shows host</w:t>
      </w:r>
      <w:r>
        <w:t xml:space="preserve"> </w:t>
      </w:r>
      <w:r>
        <w:t xml:space="preserve">cell protein beginning to appear in the flow-through.</w:t>
      </w:r>
    </w:p>
    <w:p>
      <w:pPr>
        <w:pStyle w:val="BodyText"/>
      </w:pPr>
      <w:r>
        <w:t xml:space="preserve">Load conductivity will be studied over 3–8 mS/cm. The load enters</w:t>
      </w:r>
      <w:r>
        <w:t xml:space="preserve"> </w:t>
      </w:r>
      <w:r>
        <w:t xml:space="preserve">this step from the cation exchange pool, and its conductivity is the input property most</w:t>
      </w:r>
      <w:r>
        <w:t xml:space="preserve"> </w:t>
      </w:r>
      <w:r>
        <w:t xml:space="preserve">likely to move from batch to batch, so the range is wide enough to cover a cation exchange</w:t>
      </w:r>
      <w:r>
        <w:t xml:space="preserve"> </w:t>
      </w:r>
      <w:r>
        <w:t xml:space="preserve">pool taken from either end of its own operating region.</w:t>
      </w:r>
    </w:p>
    <w:p>
      <w:pPr>
        <w:pStyle w:val="BodyText"/>
      </w:pPr>
      <w:r>
        <w:t xml:space="preserve">Protein load will be studied over 50–300 g/L resin, and the upper edge</w:t>
      </w:r>
      <w:r>
        <w:t xml:space="preserve"> </w:t>
      </w:r>
      <w:r>
        <w:t xml:space="preserve">lies above the highest load the commercial column will be asked to carry, so that the</w:t>
      </w:r>
      <w:r>
        <w:t xml:space="preserve"> </w:t>
      </w:r>
      <w:r>
        <w:t xml:space="preserve">capacity of the step is bounded by data. The lower edge lies well below the set-point,</w:t>
      </w:r>
      <w:r>
        <w:t xml:space="preserve"> </w:t>
      </w:r>
      <w:r>
        <w:t xml:space="preserve">because a response-surface model may only be used inside the region it was fitted over,</w:t>
      </w:r>
      <w:r>
        <w:t xml:space="preserve"> </w:t>
      </w:r>
      <w:r>
        <w:t xml:space="preserve">and the low end of the load range has to be part of that region.</w:t>
      </w:r>
    </w:p>
    <w:p>
      <w:pPr>
        <w:pStyle w:val="BodyText"/>
      </w:pPr>
      <w:r>
        <w:t xml:space="preserve">Operating flow rate will be studied over 150–450 cm/hr, one factor at a</w:t>
      </w:r>
      <w:r>
        <w:t xml:space="preserve"> </w:t>
      </w:r>
      <w:r>
        <w:t xml:space="preserve">time.</w:t>
      </w:r>
    </w:p>
    <w:bookmarkEnd w:id="32"/>
    <w:bookmarkStart w:id="33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study is a two-level full factorial in the 4 multivariate</w:t>
      </w:r>
      <w:r>
        <w:t xml:space="preserve"> </w:t>
      </w:r>
      <w:r>
        <w:t xml:space="preserve">factors, augmented with 3 centre points, giving 19 runs in</w:t>
      </w:r>
      <w:r>
        <w:t xml:space="preserve"> </w:t>
      </w:r>
      <w:r>
        <w:t xml:space="preserve">total. The planned matrix is given in Appendix A. A full factorial was chosen in</w:t>
      </w:r>
      <w:r>
        <w:t xml:space="preserve"> </w:t>
      </w:r>
      <w:r>
        <w:t xml:space="preserve">preference to a fractional design because a design in 4 factors is small</w:t>
      </w:r>
      <w:r>
        <w:t xml:space="preserve"> </w:t>
      </w:r>
      <w:r>
        <w:t xml:space="preserve">enough to afford it, and because the expected interactions are between factors that act on</w:t>
      </w:r>
      <w:r>
        <w:t xml:space="preserve"> </w:t>
      </w:r>
      <w:r>
        <w:t xml:space="preserve">the same equilibrium. No</w:t>
      </w:r>
      <w:r>
        <w:t xml:space="preserve"> </w:t>
      </w:r>
      <w:r>
        <w:t xml:space="preserve">interaction may be aliased with a main effect at this step, since an interaction between</w:t>
      </w:r>
      <w:r>
        <w:t xml:space="preserve"> </w:t>
      </w:r>
      <w:r>
        <w:t xml:space="preserve">load pH and load conductivity is the effect the viral clearance claim is most sensitive to.</w:t>
      </w:r>
    </w:p>
    <w:p>
      <w:pPr>
        <w:pStyle w:val="BodyText"/>
      </w:pPr>
      <w:r>
        <w:t xml:space="preserve">The design estimates all 4 main effects and all 6 two-factor</w:t>
      </w:r>
      <w:r>
        <w:t xml:space="preserve"> </w:t>
      </w:r>
      <w:r>
        <w:t xml:space="preserve">interactions independently, and it leaves 8 residual degrees of</w:t>
      </w:r>
      <w:r>
        <w:t xml:space="preserve"> </w:t>
      </w:r>
      <w:r>
        <w:t xml:space="preserve">freedom for the two-factor interaction model. Runs will be executed in a randomized order,</w:t>
      </w:r>
      <w:r>
        <w:t xml:space="preserve"> </w:t>
      </w:r>
      <w:r>
        <w:t xml:space="preserve">with the centre points distributed through the sequence. The purpose of this study is to</w:t>
      </w:r>
      <w:r>
        <w:t xml:space="preserve"> </w:t>
      </w:r>
      <w:r>
        <w:t xml:space="preserve">identify which factors and interactions act on each response, and the magnitudes it</w:t>
      </w:r>
      <w:r>
        <w:t xml:space="preserve"> </w:t>
      </w:r>
      <w:r>
        <w:t xml:space="preserve">estimates will be refined by the response-surface study.</w:t>
      </w:r>
    </w:p>
    <w:bookmarkEnd w:id="33"/>
    <w:bookmarkStart w:id="34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study is a face-centred central composite design in the same</w:t>
      </w:r>
      <w:r>
        <w:t xml:space="preserve"> </w:t>
      </w:r>
      <w:r>
        <w:t xml:space="preserve">4 factors, and it carries 16 factorial runs,</w:t>
      </w:r>
      <w:r>
        <w:t xml:space="preserve"> </w:t>
      </w:r>
      <w:r>
        <w:t xml:space="preserve">8 axial runs and 4 centre points, giving 28</w:t>
      </w:r>
      <w:r>
        <w:t xml:space="preserve"> </w:t>
      </w:r>
      <w:r>
        <w:t xml:space="preserve">runs in total. The planned matrix is given in Appendix B. The axial points sit on the</w:t>
      </w:r>
      <w:r>
        <w:t xml:space="preserve"> </w:t>
      </w:r>
      <w:r>
        <w:t xml:space="preserve">faces of the cube and not outside it, so no run is executed beyond the characterization</w:t>
      </w:r>
      <w:r>
        <w:t xml:space="preserve"> </w:t>
      </w:r>
      <w:r>
        <w:t xml:space="preserve">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That matters here, because those ranges are the edges of the</w:t>
      </w:r>
      <w:r>
        <w:t xml:space="preserve"> </w:t>
      </w:r>
      <w:r>
        <w:t xml:space="preserve">knowledge space and the study is not permitted to operate the model outside them.</w:t>
      </w:r>
    </w:p>
    <w:p>
      <w:pPr>
        <w:pStyle w:val="BodyText"/>
      </w:pPr>
      <w:r>
        <w:t xml:space="preserve">All 4 multivariate factors are carried into the response-surface design.</w:t>
      </w:r>
      <w:r>
        <w:t xml:space="preserve"> </w:t>
      </w:r>
      <w:r>
        <w:t xml:space="preserve">None can be excluded in advance, since each is expected to act on at least one of the</w:t>
      </w:r>
      <w:r>
        <w:t xml:space="preserve"> </w:t>
      </w:r>
      <w:r>
        <w:t xml:space="preserve">4 responses and the two conductivities are expected to interact with load</w:t>
      </w:r>
      <w:r>
        <w:t xml:space="preserve"> </w:t>
      </w:r>
      <w:r>
        <w:t xml:space="preserve">pH. The design adds the curvature terms that a two-level screening design cannot estimate.</w:t>
      </w:r>
      <w:r>
        <w:t xml:space="preserve"> </w:t>
      </w:r>
      <w:r>
        <w:t xml:space="preserve">The fitted quadratic model is the model from which the operating region, the proven</w:t>
      </w:r>
      <w:r>
        <w:t xml:space="preserve"> </w:t>
      </w:r>
      <w:r>
        <w:t xml:space="preserve">acceptable ranges and the capability estimates will be derived. It is the only model in</w:t>
      </w:r>
      <w:r>
        <w:t xml:space="preserve"> </w:t>
      </w:r>
      <w:r>
        <w:t xml:space="preserve">this study that will be used to predict.</w:t>
      </w:r>
    </w:p>
    <w:bookmarkEnd w:id="34"/>
    <w:bookmarkStart w:id="35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Operating flow rate will be assessed one factor at a time. It will be run at its</w:t>
      </w:r>
      <w:r>
        <w:t xml:space="preserve"> </w:t>
      </w:r>
      <w:r>
        <w:t xml:space="preserve">set-point and at each edge of 150–450 cm/hr, with the 4</w:t>
      </w:r>
      <w:r>
        <w:t xml:space="preserve"> </w:t>
      </w:r>
      <w:r>
        <w:t xml:space="preserve">multivariate factors held at their set-points, and the same responses will be measured at</w:t>
      </w:r>
      <w:r>
        <w:t xml:space="preserve"> </w:t>
      </w:r>
      <w:r>
        <w:t xml:space="preserve">each setting.</w:t>
      </w:r>
    </w:p>
    <w:p>
      <w:pPr>
        <w:pStyle w:val="BodyText"/>
      </w:pPr>
      <w:r>
        <w:t xml:space="preserve">The reason it is held out of the multivariate design is mechanistic. Flow rate acts on the</w:t>
      </w:r>
      <w:r>
        <w:t xml:space="preserve"> </w:t>
      </w:r>
      <w:r>
        <w:t xml:space="preserve">separation through residence time, and residence time governs how closely impurity binding</w:t>
      </w:r>
      <w:r>
        <w:t xml:space="preserve"> </w:t>
      </w:r>
      <w:r>
        <w:t xml:space="preserve">approaches equilibrium. It does not change the charge state of the antibody or of the</w:t>
      </w:r>
      <w:r>
        <w:t xml:space="preserve"> </w:t>
      </w:r>
      <w:r>
        <w:t xml:space="preserve">impurities, which is how the multivariate factors act, so an interaction between flow rate</w:t>
      </w:r>
      <w:r>
        <w:t xml:space="preserve"> </w:t>
      </w:r>
      <w:r>
        <w:t xml:space="preserve">and the solution properties is not expected. RA-001 assigned it a</w:t>
      </w:r>
      <w:r>
        <w:t xml:space="preserve"> </w:t>
      </w:r>
      <w:r>
        <w:t xml:space="preserve">univariate study on that basis (</w:t>
      </w:r>
      <w:hyperlink w:anchor="tbl-risk">
        <w:r>
          <w:rPr>
            <w:rStyle w:val="Hyperlink"/>
          </w:rPr>
          <w:t xml:space="preserve">Table 5</w:t>
        </w:r>
      </w:hyperlink>
      <w:r>
        <w:t xml:space="preserve">). If the univariate runs show an effect on viral</w:t>
      </w:r>
      <w:r>
        <w:t xml:space="preserve"> </w:t>
      </w:r>
      <w:r>
        <w:t xml:space="preserve">clearance at the high edge of the range, the parameter will be carried into a further</w:t>
      </w:r>
      <w:r>
        <w:t xml:space="preserve"> </w:t>
      </w:r>
      <w:r>
        <w:t xml:space="preserve">multivariate study and this plan revised under change control.</w:t>
      </w:r>
    </w:p>
    <w:bookmarkEnd w:id="35"/>
    <w:bookmarkEnd w:id="36"/>
    <w:bookmarkStart w:id="38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This section states the criteria the study must meet, before any data exist. They apply to</w:t>
      </w:r>
      <w:r>
        <w:t xml:space="preserve"> </w:t>
      </w:r>
      <w:r>
        <w:t xml:space="preserve">the scale-down model, to the fitted models and to the measured quality attributes.</w:t>
      </w:r>
    </w:p>
    <w:p>
      <w:pPr>
        <w:pStyle w:val="BodyText"/>
      </w:pPr>
      <w:r>
        <w:t xml:space="preserve">The scale-down model must be qualified before any characterization run starts. The</w:t>
      </w:r>
      <w:r>
        <w:t xml:space="preserve"> </w:t>
      </w:r>
      <w:r>
        <w:t xml:space="preserve">criterion is the one given above under materials and methods. There must be no significant</w:t>
      </w:r>
      <w:r>
        <w:t xml:space="preserve"> </w:t>
      </w:r>
      <w:r>
        <w:t xml:space="preserve">difference between the model and the commercial scale record on step yield, pool host cell</w:t>
      </w:r>
      <w:r>
        <w:t xml:space="preserve"> </w:t>
      </w:r>
      <w:r>
        <w:t xml:space="preserve">protein and pool volume, and every model result must fall inside the range observed at</w:t>
      </w:r>
      <w:r>
        <w:t xml:space="preserve"> </w:t>
      </w:r>
      <w:r>
        <w:t xml:space="preserve">scale (SOP-1001). Runs performed on a model that has not met that criterion will not be</w:t>
      </w:r>
      <w:r>
        <w:t xml:space="preserve"> </w:t>
      </w:r>
      <w:r>
        <w:t xml:space="preserve">used to define an operating range.</w:t>
      </w:r>
    </w:p>
    <w:p>
      <w:pPr>
        <w:pStyle w:val="BodyText"/>
      </w:pPr>
      <w:r>
        <w:t xml:space="preserve">A fitted model will be used to define the operating region only if it is adequate. The</w:t>
      </w:r>
      <w:r>
        <w:t xml:space="preserve"> </w:t>
      </w:r>
      <w:r>
        <w:t xml:space="preserve">model F test must be significant at α = 0.05, the lack of fit test against pure error must</w:t>
      </w:r>
      <w:r>
        <w:t xml:space="preserve"> </w:t>
      </w:r>
      <w:r>
        <w:t xml:space="preserve">not be significant at the same level, and the predicted coefficient of determination must</w:t>
      </w:r>
      <w:r>
        <w:t xml:space="preserve"> </w:t>
      </w:r>
      <w:r>
        <w:t xml:space="preserve">be close enough to the adjusted value to show that the model predicts and does not merely</w:t>
      </w:r>
      <w:r>
        <w:t xml:space="preserve"> </w:t>
      </w:r>
      <w:r>
        <w:t xml:space="preserve">fit. A significant lack of fit will be investigated before the model is used, and both the</w:t>
      </w:r>
      <w:r>
        <w:t xml:space="preserve"> </w:t>
      </w:r>
      <w:r>
        <w:t xml:space="preserve">investigation and its outcome will be reported in PCR-008. Where a response yields no</w:t>
      </w:r>
      <w:r>
        <w:t xml:space="preserve"> </w:t>
      </w:r>
      <w:r>
        <w:t xml:space="preserve">significant model, that will be reported as an absence of effect over the ranges studied,</w:t>
      </w:r>
      <w:r>
        <w:t xml:space="preserve"> </w:t>
      </w:r>
      <w:r>
        <w:t xml:space="preserve">and the parameters will be classified on that evidence.</w:t>
      </w:r>
    </w:p>
    <w:p>
      <w:pPr>
        <w:pStyle w:val="BodyText"/>
      </w:pPr>
      <w:r>
        <w:t xml:space="preserve">The acceptance criteria for the measured responses are given in</w:t>
      </w:r>
      <w:r>
        <w:t xml:space="preserve"> </w:t>
      </w:r>
      <w:hyperlink w:anchor="tbl-acceptance">
        <w:r>
          <w:rPr>
            <w:rStyle w:val="Hyperlink"/>
          </w:rPr>
          <w:t xml:space="preserve">Table 9</w:t>
        </w:r>
      </w:hyperlink>
      <w:r>
        <w:t xml:space="preserve">, together</w:t>
      </w:r>
      <w:r>
        <w:t xml:space="preserve"> </w:t>
      </w:r>
      <w:r>
        <w:t xml:space="preserve">with the basis of each.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ccept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Acceptance criteria for the measured responses, with the basis of each.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85"/>
              <w:gridCol w:w="1723"/>
              <w:gridCol w:w="1118"/>
              <w:gridCol w:w="885"/>
              <w:gridCol w:w="33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attribute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 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Drug-substance 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3.78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log₁₀ (this step)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requirement less the clearance credited to the other steps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3.28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log₁₀ (this step)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requirement less the clearance credited to the other steps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Pool host cell protein is judged against the drug substance specification, which is a</w:t>
      </w:r>
      <w:r>
        <w:t xml:space="preserve"> </w:t>
      </w:r>
      <w:r>
        <w:t xml:space="preserve">ceiling of 100 ng/mg (</w:t>
      </w:r>
      <w:hyperlink w:anchor="tbl-acceptance">
        <w:r>
          <w:rPr>
            <w:rStyle w:val="Hyperlink"/>
          </w:rPr>
          <w:t xml:space="preserve">Table 9</w:t>
        </w:r>
      </w:hyperlink>
      <w:r>
        <w:t xml:space="preserve">). The two viral clearance</w:t>
      </w:r>
      <w:r>
        <w:t xml:space="preserve"> </w:t>
      </w:r>
      <w:r>
        <w:t xml:space="preserve">responses are judged against a step-level requirement instead, because the specification</w:t>
      </w:r>
      <w:r>
        <w:t xml:space="preserve"> </w:t>
      </w:r>
      <w:r>
        <w:t xml:space="preserve">is cumulative across the process and no single step is asked to meet it alone. The</w:t>
      </w:r>
      <w:r>
        <w:t xml:space="preserve"> </w:t>
      </w:r>
      <w:r>
        <w:t xml:space="preserve">cumulative MVM requirement is</w:t>
      </w:r>
      <w:r>
        <w:t xml:space="preserve"> </w:t>
      </w:r>
      <w:r>
        <w:t xml:space="preserve">8.6 log10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), and subtracting the clearance credited to the</w:t>
      </w:r>
      <w:r>
        <w:t xml:space="preserve"> </w:t>
      </w:r>
      <w:r>
        <w:t xml:space="preserve">other steps of the train leaves 3.28 log10 for this step, while</w:t>
      </w:r>
      <w:r>
        <w:t xml:space="preserve"> </w:t>
      </w:r>
      <w:r>
        <w:t xml:space="preserve">the same calculation gives 3.78 log10 for XMuLV. Those two</w:t>
      </w:r>
      <w:r>
        <w:t xml:space="preserve"> </w:t>
      </w:r>
      <w:r>
        <w:t xml:space="preserve">figures are what the operating region has to satisfy here, and step yield carries no</w:t>
      </w:r>
      <w:r>
        <w:t xml:space="preserve"> </w:t>
      </w:r>
      <w:r>
        <w:t xml:space="preserve">acceptance criterion at all, since it is measured as a process performance response.</w:t>
      </w:r>
    </w:p>
    <w:p>
      <w:pPr>
        <w:pStyle w:val="BodyText"/>
      </w:pPr>
      <w:r>
        <w:t xml:space="preserve">The operating region will be declared acceptable when the fitted response-surface models</w:t>
      </w:r>
      <w:r>
        <w:t xml:space="preserve"> </w:t>
      </w:r>
      <w:r>
        <w:t xml:space="preserve">predict every governed attribute inside its criterion across the whole region, and when</w:t>
      </w:r>
      <w:r>
        <w:t xml:space="preserve"> </w:t>
      </w:r>
      <w:r>
        <w:t xml:space="preserve">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lie inside it. The worst case corner of the</w:t>
      </w:r>
      <w:r>
        <w:t xml:space="preserve"> </w:t>
      </w:r>
      <w:r>
        <w:t xml:space="preserve">region follows from the mechanism, and it is the corner at the lowest load pH, the highest</w:t>
      </w:r>
      <w:r>
        <w:t xml:space="preserve"> </w:t>
      </w:r>
      <w:r>
        <w:t xml:space="preserve">load conductivity, the highest equilibration and wash-1 conductivity and the highest</w:t>
      </w:r>
      <w:r>
        <w:t xml:space="preserve"> </w:t>
      </w:r>
      <w:r>
        <w:t xml:space="preserve">protein load. Clearance is expected to be lowest there and pool host cell protein highest,</w:t>
      </w:r>
      <w:r>
        <w:t xml:space="preserve"> </w:t>
      </w:r>
      <w:r>
        <w:t xml:space="preserve">so the region will not be declared acceptable unless the prediction at that corner meets</w:t>
      </w:r>
      <w:r>
        <w:t xml:space="preserve"> </w:t>
      </w:r>
      <w:r>
        <w:t xml:space="preserve">both criteria.</w:t>
      </w:r>
    </w:p>
    <w:p>
      <w:pPr>
        <w:pStyle w:val="BodyText"/>
      </w:pPr>
      <w:r>
        <w:t xml:space="preserve">If a governed attribute fails inside the characterized ranges, the region will be reduced</w:t>
      </w:r>
      <w:r>
        <w:t xml:space="preserve"> </w:t>
      </w:r>
      <w:r>
        <w:t xml:space="preserve">to the sub-region that meets the criteria, and the boundary will then be reported as an</w:t>
      </w:r>
      <w:r>
        <w:t xml:space="preserve"> </w:t>
      </w:r>
      <w:r>
        <w:t xml:space="preserve">edge of failure. If that boundary falls inside a normal operating range, the normal</w:t>
      </w:r>
      <w:r>
        <w:t xml:space="preserve"> </w:t>
      </w:r>
      <w:r>
        <w:t xml:space="preserve">operating range itself will be revised, and the revision will be handled under the</w:t>
      </w:r>
      <w:r>
        <w:t xml:space="preserve"> </w:t>
      </w:r>
      <w:r>
        <w:t xml:space="preserve">pharmaceutical quality system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p>
      <w:pPr>
        <w:pStyle w:val="BodyText"/>
      </w:pPr>
      <w:r>
        <w:t xml:space="preserve">Departures from this plan will be recorded and impact-assessed in PCR-008. A departure</w:t>
      </w:r>
      <w:r>
        <w:t xml:space="preserve"> </w:t>
      </w:r>
      <w:r>
        <w:t xml:space="preserve">that leaves a run inside its designed setting will be assessed and the run retained. A</w:t>
      </w:r>
      <w:r>
        <w:t xml:space="preserve"> </w:t>
      </w:r>
      <w:r>
        <w:t xml:space="preserve">departure that makes a run unrepresentative of the commercial process invalidates the</w:t>
      </w:r>
      <w:r>
        <w:t xml:space="preserve"> </w:t>
      </w:r>
      <w:r>
        <w:t xml:space="preserve">affected design, and a load material outside the acceptance stated above under operation</w:t>
      </w:r>
      <w:r>
        <w:t xml:space="preserve"> </w:t>
      </w:r>
      <w:r>
        <w:t xml:space="preserve">is such a departure. In that case the affected runs will be repeated in full on</w:t>
      </w:r>
      <w:r>
        <w:t xml:space="preserve"> </w:t>
      </w:r>
      <w:r>
        <w:t xml:space="preserve">requalified material, and the invalidated data will be retained for the root cause</w:t>
      </w:r>
      <w:r>
        <w:t xml:space="preserve"> </w:t>
      </w:r>
      <w:r>
        <w:t xml:space="preserve">investigation and excluded from the reported analysis.</w:t>
      </w:r>
    </w:p>
    <w:bookmarkEnd w:id="38"/>
    <w:bookmarkStart w:id="39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operating region is multivariate and a proven acceptable range is not. Both will be</w:t>
      </w:r>
      <w:r>
        <w:t xml:space="preserve"> </w:t>
      </w:r>
      <w:r>
        <w:t xml:space="preserve">reported, and this section states how the ranges will be derived and what they will mean.</w:t>
      </w:r>
    </w:p>
    <w:p>
      <w:pPr>
        <w:pStyle w:val="BodyText"/>
      </w:pPr>
      <w:r>
        <w:t xml:space="preserve">The acceptance basis is the one given in</w:t>
      </w:r>
      <w:r>
        <w:t xml:space="preserve"> </w:t>
      </w:r>
      <w:hyperlink w:anchor="tbl-acceptance">
        <w:r>
          <w:rPr>
            <w:rStyle w:val="Hyperlink"/>
          </w:rPr>
          <w:t xml:space="preserve">Table 9</w:t>
        </w:r>
      </w:hyperlink>
      <w:r>
        <w:t xml:space="preserve">. For pool host cell protein the</w:t>
      </w:r>
      <w:r>
        <w:t xml:space="preserve"> </w:t>
      </w:r>
      <w:r>
        <w:t xml:space="preserve">criterion is the drug substance specification. For the two viral clearance responses it is</w:t>
      </w:r>
      <w:r>
        <w:t xml:space="preserve"> </w:t>
      </w:r>
      <w:r>
        <w:t xml:space="preserve">the step-level requirement back-calculated from the cumulative requirement, and no other</w:t>
      </w:r>
      <w:r>
        <w:t xml:space="preserve"> </w:t>
      </w:r>
      <w:r>
        <w:t xml:space="preserve">value is used in this analysis.</w:t>
      </w:r>
    </w:p>
    <w:p>
      <w:pPr>
        <w:pStyle w:val="BodyText"/>
      </w:pPr>
      <w:r>
        <w:t xml:space="preserve">Two analyses will be run for each governed attribute and each response-surface factor.</w:t>
      </w:r>
      <w:r>
        <w:t xml:space="preserve"> </w:t>
      </w:r>
      <w:r>
        <w:t xml:space="preserve">The first holds the other parameters at their set-points and evaluates the fitted</w:t>
      </w:r>
      <w:r>
        <w:t xml:space="preserve"> </w:t>
      </w:r>
      <w:r>
        <w:t xml:space="preserve">response-surface model across the parameter’s characterization range. The second varies</w:t>
      </w:r>
      <w:r>
        <w:t xml:space="preserve"> </w:t>
      </w:r>
      <w:r>
        <w:t xml:space="preserve">the other parameters inside their normal operating ranges, drawing</w:t>
      </w:r>
      <w:r>
        <w:t xml:space="preserve"> </w:t>
      </w:r>
      <w:r>
        <w:t xml:space="preserve">2,000</w:t>
      </w:r>
      <w:r>
        <w:t xml:space="preserve"> </w:t>
      </w:r>
      <w:r>
        <w:t xml:space="preserve">Monte-Carlo samples of those parameters at each of 81 points across the</w:t>
      </w:r>
      <w:r>
        <w:t xml:space="preserve"> </w:t>
      </w:r>
      <w:r>
        <w:t xml:space="preserve">range, predicting the attribute from the fitted model with its residual variance included,</w:t>
      </w:r>
      <w:r>
        <w:t xml:space="preserve"> </w:t>
      </w:r>
      <w:r>
        <w:t xml:space="preserve">and taking the 95% predictive interval of the result.</w:t>
      </w:r>
    </w:p>
    <w:p>
      <w:pPr>
        <w:pStyle w:val="BodyText"/>
      </w:pPr>
      <w:r>
        <w:t xml:space="preserve">The decision rule is the same in both analyses. The proven acceptable range is the</w:t>
      </w:r>
      <w:r>
        <w:t xml:space="preserve"> </w:t>
      </w:r>
      <w:r>
        <w:t xml:space="preserve">contiguous interval of the parameter, containing the set-point, over which the attribute</w:t>
      </w:r>
      <w:r>
        <w:t xml:space="preserve"> </w:t>
      </w:r>
      <w:r>
        <w:t xml:space="preserve">meets its criterion. In the first analysis that test is applied to the predicted mean, and</w:t>
      </w:r>
      <w:r>
        <w:t xml:space="preserve"> </w:t>
      </w:r>
      <w:r>
        <w:t xml:space="preserve">in the second it is applied to the whole predictive interval. The second rule is the</w:t>
      </w:r>
      <w:r>
        <w:t xml:space="preserve"> </w:t>
      </w:r>
      <w:r>
        <w:t xml:space="preserve">stricter of the two, so where the two ranges differ the narrower one is the range the</w:t>
      </w:r>
      <w:r>
        <w:t xml:space="preserve"> </w:t>
      </w:r>
      <w:r>
        <w:t xml:space="preserve">control strategy will rely on.</w:t>
      </w:r>
    </w:p>
    <w:p>
      <w:pPr>
        <w:pStyle w:val="BodyText"/>
      </w:pPr>
      <w:r>
        <w:t xml:space="preserve">Each governed attribute will be reported with a plot of its governing parameter, which is</w:t>
      </w:r>
      <w:r>
        <w:t xml:space="preserve"> </w:t>
      </w:r>
      <w:r>
        <w:t xml:space="preserve">the parameter carrying the largest main effect on that attribute. The plot carries the</w:t>
      </w:r>
      <w:r>
        <w:t xml:space="preserve"> </w:t>
      </w:r>
      <w:r>
        <w:t xml:space="preserve">parameter on the horizontal axis and the attribute on the vertical axis, with</w:t>
      </w:r>
      <w:r>
        <w:t xml:space="preserve"> </w:t>
      </w:r>
      <w:r>
        <w:t xml:space="preserve">the acceptance limit drawn, the acceptable region shaded green, and the set-point and the</w:t>
      </w:r>
      <w:r>
        <w:t xml:space="preserve"> </w:t>
      </w:r>
      <w:r>
        <w:t xml:space="preserve">normal operating range marked. The two analyses appear as the two panels of the same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The relationship between a proven acceptable range and the operating region has to be</w:t>
      </w:r>
      <w:r>
        <w:t xml:space="preserve"> </w:t>
      </w:r>
      <w:r>
        <w:t xml:space="preserve">stated, because the two are easily confused. A proven acceptable range is a statement</w:t>
      </w:r>
      <w:r>
        <w:t xml:space="preserve"> </w:t>
      </w:r>
      <w:r>
        <w:t xml:space="preserve">about one parameter while the others are held or varied in a defined way. The operating</w:t>
      </w:r>
      <w:r>
        <w:t xml:space="preserve"> </w:t>
      </w:r>
      <w:r>
        <w:t xml:space="preserve">region is a statement about all 4 factors together. Where a whole</w:t>
      </w:r>
      <w:r>
        <w:t xml:space="preserve"> </w:t>
      </w:r>
      <w:r>
        <w:t xml:space="preserve">characterization range is proven acceptable for every governed attribute, the binding</w:t>
      </w:r>
      <w:r>
        <w:t xml:space="preserve"> </w:t>
      </w:r>
      <w:r>
        <w:t xml:space="preserve">constraint on the process is the multivariate corner of the region and not any univariate</w:t>
      </w:r>
      <w:r>
        <w:t xml:space="preserve"> </w:t>
      </w:r>
      <w:r>
        <w:t xml:space="preserve">range, and the report will say so explicitly.</w:t>
      </w:r>
    </w:p>
    <w:p>
      <w:pPr>
        <w:pStyle w:val="BodyText"/>
      </w:pPr>
      <w:r>
        <w:t xml:space="preserve">Every range reported by this method is bounded by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by the fitted model. It says nothing about settings outside those ranges,</w:t>
      </w:r>
      <w:r>
        <w:t xml:space="preserve"> </w:t>
      </w:r>
      <w:r>
        <w:t xml:space="preserve">and nothing about a load material that falls outside the acceptance stated above under</w:t>
      </w:r>
      <w:r>
        <w:t xml:space="preserve"> </w:t>
      </w:r>
      <w:r>
        <w:t xml:space="preserve">operation.</w:t>
      </w:r>
    </w:p>
    <w:bookmarkEnd w:id="39"/>
    <w:bookmarkStart w:id="40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Study records will be managed to ALCOA+ expectations. Chromatography runs are recorded by</w:t>
      </w:r>
      <w:r>
        <w:t xml:space="preserve"> </w:t>
      </w:r>
      <w:r>
        <w:t xml:space="preserve">the instrument control system and analytical results by the laboratory information</w:t>
      </w:r>
      <w:r>
        <w:t xml:space="preserve"> </w:t>
      </w:r>
      <w:r>
        <w:t xml:space="preserve">management system, and both records are retained with their audit trails for the review</w:t>
      </w:r>
      <w:r>
        <w:t xml:space="preserve"> </w:t>
      </w:r>
      <w:r>
        <w:t xml:space="preserve">that closes the study. The statistical analysis will be performed in the validated</w:t>
      </w:r>
      <w:r>
        <w:t xml:space="preserve"> </w:t>
      </w:r>
      <w:r>
        <w:t xml:space="preserve">environment described in SOP-1002, and the analysis scripts and the data extracts are</w:t>
      </w:r>
      <w:r>
        <w:t xml:space="preserve"> </w:t>
      </w:r>
      <w:r>
        <w:t xml:space="preserve">retained with the study record.</w:t>
      </w:r>
    </w:p>
    <w:p>
      <w:pPr>
        <w:pStyle w:val="BodyText"/>
      </w:pPr>
      <w:r>
        <w:t xml:space="preserve">Any value transcribed by hand will be verified by a second person against the source</w:t>
      </w:r>
      <w:r>
        <w:t xml:space="preserve"> </w:t>
      </w:r>
      <w:r>
        <w:t xml:space="preserve">record. Data excluded from an analysis will be identified in PCR-008 with the reason for</w:t>
      </w:r>
      <w:r>
        <w:t xml:space="preserve"> </w:t>
      </w:r>
      <w:r>
        <w:t xml:space="preserve">its exclusion, and no result will be removed from the record itself. Raw data, analysis</w:t>
      </w:r>
      <w:r>
        <w:t xml:space="preserve"> </w:t>
      </w:r>
      <w:r>
        <w:t xml:space="preserve">files and the report are retained for the life of the product.</w:t>
      </w:r>
    </w:p>
    <w:bookmarkEnd w:id="40"/>
    <w:bookmarkStart w:id="42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The functions that carry work under this plan are listed in</w:t>
      </w:r>
      <w:r>
        <w:t xml:space="preserve"> </w:t>
      </w:r>
      <w:hyperlink w:anchor="tbl-roles">
        <w:r>
          <w:rPr>
            <w:rStyle w:val="Hyperlink"/>
          </w:rPr>
          <w:t xml:space="preserve">Table 10</w:t>
        </w:r>
      </w:hyperlink>
      <w:r>
        <w:t xml:space="preserve">, and each of them</w:t>
      </w:r>
      <w:r>
        <w:t xml:space="preserve"> </w:t>
      </w:r>
      <w:r>
        <w:t xml:space="preserve">appears in the approval record at the front of the document as author, reviewer or</w:t>
      </w:r>
      <w:r>
        <w:t xml:space="preserve"> </w:t>
      </w:r>
      <w:r>
        <w:t xml:space="preserve">approver.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Functions and responsibilities under this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 under this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this plan, executes the non-viral runs, performs the statistical analysis and writes PCR-008.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Releases the validated methods, analyses the samples and provides the method performance record.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laboratory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Executes the spiking runs under ICH Q5A(R2) and reports the titres and log reduction factors.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Provides the commercial scale record used to qualify the scale-down model.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designs before execution and the fitted models before they are used.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plan, reviews every departure from it and approves PCR-008.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The responsibilities in</w:t>
      </w:r>
      <w:r>
        <w:t xml:space="preserve"> </w:t>
      </w:r>
      <w:hyperlink w:anchor="tbl-roles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are assigned to functions and not to individuals, so</w:t>
      </w:r>
      <w:r>
        <w:t xml:space="preserve"> </w:t>
      </w:r>
      <w:r>
        <w:t xml:space="preserve">the plan does not need revision when staff change.</w:t>
      </w:r>
    </w:p>
    <w:bookmarkEnd w:id="42"/>
    <w:bookmarkStart w:id="43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PCR-008, the process characterization report for the anion</w:t>
      </w:r>
      <w:r>
        <w:t xml:space="preserve"> </w:t>
      </w:r>
      <w:r>
        <w:t xml:space="preserve">exchange step. It reports the executed designs, the fitted models, the operating region,</w:t>
      </w:r>
      <w:r>
        <w:t xml:space="preserve"> </w:t>
      </w:r>
      <w:r>
        <w:t xml:space="preserve">the proven acceptable ranges, the estimated capability and the classification of every</w:t>
      </w:r>
      <w:r>
        <w:t xml:space="preserve"> </w:t>
      </w:r>
      <w:r>
        <w:t xml:space="preserve">parameter, and it records every departure from this plan.</w:t>
      </w:r>
    </w:p>
    <w:p>
      <w:pPr>
        <w:pStyle w:val="BodyText"/>
      </w:pPr>
      <w:r>
        <w:t xml:space="preserve">The study runs as a sequence of dependent phases, and the scale-down model is qualified</w:t>
      </w:r>
      <w:r>
        <w:t xml:space="preserve"> </w:t>
      </w:r>
      <w:r>
        <w:t xml:space="preserve">first. The screening study runs next, and its analysis is completed before the</w:t>
      </w:r>
      <w:r>
        <w:t xml:space="preserve"> </w:t>
      </w:r>
      <w:r>
        <w:t xml:space="preserve">response-surface study starts, so that the design of the second study can be confirmed</w:t>
      </w:r>
      <w:r>
        <w:t xml:space="preserve"> </w:t>
      </w:r>
      <w:r>
        <w:t xml:space="preserve">before further runs are committed. The response-surface study follows, while the viral clearance runs are executed in</w:t>
      </w:r>
      <w:r>
        <w:t xml:space="preserve"> </w:t>
      </w:r>
      <w:r>
        <w:t xml:space="preserve">parallel in the biosafety laboratory, on the same design points, because they use a</w:t>
      </w:r>
      <w:r>
        <w:t xml:space="preserve"> </w:t>
      </w:r>
      <w:r>
        <w:t xml:space="preserve">different facility and a separate qualification. The univariate flow rate runs may be</w:t>
      </w:r>
      <w:r>
        <w:t xml:space="preserve"> </w:t>
      </w:r>
      <w:r>
        <w:t xml:space="preserve">executed at any point after the scale-down model is qualified, and analysis and reporting</w:t>
      </w:r>
      <w:r>
        <w:t xml:space="preserve"> </w:t>
      </w:r>
      <w:r>
        <w:t xml:space="preserve">complete the study.</w:t>
      </w:r>
    </w:p>
    <w:p>
      <w:pPr>
        <w:pStyle w:val="BodyText"/>
      </w:pPr>
      <w:r>
        <w:t xml:space="preserve">No calendar dates are given in this plan, since the sequence and the dependencies above</w:t>
      </w:r>
      <w:r>
        <w:t xml:space="preserve"> </w:t>
      </w:r>
      <w:r>
        <w:t xml:space="preserve">are the schedule, and the executed dates will be recorded in PCR-008.</w:t>
      </w:r>
    </w:p>
    <w:bookmarkEnd w:id="43"/>
    <w:bookmarkStart w:id="44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principal risk to this study is that the scale-down model does not represent the</w:t>
      </w:r>
      <w:r>
        <w:t xml:space="preserve"> </w:t>
      </w:r>
      <w:r>
        <w:t xml:space="preserve">commercial column, and it is managed by the qualification described under materials and</w:t>
      </w:r>
      <w:r>
        <w:t xml:space="preserve"> </w:t>
      </w:r>
      <w:r>
        <w:t xml:space="preserve">methods, which is the reason no characterization run may start before that qualification</w:t>
      </w:r>
      <w:r>
        <w:t xml:space="preserve"> </w:t>
      </w:r>
      <w:r>
        <w:t xml:space="preserve">is complete. A residual risk remains after qualification, because the comparison is made</w:t>
      </w:r>
      <w:r>
        <w:t xml:space="preserve"> </w:t>
      </w:r>
      <w:r>
        <w:t xml:space="preserve">at set-point conditions and representativeness at the edges of the ranges is inferred from</w:t>
      </w:r>
      <w:r>
        <w:t xml:space="preserve"> </w:t>
      </w:r>
      <w:r>
        <w:t xml:space="preserve">the scaling principles rather than demonstrated. Ranges defined on the model are not</w:t>
      </w:r>
      <w:r>
        <w:t xml:space="preserve"> </w:t>
      </w:r>
      <w:r>
        <w:t xml:space="preserve">confirmed at commercial scale until Stage 2, and PCR-008 will state that bound on every</w:t>
      </w:r>
      <w:r>
        <w:t xml:space="preserve"> </w:t>
      </w:r>
      <w:r>
        <w:t xml:space="preserve">range it reports.</w:t>
      </w:r>
    </w:p>
    <w:p>
      <w:pPr>
        <w:pStyle w:val="BodyText"/>
      </w:pPr>
      <w:r>
        <w:t xml:space="preserve">The virus spiking model carries assumptions of its own. The model viruses are laboratory</w:t>
      </w:r>
      <w:r>
        <w:t xml:space="preserve"> </w:t>
      </w:r>
      <w:r>
        <w:t xml:space="preserve">strains chosen as representatives of a class, the spike is added to a load that is not</w:t>
      </w:r>
      <w:r>
        <w:t xml:space="preserve"> </w:t>
      </w:r>
      <w:r>
        <w:t xml:space="preserve">identical to the commercial load, and the clearance measured is a property of that model</w:t>
      </w:r>
      <w:r>
        <w:t xml:space="preserve"> </w:t>
      </w:r>
      <w:r>
        <w:t xml:space="preserve">system</w:t>
      </w:r>
      <w:r>
        <w:t xml:space="preserve"> </w:t>
      </w:r>
      <w:r>
        <w:t xml:space="preserve">(International Council for Harmonisation 2023a)</w:t>
      </w:r>
      <w:r>
        <w:t xml:space="preserve">. These assumptions are accepted because the same convention is applied at</w:t>
      </w:r>
      <w:r>
        <w:t xml:space="preserve"> </w:t>
      </w:r>
      <w:r>
        <w:t xml:space="preserve">every clearance step of this process and was applied to the three prior products, so the</w:t>
      </w:r>
      <w:r>
        <w:t xml:space="preserve"> </w:t>
      </w:r>
      <w:r>
        <w:t xml:space="preserve">modular claim is at least internally consistent.</w:t>
      </w:r>
    </w:p>
    <w:p>
      <w:pPr>
        <w:pStyle w:val="BodyText"/>
      </w:pPr>
      <w:r>
        <w:t xml:space="preserve">Load material supply is a practical risk. The study needs one representative cation</w:t>
      </w:r>
      <w:r>
        <w:t xml:space="preserve"> </w:t>
      </w:r>
      <w:r>
        <w:t xml:space="preserve">exchange pool, or a set of pools blended to a single specification, and the quantity</w:t>
      </w:r>
      <w:r>
        <w:t xml:space="preserve"> </w:t>
      </w:r>
      <w:r>
        <w:t xml:space="preserve">required is large in comparison with a development batch. If the load has to be prepared</w:t>
      </w:r>
      <w:r>
        <w:t xml:space="preserve"> </w:t>
      </w:r>
      <w:r>
        <w:t xml:space="preserve">from more than one cation exchange run, the pools will be blended before any study run and</w:t>
      </w:r>
      <w:r>
        <w:t xml:space="preserve"> </w:t>
      </w:r>
      <w:r>
        <w:t xml:space="preserve">the blend characterized as described under operation.</w:t>
      </w:r>
    </w:p>
    <w:p>
      <w:pPr>
        <w:pStyle w:val="BodyText"/>
      </w:pPr>
      <w:r>
        <w:t xml:space="preserve">The study assumes that the platform mechanism transfers from the three prior products to</w:t>
      </w:r>
      <w:r>
        <w:t xml:space="preserve"> </w:t>
      </w:r>
      <w:r>
        <w:t xml:space="preserve">A-Mab, which is what makes this a confirmatory study instead of an exploratory one. It</w:t>
      </w:r>
      <w:r>
        <w:t xml:space="preserve"> </w:t>
      </w:r>
      <w:r>
        <w:t xml:space="preserve">also assumes that the resin lot used in the study represents the resin the commercial</w:t>
      </w:r>
      <w:r>
        <w:t xml:space="preserve"> </w:t>
      </w:r>
      <w:r>
        <w:t xml:space="preserve">process will use, and that assumption is managed by the resin qualification in SOP-2008.</w:t>
      </w:r>
      <w:r>
        <w:t xml:space="preserve"> </w:t>
      </w:r>
      <w:r>
        <w:t xml:space="preserve">Both are stated here so that the report can test them, and if either fails the affected</w:t>
      </w:r>
      <w:r>
        <w:t xml:space="preserve"> </w:t>
      </w:r>
      <w:r>
        <w:t xml:space="preserve">conclusions will be re-derived and not defended.</w:t>
      </w:r>
    </w:p>
    <w:bookmarkEnd w:id="44"/>
    <w:bookmarkStart w:id="45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it has been approved by each function named in the approval</w:t>
      </w:r>
      <w:r>
        <w:t xml:space="preserve"> </w:t>
      </w:r>
      <w:r>
        <w:t xml:space="preserve">record at the front of the document. Changes after approval are made by revising the plan</w:t>
      </w:r>
      <w:r>
        <w:t xml:space="preserve"> </w:t>
      </w:r>
      <w:r>
        <w:t xml:space="preserve">under change control</w:t>
      </w:r>
      <w:r>
        <w:t xml:space="preserve"> </w:t>
      </w:r>
      <w:r>
        <w:t xml:space="preserve">(International Council for Harmonisation 2008)</w:t>
      </w:r>
      <w:r>
        <w:t xml:space="preserve">. A departure identified during execution is not a plan</w:t>
      </w:r>
      <w:r>
        <w:t xml:space="preserve"> </w:t>
      </w:r>
      <w:r>
        <w:t xml:space="preserve">change. It is recorded and assessed in PCR-008, as described above under acceptance and</w:t>
      </w:r>
      <w:r>
        <w:t xml:space="preserve"> </w:t>
      </w:r>
      <w:r>
        <w:t xml:space="preserve">decision criteria.</w:t>
      </w:r>
    </w:p>
    <w:bookmarkEnd w:id="45"/>
    <w:bookmarkStart w:id="50" w:name="X73781f0c746cc45048eca779a11e0a2e7cd3f25"/>
    <w:p>
      <w:pPr>
        <w:pStyle w:val="Heading1"/>
      </w:pPr>
      <w:r>
        <w:t xml:space="preserve">14. Appendices A and B — Planned design matrices</w:t>
      </w:r>
    </w:p>
    <w:p>
      <w:pPr>
        <w:pStyle w:val="FirstParagraph"/>
      </w:pPr>
      <w:r>
        <w:t xml:space="preserve">The two appendices give the designs as they will be executed. Neither carries a response</w:t>
      </w:r>
      <w:r>
        <w:t xml:space="preserve"> </w:t>
      </w:r>
      <w:r>
        <w:t xml:space="preserve">column, because the study has not been performed.</w:t>
      </w:r>
    </w:p>
    <w:bookmarkStart w:id="47" w:name="X7149527b81b82ac7e9fc876cc411d0dd5d45eb6"/>
    <w:p>
      <w:pPr>
        <w:pStyle w:val="Heading2"/>
      </w:pPr>
      <w:r>
        <w:t xml:space="preserve">14.1 Appendix A — Planned screening design matrix</w:t>
      </w:r>
    </w:p>
    <w:p>
      <w:pPr>
        <w:pStyle w:val="FirstParagraph"/>
      </w:pPr>
      <w:r>
        <w:t xml:space="preserve">The planned screening design is given in</w:t>
      </w:r>
      <w:r>
        <w:t xml:space="preserve"> </w:t>
      </w:r>
      <w:hyperlink w:anchor="tbl-appa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in coded units, with the type of each</w:t>
      </w:r>
      <w:r>
        <w:t xml:space="preserve"> </w:t>
      </w:r>
      <w:r>
        <w:t xml:space="preserve">run. The factor letters are defined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screening design matrix in coded units.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6"/>
          <w:p/>
        </w:tc>
      </w:tr>
    </w:tbl>
    <w:bookmarkEnd w:id="47"/>
    <w:bookmarkStart w:id="49" w:name="Xd035249cb2928fc67e6106bc8a61a8b12039d8a"/>
    <w:p>
      <w:pPr>
        <w:pStyle w:val="Heading2"/>
      </w:pPr>
      <w:r>
        <w:t xml:space="preserve">14.2 Appendix B — Planned response-surface design matrix</w:t>
      </w:r>
    </w:p>
    <w:p>
      <w:pPr>
        <w:pStyle w:val="FirstParagraph"/>
      </w:pPr>
      <w:r>
        <w:t xml:space="preserve">The planned response-surface design is given in</w:t>
      </w:r>
      <w:r>
        <w:t xml:space="preserve"> </w:t>
      </w:r>
      <w:hyperlink w:anchor="tbl-appb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in coded units. Run order will</w:t>
      </w:r>
      <w:r>
        <w:t xml:space="preserve"> </w:t>
      </w:r>
      <w:r>
        <w:t xml:space="preserve">be randomized at execution and the executed order recorded in PCR-008.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Planned response-surface design matrix in coded units.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8"/>
          <w:p/>
        </w:tc>
      </w:tr>
    </w:tbl>
    <w:bookmarkEnd w:id="49"/>
    <w:bookmarkEnd w:id="50"/>
    <w:bookmarkStart w:id="59" w:name="references"/>
    <w:p>
      <w:pPr>
        <w:pStyle w:val="Heading1"/>
      </w:pPr>
      <w:r>
        <w:t xml:space="preserve">References</w:t>
      </w:r>
    </w:p>
    <w:bookmarkStart w:id="58" w:name="refs"/>
    <w:bookmarkStart w:id="51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1"/>
    <w:bookmarkStart w:id="52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52"/>
    <w:bookmarkStart w:id="53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53"/>
    <w:bookmarkStart w:id="54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54"/>
    <w:bookmarkStart w:id="55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55"/>
    <w:bookmarkStart w:id="56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56"/>
    <w:bookmarkStart w:id="57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2026-08-02T19:04:59Z</dcterms:created>
  <dcterms:modified xsi:type="dcterms:W3CDTF">2026-08-02T19:04:59Z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Anion Exchange Chromatography (Step 8) — PCP-008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