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Plan</w:t>
      </w:r>
    </w:p>
    <w:p>
      <w:pPr>
        <w:pStyle w:val="Subtitle"/>
      </w:pPr>
      <w:r>
        <w:t xml:space="preserve">A-Mab Drug Substance — Small-Virus Retentive Filtration (Step 9) — PCP-009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PCP-009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Plan: Small-Virus Retentive Filtration (Step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ALCOA+, attributable, legible, contemporaneous, original and accurate, plus complete,</w:t>
      </w:r>
      <w:r>
        <w:t xml:space="preserve"> </w:t>
      </w:r>
      <w:r>
        <w:t xml:space="preserve">consistent, enduring and available; AMV, analytical method validation; CQA, critical</w:t>
      </w:r>
      <w:r>
        <w:t xml:space="preserve"> </w:t>
      </w:r>
      <w:r>
        <w:t xml:space="preserve">quality attribute; DoE, design of experiments; DS, drug substance; ICH, International</w:t>
      </w:r>
      <w:r>
        <w:t xml:space="preserve"> </w:t>
      </w:r>
      <w:r>
        <w:t xml:space="preserve">Council for Harmonisation; LOQ, limit of quantitation; LRF, log reduction factor; MSAT,</w:t>
      </w:r>
      <w:r>
        <w:t xml:space="preserve"> </w:t>
      </w:r>
      <w:r>
        <w:t xml:space="preserve">Manufacturing Science and Technology; MVM, minute virus of mice; NOR, normal operating</w:t>
      </w:r>
      <w:r>
        <w:t xml:space="preserve"> </w:t>
      </w:r>
      <w:r>
        <w:t xml:space="preserve">range; PRESS, predicted residual error sum of squares; RPN, risk priority number; RSM,</w:t>
      </w:r>
      <w:r>
        <w:t xml:space="preserve"> </w:t>
      </w:r>
      <w:r>
        <w:t xml:space="preserve">response surface methodology; SOP, standard operating procedure; TCID50, median tissue</w:t>
      </w:r>
      <w:r>
        <w:t xml:space="preserve"> </w:t>
      </w:r>
      <w:r>
        <w:t xml:space="preserve">culture infective dose; XMuLV, xenotropic murine leukaemia virus.</w:t>
      </w:r>
    </w:p>
    <w:p>
      <w:r>
        <w:br w:type="page"/>
      </w:r>
    </w:p>
    <w:bookmarkEnd w:id="11"/>
    <w:bookmarkStart w:id="12" w:name="purpose-and-scope"/>
    <w:p>
      <w:pPr>
        <w:pStyle w:val="Heading1"/>
      </w:pPr>
      <w:r>
        <w:t xml:space="preserve">1. Purpose and scope</w:t>
      </w:r>
    </w:p>
    <w:p>
      <w:pPr>
        <w:pStyle w:val="FirstParagraph"/>
      </w:pPr>
      <w:r>
        <w:t xml:space="preserve">Small virus retentive filtration is the dedicated virus removal step of the A-Mab drug</w:t>
      </w:r>
      <w:r>
        <w:t xml:space="preserve"> </w:t>
      </w:r>
      <w:r>
        <w:t xml:space="preserve">substance process, and this plan defines the studies that will characterize it. The step</w:t>
      </w:r>
      <w:r>
        <w:t xml:space="preserve"> </w:t>
      </w:r>
      <w:r>
        <w:t xml:space="preserve">removes virus by size, inside the structure of the membrane, and because it works on a</w:t>
      </w:r>
      <w:r>
        <w:t xml:space="preserve"> </w:t>
      </w:r>
      <w:r>
        <w:t xml:space="preserve">principle that has nothing in common with the low-pH hold at Step 6 or with the anion</w:t>
      </w:r>
      <w:r>
        <w:t xml:space="preserve"> </w:t>
      </w:r>
      <w:r>
        <w:t xml:space="preserve">exchange step at Step 8, its clearance is claimed as a separate module of the viral safety</w:t>
      </w:r>
      <w:r>
        <w:t xml:space="preserve"> </w:t>
      </w:r>
      <w:r>
        <w:t xml:space="preserve">argument</w:t>
      </w:r>
      <w:r>
        <w:t xml:space="preserve"> </w:t>
      </w:r>
      <w:r>
        <w:t xml:space="preserve">(International Council for Harmonisation 2023a)</w:t>
      </w:r>
      <w:r>
        <w:t xml:space="preserve">. This plan states what will be studied, how the studies will be</w:t>
      </w:r>
      <w:r>
        <w:t xml:space="preserve"> </w:t>
      </w:r>
      <w:r>
        <w:t xml:space="preserve">executed and analysed, and the criteria against which the results will be judged. It is</w:t>
      </w:r>
      <w:r>
        <w:t xml:space="preserve"> </w:t>
      </w:r>
      <w:r>
        <w:t xml:space="preserve">written before any data exist and contains no findings.</w:t>
      </w:r>
    </w:p>
    <w:p>
      <w:pPr>
        <w:pStyle w:val="BodyText"/>
      </w:pPr>
      <w:r>
        <w:t xml:space="preserve">The scope is the 2 operating parameters of the step, Filtration volume (load)</w:t>
      </w:r>
      <w:r>
        <w:t xml:space="preserve"> </w:t>
      </w:r>
      <w:r>
        <w:t xml:space="preserve">and Filtration pressure, studied together over the characterization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 Both will be varied in a multivariate design on a qualified scale-down</w:t>
      </w:r>
      <w:r>
        <w:t xml:space="preserve"> </w:t>
      </w:r>
      <w:r>
        <w:t xml:space="preserve">spiking model, using the two model viruses that bound the retention challenge at this step</w:t>
      </w:r>
      <w:r>
        <w:t xml:space="preserve"> </w:t>
      </w:r>
      <w:r>
        <w:t xml:space="preserve">and are reported throughout this package: minute virus of mice (MVM) as the small</w:t>
      </w:r>
      <w:r>
        <w:t xml:space="preserve"> </w:t>
      </w:r>
      <w:r>
        <w:t xml:space="preserve">non-enveloped virus and xenotropic murine leukaemia virus (XMuLV) as the large enveloped</w:t>
      </w:r>
      <w:r>
        <w:t xml:space="preserve"> </w:t>
      </w:r>
      <w:r>
        <w:t xml:space="preserve">virus</w:t>
      </w:r>
      <w:r>
        <w:t xml:space="preserve"> </w:t>
      </w:r>
      <w:r>
        <w:t xml:space="preserve">(International Council for Harmonisation 2023a)</w:t>
      </w:r>
      <w:r>
        <w:t xml:space="preserve">. Step yield will be measured at every design setting, on the unspiked</w:t>
      </w:r>
      <w:r>
        <w:t xml:space="preserve"> </w:t>
      </w:r>
      <w:r>
        <w:t xml:space="preserve">control run that accompanies each clearance run, so that any operating region proposed for</w:t>
      </w:r>
      <w:r>
        <w:t xml:space="preserve"> </w:t>
      </w:r>
      <w:r>
        <w:t xml:space="preserve">viral safety can also be checked against recovery.</w:t>
      </w:r>
    </w:p>
    <w:p>
      <w:pPr>
        <w:pStyle w:val="BodyText"/>
      </w:pPr>
      <w:r>
        <w:t xml:space="preserve">Several things are outside this plan. The membrane itself is qualified by its</w:t>
      </w:r>
      <w:r>
        <w:t xml:space="preserve"> </w:t>
      </w:r>
      <w:r>
        <w:t xml:space="preserve">manufacturer, and this study does not repeat that qualification; it characterizes the</w:t>
      </w:r>
      <w:r>
        <w:t xml:space="preserve"> </w:t>
      </w:r>
      <w:r>
        <w:t xml:space="preserve">operating parameters the manufacturing site controls. The cumulative clearance claim for</w:t>
      </w:r>
      <w:r>
        <w:t xml:space="preserve"> </w:t>
      </w:r>
      <w:r>
        <w:t xml:space="preserve">the drug substance is assembled in PCMR-001 from this step and from Step 6 and Step 8, and</w:t>
      </w:r>
      <w:r>
        <w:t xml:space="preserve"> </w:t>
      </w:r>
      <w:r>
        <w:t xml:space="preserve">this plan covers only the contribution of Step 9. Product quality attributes are formed</w:t>
      </w:r>
      <w:r>
        <w:t xml:space="preserve"> </w:t>
      </w:r>
      <w:r>
        <w:t xml:space="preserve">upstream and are addressed in the documents for the steps that form and polish them.</w:t>
      </w:r>
      <w:r>
        <w:t xml:space="preserve"> </w:t>
      </w:r>
      <w:r>
        <w:t xml:space="preserve">The step does not by itself satisfy the cumulative clearance requirement for either model</w:t>
      </w:r>
      <w:r>
        <w:t xml:space="preserve"> </w:t>
      </w:r>
      <w:r>
        <w:t xml:space="preserve">virus, and no part of this study should be read as claiming that it does.</w:t>
      </w:r>
    </w:p>
    <w:bookmarkEnd w:id="12"/>
    <w:bookmarkStart w:id="13" w:name="objectives"/>
    <w:p>
      <w:pPr>
        <w:pStyle w:val="Heading1"/>
      </w:pPr>
      <w:r>
        <w:t xml:space="preserve">2. Objectives</w:t>
      </w:r>
    </w:p>
    <w:p>
      <w:pPr>
        <w:pStyle w:val="FirstParagraph"/>
      </w:pPr>
      <w:r>
        <w:t xml:space="preserve">The study has five objectives.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effect of Filtration volume (load) and Filtration pressure on MVM log</w:t>
      </w:r>
      <w:r>
        <w:t xml:space="preserve"> </w:t>
      </w:r>
      <w:r>
        <w:t xml:space="preserve">reduction, on XMuLV log reduction and on step yield, across the characterization ranges</w:t>
      </w:r>
      <w:r>
        <w:t xml:space="preserve"> </w:t>
      </w:r>
      <w:r>
        <w:t xml:space="preserve">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Establish whether the two parameters interact, and whether either response is</w:t>
      </w:r>
      <w:r>
        <w:t xml:space="preserve"> </w:t>
      </w:r>
      <w:r>
        <w:t xml:space="preserve">curved over the ranges studied, so that the operating region can be defined from a</w:t>
      </w:r>
      <w:r>
        <w:t xml:space="preserve"> </w:t>
      </w:r>
      <w:r>
        <w:t xml:space="preserve">fitted model instead of from single-factor limits.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the region of the two parameters over which the step meets its required</w:t>
      </w:r>
      <w:r>
        <w:t xml:space="preserve"> </w:t>
      </w:r>
      <w:r>
        <w:t xml:space="preserve">log reduction for both model viruses.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Derive a proven acceptable range for each parameter against each viral clearance</w:t>
      </w:r>
      <w:r>
        <w:t xml:space="preserve"> </w:t>
      </w:r>
      <w:r>
        <w:t xml:space="preserve">attribute, and establish where the normal operating range sits in relation to it.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Classify each parameter under SOP-4001 and provide the ranges, controls and</w:t>
      </w:r>
      <w:r>
        <w:t xml:space="preserve"> </w:t>
      </w:r>
      <w:r>
        <w:t xml:space="preserve">monitoring that the control strategy needs for Stage 2</w:t>
      </w:r>
      <w:r>
        <w:t xml:space="preserve"> </w:t>
      </w:r>
      <w:r>
        <w:t xml:space="preserve">(U.S. Food and Drug Administration 2011)</w:t>
      </w:r>
      <w:r>
        <w:t xml:space="preserve">.</w:t>
      </w:r>
    </w:p>
    <w:p>
      <w:pPr>
        <w:pStyle w:val="FirstParagraph"/>
      </w:pPr>
      <w:r>
        <w:t xml:space="preserve">These objectives are answered by the study reported in PCR-009. Nothing in this plan is</w:t>
      </w:r>
      <w:r>
        <w:t xml:space="preserve"> </w:t>
      </w:r>
      <w:r>
        <w:t xml:space="preserve">conditional on the outcome, and no objective may be dropped after the data are seen.</w:t>
      </w:r>
    </w:p>
    <w:bookmarkEnd w:id="13"/>
    <w:bookmarkStart w:id="16" w:name="related-documents"/>
    <w:p>
      <w:pPr>
        <w:pStyle w:val="Heading1"/>
      </w:pPr>
      <w:r>
        <w:t xml:space="preserve">3. Related documents</w:t>
      </w:r>
    </w:p>
    <w:p>
      <w:pPr>
        <w:pStyle w:val="FirstParagraph"/>
      </w:pPr>
      <w:hyperlink w:anchor="tbl-related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the documents this plan depends on and the documents that depend on it.</w:t>
      </w:r>
      <w:r>
        <w:t xml:space="preserve"> </w:t>
      </w:r>
      <w:r>
        <w:t xml:space="preserve">PTP-001 frames the technology transfer that the whole campaign supports, RA-001 sets the</w:t>
      </w:r>
      <w:r>
        <w:t xml:space="preserve"> </w:t>
      </w:r>
      <w:r>
        <w:t xml:space="preserve">scope of this study, PCMP-001 provides the framework common to every characterization plan</w:t>
      </w:r>
      <w:r>
        <w:t xml:space="preserve"> </w:t>
      </w:r>
      <w:r>
        <w:t xml:space="preserve">in the campaign, and PCR-009 reports what is executed 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Related documents in the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20"/>
              <w:gridCol w:w="4727"/>
              <w:gridCol w:w="227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PCR-009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Report (Small-Virus Retentive Filtration (Step 9))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hyperlink w:anchor="tbl-sop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the controlled procedures and the validated analytical methods the study</w:t>
      </w:r>
      <w:r>
        <w:t xml:space="preserve"> </w:t>
      </w:r>
      <w:r>
        <w:t xml:space="preserve">will use. All identifiers are placeholders for this synthetic document.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so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Controlled procedures and validated methods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65"/>
              <w:gridCol w:w="5790"/>
              <w:gridCol w:w="12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and Post-Use Integrity Testing of the Small-Virus Retentive Filtration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15"/>
          <w:p/>
        </w:tc>
      </w:tr>
    </w:tbl>
    <w:bookmarkEnd w:id="16"/>
    <w:bookmarkStart w:id="22" w:name="prior-knowledge-and-quality-risk-basis"/>
    <w:p>
      <w:pPr>
        <w:pStyle w:val="Heading1"/>
      </w:pPr>
      <w:r>
        <w:t xml:space="preserve">4. Prior knowledge and quality risk basis</w:t>
      </w:r>
    </w:p>
    <w:bookmarkStart w:id="17" w:name="Xfc9d08e28ad3e20206826e1b5e1507b6461f659"/>
    <w:p>
      <w:pPr>
        <w:pStyle w:val="Heading2"/>
      </w:pPr>
      <w:r>
        <w:t xml:space="preserve">4.1 Unit-operation description and prior knowledge</w:t>
      </w:r>
    </w:p>
    <w:p>
      <w:pPr>
        <w:pStyle w:val="FirstParagraph"/>
      </w:pPr>
      <w:r>
        <w:t xml:space="preserve">The step is operated in dead-end mode at constant pressure. The anion exchange pool is</w:t>
      </w:r>
      <w:r>
        <w:t xml:space="preserve"> </w:t>
      </w:r>
      <w:r>
        <w:t xml:space="preserve">passed through a pre-wetted small virus retentive filter, the filter is chased with buffer</w:t>
      </w:r>
      <w:r>
        <w:t xml:space="preserve"> </w:t>
      </w:r>
      <w:r>
        <w:t xml:space="preserve">to recover the product held up in the device, and the filter is integrity tested after use</w:t>
      </w:r>
      <w:r>
        <w:t xml:space="preserve"> </w:t>
      </w:r>
      <w:r>
        <w:t xml:space="preserve">(SOP-2012). The antibody passes through the retentive layer and virus particles are held</w:t>
      </w:r>
      <w:r>
        <w:t xml:space="preserve"> </w:t>
      </w:r>
      <w:r>
        <w:t xml:space="preserve">within it. Retention is a size effect, so the margin is widest for a large enveloped virus</w:t>
      </w:r>
      <w:r>
        <w:t xml:space="preserve"> </w:t>
      </w:r>
      <w:r>
        <w:t xml:space="preserve">and narrowest for a small non-enveloped one. MVM is the smallest of the model viruses used</w:t>
      </w:r>
      <w:r>
        <w:t xml:space="preserve"> </w:t>
      </w:r>
      <w:r>
        <w:t xml:space="preserve">for a monoclonal antibody process, and it therefore sets the retention challenge for this</w:t>
      </w:r>
      <w:r>
        <w:t xml:space="preserve"> </w:t>
      </w:r>
      <w:r>
        <w:t xml:space="preserve">step. XMuLV is much larger and is expected to be retained with a wide margin.</w:t>
      </w:r>
    </w:p>
    <w:p>
      <w:pPr>
        <w:pStyle w:val="BodyText"/>
      </w:pPr>
      <w:r>
        <w:t xml:space="preserve">The step has been run on the Novacyte platform for three earlier antibodies (X-Mab, Y-Mab</w:t>
      </w:r>
      <w:r>
        <w:t xml:space="preserve"> </w:t>
      </w:r>
      <w:r>
        <w:t xml:space="preserve">and Z-Mab) with the same filter family, and because the mechanism of removal is a physical</w:t>
      </w:r>
      <w:r>
        <w:t xml:space="preserve"> </w:t>
      </w:r>
      <w:r>
        <w:t xml:space="preserve">one that does not depend on the product, the experience gained on those campaigns applies</w:t>
      </w:r>
      <w:r>
        <w:t xml:space="preserve"> </w:t>
      </w:r>
      <w:r>
        <w:t xml:space="preserve">directly to A-Mab</w:t>
      </w:r>
      <w:r>
        <w:t xml:space="preserve"> </w:t>
      </w:r>
      <w:r>
        <w:t xml:space="preserve">(CMC Biotech Working Group 2009)</w:t>
      </w:r>
      <w:r>
        <w:t xml:space="preserve">. No difference in performance is expected here. Platform</w:t>
      </w:r>
      <w:r>
        <w:t xml:space="preserve"> </w:t>
      </w:r>
      <w:r>
        <w:t xml:space="preserve">experience is the reason the study is small, and it is the expectation the study is</w:t>
      </w:r>
      <w:r>
        <w:t xml:space="preserve"> </w:t>
      </w:r>
      <w:r>
        <w:t xml:space="preserve">designed to confirm and bound. It is not a substitute for the study, because clearance may</w:t>
      </w:r>
      <w:r>
        <w:t xml:space="preserve"> </w:t>
      </w:r>
      <w:r>
        <w:t xml:space="preserve">be credited only from spiking data generated on the A-Mab process intermediate</w:t>
      </w:r>
      <w:r>
        <w:t xml:space="preserve"> </w:t>
      </w:r>
      <w:r>
        <w:t xml:space="preserve">(International Council for Harmonisation 2023a)</w:t>
      </w:r>
      <w:r>
        <w:t xml:space="preserve">.</w:t>
      </w:r>
    </w:p>
    <w:p>
      <w:pPr>
        <w:pStyle w:val="BodyText"/>
      </w:pPr>
      <w:r>
        <w:t xml:space="preserve">Two mechanistic expectations shape the design. The first is that MVM log reduction falls</w:t>
      </w:r>
      <w:r>
        <w:t xml:space="preserve"> </w:t>
      </w:r>
      <w:r>
        <w:t xml:space="preserve">slowly as the volumetric load rises, because retentive capacity is consumed as the</w:t>
      </w:r>
      <w:r>
        <w:t xml:space="preserve"> </w:t>
      </w:r>
      <w:r>
        <w:t xml:space="preserve">membrane is loaded and the smallest particles are the first to find a path through. The</w:t>
      </w:r>
      <w:r>
        <w:t xml:space="preserve"> </w:t>
      </w:r>
      <w:r>
        <w:t xml:space="preserve">second is that pressure acts on flux and on the compaction of the retentive layer, so any</w:t>
      </w:r>
      <w:r>
        <w:t xml:space="preserve"> </w:t>
      </w:r>
      <w:r>
        <w:t xml:space="preserve">effect of pressure should be largest at high load, which makes it an interaction between</w:t>
      </w:r>
      <w:r>
        <w:t xml:space="preserve"> </w:t>
      </w:r>
      <w:r>
        <w:t xml:space="preserve">the two parameters and not a main effect of either. Both expectations are testable in the</w:t>
      </w:r>
      <w:r>
        <w:t xml:space="preserve"> </w:t>
      </w:r>
      <w:r>
        <w:t xml:space="preserve">design proposed in §6, and the study is arranged so that either can be refuted.</w:t>
      </w:r>
    </w:p>
    <w:p>
      <w:pPr>
        <w:pStyle w:val="BodyText"/>
      </w:pPr>
      <w:r>
        <w:t xml:space="preserve">Step yield is expected to be high, and to be limited by the volume held up in the device</w:t>
      </w:r>
      <w:r>
        <w:t xml:space="preserve"> </w:t>
      </w:r>
      <w:r>
        <w:t xml:space="preserve">and not by anything that happens to the product. The step is not expected to change</w:t>
      </w:r>
      <w:r>
        <w:t xml:space="preserve"> </w:t>
      </w:r>
      <w:r>
        <w:t xml:space="preserve">any product quality attribute. Glycan, charge variant and aggregate attributes are formed</w:t>
      </w:r>
      <w:r>
        <w:t xml:space="preserve"> </w:t>
      </w:r>
      <w:r>
        <w:t xml:space="preserve">in the production bioreactor and are polished at the chromatography steps, and filtration</w:t>
      </w:r>
      <w:r>
        <w:t xml:space="preserve"> </w:t>
      </w:r>
      <w:r>
        <w:t xml:space="preserve">through a retentive membrane at moderate pressure has not induced aggregation or</w:t>
      </w:r>
      <w:r>
        <w:t xml:space="preserve"> </w:t>
      </w:r>
      <w:r>
        <w:t xml:space="preserve">fragmentation on the platform</w:t>
      </w:r>
      <w:r>
        <w:t xml:space="preserve"> </w:t>
      </w:r>
      <w:r>
        <w:t xml:space="preserve">(CMC Biotech Working Group 2009)</w:t>
      </w:r>
      <w:r>
        <w:t xml:space="preserve">. For this reason the study measures viral</w:t>
      </w:r>
      <w:r>
        <w:t xml:space="preserve"> </w:t>
      </w:r>
      <w:r>
        <w:t xml:space="preserve">clearance and yield, and carries no product quality design of its own.</w:t>
      </w:r>
    </w:p>
    <w:bookmarkEnd w:id="17"/>
    <w:bookmarkStart w:id="19" w:name="quality-attributes-in-scope"/>
    <w:p>
      <w:pPr>
        <w:pStyle w:val="Heading2"/>
      </w:pPr>
      <w:r>
        <w:t xml:space="preserve">4.2 Quality attributes in scope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two critical quality attributes this step contributes to. Both are</w:t>
      </w:r>
      <w:r>
        <w:t xml:space="preserve"> </w:t>
      </w:r>
      <w:r>
        <w:t xml:space="preserve">viral safety attributes, both are of very high criticality, and both are cumulative</w:t>
      </w:r>
      <w:r>
        <w:t xml:space="preserve"> </w:t>
      </w:r>
      <w:r>
        <w:t xml:space="preserve">process-level attributes: the acceptance criterion is a total log reduction across the</w:t>
      </w:r>
      <w:r>
        <w:t xml:space="preserve"> </w:t>
      </w:r>
      <w:r>
        <w:t xml:space="preserve">whole purification train, not a value that any one step delivers. Criticality is assigned</w:t>
      </w:r>
      <w:r>
        <w:t xml:space="preserve"> </w:t>
      </w:r>
      <w:r>
        <w:t xml:space="preserve">on the continuum used throughout the package, from the Tool #1 product of impact and</w:t>
      </w:r>
      <w:r>
        <w:t xml:space="preserve"> </w:t>
      </w:r>
      <w:r>
        <w:t xml:space="preserve">uncertainty, with high and very high treated as critical</w:t>
      </w:r>
      <w:r>
        <w:t xml:space="preserve"> </w:t>
      </w:r>
      <w:r>
        <w:t xml:space="preserve">(CMC Biotech Working Group 2009; International Council for Harmonisation 2023b)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Critical quality attributes to which this step contributes.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790"/>
              <w:gridCol w:w="1056"/>
              <w:gridCol w:w="2112"/>
              <w:gridCol w:w="1131"/>
              <w:gridCol w:w="82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8.6–20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safety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16.7–30 log10 (cumulative)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register names the step at which each attribute is set. MVM clearance is assigned to</w:t>
      </w:r>
      <w:r>
        <w:t xml:space="preserve"> </w:t>
      </w:r>
      <w:r>
        <w:t xml:space="preserve">anion exchange and XMuLV clearance to low-pH inactivation, and this step contributes to</w:t>
      </w:r>
      <w:r>
        <w:t xml:space="preserve"> </w:t>
      </w:r>
      <w:r>
        <w:t xml:space="preserve">both. The division of credit matters most for MVM. A low-pH hold acts on the lipid</w:t>
      </w:r>
      <w:r>
        <w:t xml:space="preserve"> </w:t>
      </w:r>
      <w:r>
        <w:t xml:space="preserve">envelope, so it is credited with no clearance of a non-enveloped parvovirus, and the MVM</w:t>
      </w:r>
      <w:r>
        <w:t xml:space="preserve"> </w:t>
      </w:r>
      <w:r>
        <w:t xml:space="preserve">requirement of 8.6 log₁₀ rests on the anion exchange step (PCR-008) and on</w:t>
      </w:r>
      <w:r>
        <w:t xml:space="preserve"> </w:t>
      </w:r>
      <w:r>
        <w:t xml:space="preserve">this one, which is why the load limit set here is a viral safety control. XMuLV clearance</w:t>
      </w:r>
      <w:r>
        <w:t xml:space="preserve"> </w:t>
      </w:r>
      <w:r>
        <w:t xml:space="preserve">is shared across all three viral steps and its</w:t>
      </w:r>
      <w:r>
        <w:t xml:space="preserve"> </w:t>
      </w:r>
      <w:r>
        <w:t xml:space="preserve">cumulative requirement of 16.7 log₁₀ is correspondingly higher. The</w:t>
      </w:r>
      <w:r>
        <w:t xml:space="preserve"> </w:t>
      </w:r>
      <w:r>
        <w:t xml:space="preserve">arithmetic that turns each cumulative requirement into a criterion for this step is given</w:t>
      </w:r>
      <w:r>
        <w:t xml:space="preserve"> </w:t>
      </w:r>
      <w:r>
        <w:t xml:space="preserve">in §7, and the consolidated claim is made in PCMR-001.</w:t>
      </w:r>
    </w:p>
    <w:bookmarkEnd w:id="19"/>
    <w:bookmarkStart w:id="21" w:name="risk-based-prioritization-of-parameters"/>
    <w:p>
      <w:pPr>
        <w:pStyle w:val="Heading2"/>
      </w:pPr>
      <w:r>
        <w:t xml:space="preserve">4.3 Risk-based prioritization of parameters</w:t>
      </w:r>
    </w:p>
    <w:p>
      <w:pPr>
        <w:pStyle w:val="FirstParagraph"/>
      </w:pPr>
      <w:r>
        <w:t xml:space="preserve">RA-001 assessed every parameter of this step before the characterization campaign began,</w:t>
      </w:r>
      <w:r>
        <w:t xml:space="preserve"> </w:t>
      </w:r>
      <w:r>
        <w:t xml:space="preserve">and its output is the study scope this plan executes. The assessment is summarized in</w:t>
      </w:r>
      <w:r>
        <w:t xml:space="preserve"> </w:t>
      </w:r>
      <w:hyperlink w:anchor="tbl-risk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risk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Pre-characterization risk assessment for the step (RA-001).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6"/>
              <w:gridCol w:w="1705"/>
              <w:gridCol w:w="2355"/>
              <w:gridCol w:w="324"/>
              <w:gridCol w:w="324"/>
              <w:gridCol w:w="324"/>
              <w:gridCol w:w="609"/>
              <w:gridCol w:w="731"/>
              <w:gridCol w:w="48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Prospective failure mode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Sev.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Occ.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Det.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Initial RPN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Assigned study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Priority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Volumetric load above 105 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Reduced MVM log-reduction (parvovirus breakthrough risk)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 outside filter operating limits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Potential impact on virus removal at high load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 DoE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Both parameters carry the highest severity score available, because the attribute at risk</w:t>
      </w:r>
      <w:r>
        <w:t xml:space="preserve"> </w:t>
      </w:r>
      <w:r>
        <w:t xml:space="preserve">is viral safety and a failure of retention would not be corrected anywhere downstream.</w:t>
      </w:r>
      <w:r>
        <w:t xml:space="preserve"> </w:t>
      </w:r>
      <w:r>
        <w:t xml:space="preserve">Detection scores poorly at both parameters, because virus titre in the filtrate can be</w:t>
      </w:r>
      <w:r>
        <w:t xml:space="preserve"> </w:t>
      </w:r>
      <w:r>
        <w:t xml:space="preserve">measured only in a deliberately spiked study and never on a manufacturing batch, so the</w:t>
      </w:r>
      <w:r>
        <w:t xml:space="preserve"> </w:t>
      </w:r>
      <w:r>
        <w:t xml:space="preserve">process itself gives no direct in-process signal that retention has been lost. The</w:t>
      </w:r>
      <w:r>
        <w:t xml:space="preserve"> </w:t>
      </w:r>
      <w:r>
        <w:t xml:space="preserve">integrity test detects a damaged device, which is a different failure. Both parameters were</w:t>
      </w:r>
      <w:r>
        <w:t xml:space="preserve"> </w:t>
      </w:r>
      <w:r>
        <w:t xml:space="preserve">carried into the multivariate design by the risk ranking and filtering in RA-001, because</w:t>
      </w:r>
      <w:r>
        <w:t xml:space="preserve"> </w:t>
      </w:r>
      <w:r>
        <w:t xml:space="preserve">the effect of each is expected to depend on the other, and both were ranked at high</w:t>
      </w:r>
      <w:r>
        <w:t xml:space="preserve"> </w:t>
      </w:r>
      <w:r>
        <w:t xml:space="preserve">priority on severity.</w:t>
      </w:r>
    </w:p>
    <w:p>
      <w:pPr>
        <w:pStyle w:val="BodyText"/>
      </w:pPr>
      <w:r>
        <w:t xml:space="preserve">RA-001 also fixed the ranges, and the reasoning is different for the two parameters.</w:t>
      </w:r>
      <w:r>
        <w:t xml:space="preserve"> </w:t>
      </w:r>
      <w:r>
        <w:t xml:space="preserve">Filtration volume (load) is studied to 140 L/m2, well above the</w:t>
      </w:r>
      <w:r>
        <w:t xml:space="preserve"> </w:t>
      </w:r>
      <w:r>
        <w:t xml:space="preserve">upper edge of its normal operating range at 105 L/m2,</w:t>
      </w:r>
      <w:r>
        <w:t xml:space="preserve"> </w:t>
      </w:r>
      <w:r>
        <w:t xml:space="preserve">because the platform expectation is a slow decline in MVM clearance with load. A study</w:t>
      </w:r>
      <w:r>
        <w:t xml:space="preserve"> </w:t>
      </w:r>
      <w:r>
        <w:t xml:space="preserve">confined to the normal range would confirm that the step works and would say nothing about</w:t>
      </w:r>
      <w:r>
        <w:t xml:space="preserve"> </w:t>
      </w:r>
      <w:r>
        <w:t xml:space="preserve">where it stops working. Filtration pressure is studied over 8–30</w:t>
      </w:r>
      <w:r>
        <w:t xml:space="preserve"> </w:t>
      </w:r>
      <w:r>
        <w:t xml:space="preserve">psi, which brackets its normal operating range of 10–20</w:t>
      </w:r>
      <w:r>
        <w:t xml:space="preserve"> </w:t>
      </w:r>
      <w:r>
        <w:t xml:space="preserve">psi on both sides. The low edge is included because a long, slow</w:t>
      </w:r>
      <w:r>
        <w:t xml:space="preserve"> </w:t>
      </w:r>
      <w:r>
        <w:t xml:space="preserve">filtration is a distinct operating state and not merely a milder version of the target,</w:t>
      </w:r>
      <w:r>
        <w:t xml:space="preserve"> </w:t>
      </w:r>
      <w:r>
        <w:t xml:space="preserve">and the high edge because pressure is the parameter most likely to interact with load.</w:t>
      </w:r>
    </w:p>
    <w:bookmarkEnd w:id="21"/>
    <w:bookmarkEnd w:id="22"/>
    <w:bookmarkStart w:id="29" w:name="materials-and-methods"/>
    <w:p>
      <w:pPr>
        <w:pStyle w:val="Heading1"/>
      </w:pPr>
      <w:r>
        <w:t xml:space="preserve">5. Materials and methods</w:t>
      </w:r>
    </w:p>
    <w:bookmarkStart w:id="23" w:name="scale-down-model-and-its-qualification"/>
    <w:p>
      <w:pPr>
        <w:pStyle w:val="Heading2"/>
      </w:pPr>
      <w:r>
        <w:t xml:space="preserve">5.1 Scale-down model and its qualification</w:t>
      </w:r>
    </w:p>
    <w:p>
      <w:pPr>
        <w:pStyle w:val="FirstParagraph"/>
      </w:pPr>
      <w:r>
        <w:t xml:space="preserve">The clearance claim rests entirely on a scale-down model, because virus cannot be</w:t>
      </w:r>
      <w:r>
        <w:t xml:space="preserve"> </w:t>
      </w:r>
      <w:r>
        <w:t xml:space="preserve">introduced into a manufacturing batch. Viral safety guidance ICH Q5A requires the</w:t>
      </w:r>
      <w:r>
        <w:t xml:space="preserve"> </w:t>
      </w:r>
      <w:r>
        <w:t xml:space="preserve">small-scale system to be representative of the commercial step before clearance is credited</w:t>
      </w:r>
      <w:r>
        <w:t xml:space="preserve"> </w:t>
      </w:r>
      <w:r>
        <w:t xml:space="preserve">to it</w:t>
      </w:r>
      <w:r>
        <w:t xml:space="preserve"> </w:t>
      </w:r>
      <w:r>
        <w:t xml:space="preserve">(International Council for Harmonisation 2023a)</w:t>
      </w:r>
      <w:r>
        <w:t xml:space="preserve">, and SOP-1001 defines how that is demonstrated for this package. The model</w:t>
      </w:r>
      <w:r>
        <w:t xml:space="preserve"> </w:t>
      </w:r>
      <w:r>
        <w:t xml:space="preserve">is a small-area</w:t>
      </w:r>
      <w:r>
        <w:t xml:space="preserve"> </w:t>
      </w:r>
      <w:r>
        <w:t xml:space="preserve">device of the same membrane chemistry, the same retentive structure and the same housing</w:t>
      </w:r>
      <w:r>
        <w:t xml:space="preserve"> </w:t>
      </w:r>
      <w:r>
        <w:t xml:space="preserve">geometry as the commercial filter, operated at the same volumetric load per unit area and</w:t>
      </w:r>
      <w:r>
        <w:t xml:space="preserve"> </w:t>
      </w:r>
      <w:r>
        <w:t xml:space="preserve">the same pressure as the commercial step.</w:t>
      </w:r>
    </w:p>
    <w:p>
      <w:pPr>
        <w:pStyle w:val="BodyText"/>
      </w:pPr>
      <w:r>
        <w:t xml:space="preserve">Qualification will compare the small-scale system against commercial-scale data on three</w:t>
      </w:r>
      <w:r>
        <w:t xml:space="preserve"> </w:t>
      </w:r>
      <w:r>
        <w:t xml:space="preserve">points: the flux profile through the load, product recovery, and the quality of the</w:t>
      </w:r>
      <w:r>
        <w:t xml:space="preserve"> </w:t>
      </w:r>
      <w:r>
        <w:t xml:space="preserve">filtrate. The comparison is made at the target operating point, with all parameters at</w:t>
      </w:r>
      <w:r>
        <w:t xml:space="preserve"> </w:t>
      </w:r>
      <w:r>
        <w:t xml:space="preserve">their set-points, since the purpose is to establish that the two scales behave alike when</w:t>
      </w:r>
      <w:r>
        <w:t xml:space="preserve"> </w:t>
      </w:r>
      <w:r>
        <w:t xml:space="preserve">the process is run as intended. Qualification is a prerequisite for the characterization</w:t>
      </w:r>
      <w:r>
        <w:t xml:space="preserve"> </w:t>
      </w:r>
      <w:r>
        <w:t xml:space="preserve">runs. No DoE run will be executed until the scale-down model report has been approved, and</w:t>
      </w:r>
      <w:r>
        <w:t xml:space="preserve"> </w:t>
      </w:r>
      <w:r>
        <w:t xml:space="preserve">a model that fails any of the three comparisons will be modified and requalified before</w:t>
      </w:r>
      <w:r>
        <w:t xml:space="preserve"> </w:t>
      </w:r>
      <w:r>
        <w:t xml:space="preserve">the study starts.</w:t>
      </w:r>
    </w:p>
    <w:p>
      <w:pPr>
        <w:pStyle w:val="BodyText"/>
      </w:pPr>
      <w:r>
        <w:t xml:space="preserve">The warrant the model provides is specific. It supports claims about how the retention of</w:t>
      </w:r>
      <w:r>
        <w:t xml:space="preserve"> </w:t>
      </w:r>
      <w:r>
        <w:t xml:space="preserve">this membrane responds to volumetric load and pressure, because those are the variables</w:t>
      </w:r>
      <w:r>
        <w:t xml:space="preserve"> </w:t>
      </w:r>
      <w:r>
        <w:t xml:space="preserve">the model reproduces, and it does not support claims about the pooling, hold and transfer</w:t>
      </w:r>
      <w:r>
        <w:t xml:space="preserve"> </w:t>
      </w:r>
      <w:r>
        <w:t xml:space="preserve">operations that surround the step at commercial scale and are controlled by batch record.</w:t>
      </w:r>
      <w:r>
        <w:t xml:space="preserve"> </w:t>
      </w:r>
      <w:r>
        <w:t xml:space="preserve">Both bounds are carried through to the conclusions of PCR-009.</w:t>
      </w:r>
    </w:p>
    <w:p>
      <w:pPr>
        <w:pStyle w:val="BodyText"/>
      </w:pPr>
      <w:r>
        <w:t xml:space="preserve">Replicated centre points are built into both designs, 3 in the screening</w:t>
      </w:r>
      <w:r>
        <w:t xml:space="preserve"> </w:t>
      </w:r>
      <w:r>
        <w:t xml:space="preserve">design and 4 in the response-surface design. The variation among them is</w:t>
      </w:r>
      <w:r>
        <w:t xml:space="preserve"> </w:t>
      </w:r>
      <w:r>
        <w:t xml:space="preserve">the pure-error term against which lack of fit is judged (§5.5), and it is also the direct</w:t>
      </w:r>
      <w:r>
        <w:t xml:space="preserve"> </w:t>
      </w:r>
      <w:r>
        <w:t xml:space="preserve">measure of how reproducibly the scale-down model performs at one setting.</w:t>
      </w:r>
    </w:p>
    <w:bookmarkEnd w:id="23"/>
    <w:bookmarkStart w:id="24" w:name="operation"/>
    <w:p>
      <w:pPr>
        <w:pStyle w:val="Heading2"/>
      </w:pPr>
      <w:r>
        <w:t xml:space="preserve">5.2 Operation</w:t>
      </w:r>
    </w:p>
    <w:p>
      <w:pPr>
        <w:pStyle w:val="FirstParagraph"/>
      </w:pPr>
      <w:r>
        <w:t xml:space="preserve">The load material is the anion exchange pool. Its attributes are controlled to the</w:t>
      </w:r>
      <w:r>
        <w:t xml:space="preserve"> </w:t>
      </w:r>
      <w:r>
        <w:t xml:space="preserve">in-process criteria for that step (PCP-008) and are not varied in this study, so they are</w:t>
      </w:r>
      <w:r>
        <w:t xml:space="preserve"> </w:t>
      </w:r>
      <w:r>
        <w:t xml:space="preserve">identity- and quality-controlled inputs rather than characterized ones. The pool is</w:t>
      </w:r>
      <w:r>
        <w:t xml:space="preserve"> </w:t>
      </w:r>
      <w:r>
        <w:t xml:space="preserve">filtered to the target volumetric load at constant pressure, chased with the same buffer</w:t>
      </w:r>
      <w:r>
        <w:t xml:space="preserve"> </w:t>
      </w:r>
      <w:r>
        <w:t xml:space="preserve">to recover held-up product, and the device is integrity tested after use (SOP-2012).</w:t>
      </w:r>
    </w:p>
    <w:p>
      <w:pPr>
        <w:pStyle w:val="BodyText"/>
      </w:pPr>
      <w:r>
        <w:t xml:space="preserve">For the clearance runs the load is spiked with a virus stock and then passed through a</w:t>
      </w:r>
      <w:r>
        <w:t xml:space="preserve"> </w:t>
      </w:r>
      <w:r>
        <w:t xml:space="preserve">pre-filter before the retentive filter. Pre-filtration removes virus aggregates, which</w:t>
      </w:r>
      <w:r>
        <w:t xml:space="preserve"> </w:t>
      </w:r>
      <w:r>
        <w:t xml:space="preserve">would otherwise be retained for reasons of size that have nothing to do with the</w:t>
      </w:r>
      <w:r>
        <w:t xml:space="preserve"> </w:t>
      </w:r>
      <w:r>
        <w:t xml:space="preserve">performance of the membrane and would inflate the log reduction. Every other condition is</w:t>
      </w:r>
      <w:r>
        <w:t xml:space="preserve"> </w:t>
      </w:r>
      <w:r>
        <w:t xml:space="preserve">held at platform values, so that the only deliberate differences between runs are the</w:t>
      </w:r>
      <w:r>
        <w:t xml:space="preserve"> </w:t>
      </w:r>
      <w:r>
        <w:t xml:space="preserve">factor settings listed in</w:t>
      </w:r>
      <w:r>
        <w:t xml:space="preserve"> </w:t>
      </w:r>
      <w:hyperlink w:anchor="tbl-appa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appb">
        <w:r>
          <w:rPr>
            <w:rStyle w:val="Hyperlink"/>
          </w:rPr>
          <w:t xml:space="preserve">Table 13</w:t>
        </w:r>
      </w:hyperlink>
      <w:r>
        <w:t xml:space="preserve">.</w:t>
      </w:r>
    </w:p>
    <w:bookmarkEnd w:id="24"/>
    <w:bookmarkStart w:id="26" w:name="analytical-methods"/>
    <w:p>
      <w:pPr>
        <w:pStyle w:val="Heading2"/>
      </w:pPr>
      <w:r>
        <w:t xml:space="preserve">5.3 Analytical methods</w:t>
      </w:r>
    </w:p>
    <w:p>
      <w:pPr>
        <w:pStyle w:val="FirstParagraph"/>
      </w:pPr>
      <w:r>
        <w:t xml:space="preserve">Two validated infectivity assays carry the study. MVM titre is measured by TCID50 with</w:t>
      </w:r>
      <w:r>
        <w:t xml:space="preserve"> </w:t>
      </w:r>
      <w:r>
        <w:t xml:space="preserve">qPCR confirmation (AMV-3018) and XMuLV titre by TCID50 (AMV-3017). The log reduction</w:t>
      </w:r>
      <w:r>
        <w:t xml:space="preserve"> </w:t>
      </w:r>
      <w:r>
        <w:t xml:space="preserve">factor for each run is the difference between the titre of the spiked load and the titre</w:t>
      </w:r>
      <w:r>
        <w:t xml:space="preserve"> </w:t>
      </w:r>
      <w:r>
        <w:t xml:space="preserve">of the pooled filtrate, corrected for volume.</w:t>
      </w:r>
      <w:r>
        <w:t xml:space="preserve"> </w:t>
      </w:r>
      <w:hyperlink w:anchor="tbl-method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validated performance</w:t>
      </w:r>
      <w:r>
        <w:t xml:space="preserve"> </w:t>
      </w:r>
      <w:r>
        <w:t xml:space="preserve">of both methods.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Validated performance of the analytical methods used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18"/>
              <w:gridCol w:w="2289"/>
              <w:gridCol w:w="1608"/>
              <w:gridCol w:w="1299"/>
              <w:gridCol w:w="990"/>
              <w:gridCol w:w="11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 precision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LOQ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 (%)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 share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Infectivity Titre (TCID50/qPCR)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1.4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Infectivity Titre (TCID50)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 log10 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1.5 log10 TCID50/mL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Both assays report a titre on a log scale, so their intermediate precision is stated as a</w:t>
      </w:r>
      <w:r>
        <w:t xml:space="preserve"> </w:t>
      </w:r>
      <w:r>
        <w:t xml:space="preserve">log₁₀ standard deviation and not as a relative standard deviation. The MVM assay carries</w:t>
      </w:r>
      <w:r>
        <w:t xml:space="preserve"> </w:t>
      </w:r>
      <w:r>
        <w:t xml:space="preserve">an intermediate precision of 0.32 log10 SD and the XMuLV assay 0.3 log10 SD.</w:t>
      </w:r>
      <w:r>
        <w:t xml:space="preserve"> </w:t>
      </w:r>
      <w:r>
        <w:t xml:space="preserve">Assay variation propagates into every log reduction factor, so the standard error of an</w:t>
      </w:r>
      <w:r>
        <w:t xml:space="preserve"> </w:t>
      </w:r>
      <w:r>
        <w:t xml:space="preserve">effect follows from it together with the replicated centre points of the design in which</w:t>
      </w:r>
      <w:r>
        <w:t xml:space="preserve"> </w:t>
      </w:r>
      <w:r>
        <w:t xml:space="preserve">the effect is estimated (§5.5). An effect of the order of the assay precision will not be</w:t>
      </w:r>
      <w:r>
        <w:t xml:space="preserve"> </w:t>
      </w:r>
      <w:r>
        <w:t xml:space="preserve">resolved by the screening design, and PCR-009 will report every effect with its standard</w:t>
      </w:r>
      <w:r>
        <w:t xml:space="preserve"> </w:t>
      </w:r>
      <w:r>
        <w:t xml:space="preserve">error and its p-value and not as a bare magnitude.</w:t>
      </w:r>
    </w:p>
    <w:p>
      <w:pPr>
        <w:pStyle w:val="BodyText"/>
      </w:pPr>
      <w:r>
        <w:t xml:space="preserve">The limit of quantitation sets a second and less obvious bound. When no virus is detected</w:t>
      </w:r>
      <w:r>
        <w:t xml:space="preserve"> </w:t>
      </w:r>
      <w:r>
        <w:t xml:space="preserve">in the filtrate the log reduction cannot be reported as a number, and it is instead</w:t>
      </w:r>
      <w:r>
        <w:t xml:space="preserve"> </w:t>
      </w:r>
      <w:r>
        <w:t xml:space="preserve">reported as at least the difference between the load titre and the limit of quantitation of</w:t>
      </w:r>
      <w:r>
        <w:t xml:space="preserve"> </w:t>
      </w:r>
      <w:r>
        <w:t xml:space="preserve">the assay, which for the MVM method is a filtrate titre of 1.4 log10 TCID50/mL. Such a</w:t>
      </w:r>
      <w:r>
        <w:t xml:space="preserve"> </w:t>
      </w:r>
      <w:r>
        <w:t xml:space="preserve">result is censored, not measured, and a</w:t>
      </w:r>
      <w:r>
        <w:t xml:space="preserve"> </w:t>
      </w:r>
      <w:r>
        <w:t xml:space="preserve">censored value cannot be</w:t>
      </w:r>
      <w:r>
        <w:t xml:space="preserve"> </w:t>
      </w:r>
      <w:r>
        <w:t xml:space="preserve">treated as an observation in a regression without biasing the fit. Runs that give a</w:t>
      </w:r>
      <w:r>
        <w:t xml:space="preserve"> </w:t>
      </w:r>
      <w:r>
        <w:t xml:space="preserve">censored result will be identified in PCR-009 and the model for that response will be</w:t>
      </w:r>
      <w:r>
        <w:t xml:space="preserve"> </w:t>
      </w:r>
      <w:r>
        <w:t xml:space="preserve">fitted to the runs that are not censored, with the censored runs reported alongside.</w:t>
      </w:r>
    </w:p>
    <w:p>
      <w:pPr>
        <w:pStyle w:val="BodyText"/>
      </w:pPr>
      <w:r>
        <w:t xml:space="preserve">Step yield is not a virological measurement. It is calculated by mass balance across the</w:t>
      </w:r>
      <w:r>
        <w:t xml:space="preserve"> </w:t>
      </w:r>
      <w:r>
        <w:t xml:space="preserve">step, from the protein mass in the load and the protein mass in the pooled filtrate, using</w:t>
      </w:r>
      <w:r>
        <w:t xml:space="preserve"> </w:t>
      </w:r>
      <w:r>
        <w:t xml:space="preserve">the concentration method that supports the formulation step (AMV-3019, listed in PCP-010).</w:t>
      </w:r>
      <w:r>
        <w:t xml:space="preserve"> </w:t>
      </w:r>
      <w:r>
        <w:t xml:space="preserve">The full validation data for all three methods are held in their validation reports and are</w:t>
      </w:r>
      <w:r>
        <w:t xml:space="preserve"> </w:t>
      </w:r>
      <w:r>
        <w:t xml:space="preserve">not reproduced here.</w:t>
      </w:r>
    </w:p>
    <w:bookmarkEnd w:id="26"/>
    <w:bookmarkStart w:id="27" w:name="sampling-plan"/>
    <w:p>
      <w:pPr>
        <w:pStyle w:val="Heading2"/>
      </w:pPr>
      <w:r>
        <w:t xml:space="preserve">5.4 Sampling plan</w:t>
      </w:r>
    </w:p>
    <w:p>
      <w:pPr>
        <w:pStyle w:val="FirstParagraph"/>
      </w:pPr>
      <w:r>
        <w:t xml:space="preserve">Each run generates four kinds of sample. The load is sampled before spiking, to establish</w:t>
      </w:r>
      <w:r>
        <w:t xml:space="preserve"> </w:t>
      </w:r>
      <w:r>
        <w:t xml:space="preserve">the starting material, and after spiking, to establish the input titre. The filtrate is</w:t>
      </w:r>
      <w:r>
        <w:t xml:space="preserve"> </w:t>
      </w:r>
      <w:r>
        <w:t xml:space="preserve">collected in sequence as successive fractions across the load, so that clearance can be</w:t>
      </w:r>
      <w:r>
        <w:t xml:space="preserve"> </w:t>
      </w:r>
      <w:r>
        <w:t xml:space="preserve">followed as a function of the volume already filtered. The fractions are pooled to give the</w:t>
      </w:r>
      <w:r>
        <w:t xml:space="preserve"> </w:t>
      </w:r>
      <w:r>
        <w:t xml:space="preserve">cumulative filtrate, which is the sample the log reduction factor is calculated from. The</w:t>
      </w:r>
      <w:r>
        <w:t xml:space="preserve"> </w:t>
      </w:r>
      <w:r>
        <w:t xml:space="preserve">post-use integrity test result is recorded for every run.</w:t>
      </w:r>
    </w:p>
    <w:p>
      <w:pPr>
        <w:pStyle w:val="BodyText"/>
      </w:pPr>
      <w:r>
        <w:t xml:space="preserve">Fractionation is included so that clearance can be followed through the load. Breakthrough</w:t>
      </w:r>
      <w:r>
        <w:t xml:space="preserve"> </w:t>
      </w:r>
      <w:r>
        <w:t xml:space="preserve">is a phenomenon of the later part of the load, and a single pooled sample averages the last</w:t>
      </w:r>
      <w:r>
        <w:t xml:space="preserve"> </w:t>
      </w:r>
      <w:r>
        <w:t xml:space="preserve">fraction together with the first and hides it. The fractions cost assay capacity and</w:t>
      </w:r>
      <w:r>
        <w:t xml:space="preserve"> </w:t>
      </w:r>
      <w:r>
        <w:t xml:space="preserve">nothing else, and they are what allows the study to locate where in the load a decline in</w:t>
      </w:r>
      <w:r>
        <w:t xml:space="preserve"> </w:t>
      </w:r>
      <w:r>
        <w:t xml:space="preserve">clearance begins.</w:t>
      </w:r>
    </w:p>
    <w:p>
      <w:pPr>
        <w:pStyle w:val="BodyText"/>
      </w:pPr>
      <w:r>
        <w:t xml:space="preserve">Centre-point runs are replicated: 3 replicates in the screening design and</w:t>
      </w:r>
      <w:r>
        <w:t xml:space="preserve"> </w:t>
      </w:r>
      <w:r>
        <w:t xml:space="preserve">4 in the response-surface design. Two controls accompany every clearance</w:t>
      </w:r>
      <w:r>
        <w:t xml:space="preserve"> </w:t>
      </w:r>
      <w:r>
        <w:t xml:space="preserve">run. An unspiked run establishes yield and integrity without virus present, and a spike</w:t>
      </w:r>
      <w:r>
        <w:t xml:space="preserve"> </w:t>
      </w:r>
      <w:r>
        <w:t xml:space="preserve">hold control establishes that the virus stock is stable over the duration of the run, so</w:t>
      </w:r>
      <w:r>
        <w:t xml:space="preserve"> </w:t>
      </w:r>
      <w:r>
        <w:t xml:space="preserve">that a loss of titre is not mistaken for retention.</w:t>
      </w:r>
    </w:p>
    <w:bookmarkEnd w:id="27"/>
    <w:bookmarkStart w:id="28" w:name="statistical-methods"/>
    <w:p>
      <w:pPr>
        <w:pStyle w:val="Heading2"/>
      </w:pPr>
      <w:r>
        <w:t xml:space="preserve">5.5 Statistical methods</w:t>
      </w:r>
    </w:p>
    <w:p>
      <w:pPr>
        <w:pStyle w:val="FirstParagraph"/>
      </w:pPr>
      <w:r>
        <w:t xml:space="preserve">The analysis follows SOP-1002. Both factors are analysed in coded units, with the low and</w:t>
      </w:r>
      <w:r>
        <w:t xml:space="preserve"> </w:t>
      </w:r>
      <w:r>
        <w:t xml:space="preserve">high edges of the characterization range coded −1 and +1 and the centre of the design coded</w:t>
      </w:r>
      <w:r>
        <w:t xml:space="preserve"> </w:t>
      </w:r>
      <w:r>
        <w:t xml:space="preserve">0. Coding puts the two parameters on one scale, so that effects can be compared directly</w:t>
      </w:r>
      <w:r>
        <w:t xml:space="preserve"> </w:t>
      </w:r>
      <w:r>
        <w:t xml:space="preserve">and the fitted coefficients read as the change in the response over half the range studied.</w:t>
      </w:r>
    </w:p>
    <w:p>
      <w:pPr>
        <w:pStyle w:val="BodyText"/>
      </w:pPr>
      <w:r>
        <w:t xml:space="preserve">The screening design is analysed by ordinary least squares with both main effects and their</w:t>
      </w:r>
      <w:r>
        <w:t xml:space="preserve"> </w:t>
      </w:r>
      <w:r>
        <w:t xml:space="preserve">interaction. An effect is reported as twice the coded coefficient, which is the change in</w:t>
      </w:r>
      <w:r>
        <w:t xml:space="preserve"> </w:t>
      </w:r>
      <w:r>
        <w:t xml:space="preserve">the response from the low edge of a factor to the high edge. The response-surface data are</w:t>
      </w:r>
      <w:r>
        <w:t xml:space="preserve"> </w:t>
      </w:r>
      <w:r>
        <w:t xml:space="preserve">analysed with the full quadratic model, which adds a squared term for each factor to the</w:t>
      </w:r>
      <w:r>
        <w:t xml:space="preserve"> </w:t>
      </w:r>
      <w:r>
        <w:t xml:space="preserve">main effects and the interaction. Significance is judged at α = 0.05</w:t>
      </w:r>
      <w:r>
        <w:t xml:space="preserve"> </w:t>
      </w:r>
      <w:r>
        <w:t xml:space="preserve">throughout.</w:t>
      </w:r>
    </w:p>
    <w:p>
      <w:pPr>
        <w:pStyle w:val="BodyText"/>
      </w:pPr>
      <w:r>
        <w:t xml:space="preserve">Model adequacy will be assessed on four things, and all four are reported in PCR-009: the</w:t>
      </w:r>
      <w:r>
        <w:t xml:space="preserve"> </w:t>
      </w:r>
      <w:r>
        <w:t xml:space="preserve">coefficient of determination and its adjusted form, the predicted coefficient of</w:t>
      </w:r>
      <w:r>
        <w:t xml:space="preserve"> </w:t>
      </w:r>
      <w:r>
        <w:t xml:space="preserve">determination from the PRESS statistic, the overall model F test, and an analysis of</w:t>
      </w:r>
      <w:r>
        <w:t xml:space="preserve"> </w:t>
      </w:r>
      <w:r>
        <w:t xml:space="preserve">variance that partitions the residual into lack of fit and pure error. Pure error comes</w:t>
      </w:r>
      <w:r>
        <w:t xml:space="preserve"> </w:t>
      </w:r>
      <w:r>
        <w:t xml:space="preserve">from the replicated centre points, which is why they are in both designs. A model with</w:t>
      </w:r>
      <w:r>
        <w:t xml:space="preserve"> </w:t>
      </w:r>
      <w:r>
        <w:t xml:space="preserve">significant lack of fit describes the data it was fitted to but does not predict, and a</w:t>
      </w:r>
      <w:r>
        <w:t xml:space="preserve"> </w:t>
      </w:r>
      <w:r>
        <w:t xml:space="preserve">model that fails this test will not be used to define an operating region.</w:t>
      </w:r>
    </w:p>
    <w:p>
      <w:pPr>
        <w:pStyle w:val="BodyText"/>
      </w:pPr>
      <w:r>
        <w:t xml:space="preserve">The screening design and the response-surface design do different jobs, and this plan keeps</w:t>
      </w:r>
      <w:r>
        <w:t xml:space="preserve"> </w:t>
      </w:r>
      <w:r>
        <w:t xml:space="preserve">them separate. The screening design identifies which factors are active and whether they</w:t>
      </w:r>
      <w:r>
        <w:t xml:space="preserve"> </w:t>
      </w:r>
      <w:r>
        <w:t xml:space="preserve">interact. The response-surface model is the predictive model, and it alone is the basis of</w:t>
      </w:r>
      <w:r>
        <w:t xml:space="preserve"> </w:t>
      </w:r>
      <w:r>
        <w:t xml:space="preserve">the design space and of the proven acceptable ranges in §8. Effect estimates from the</w:t>
      </w:r>
      <w:r>
        <w:t xml:space="preserve"> </w:t>
      </w:r>
      <w:r>
        <w:t xml:space="preserve">screening runs will be reported as evidence of which factors matter, and will not be</w:t>
      </w:r>
      <w:r>
        <w:t xml:space="preserve"> </w:t>
      </w:r>
      <w:r>
        <w:t xml:space="preserve">presented as predictions.</w:t>
      </w:r>
    </w:p>
    <w:p>
      <w:pPr>
        <w:pStyle w:val="BodyText"/>
      </w:pPr>
      <w:r>
        <w:t xml:space="preserve">A factor with no significant effect on a response is a result and will be reported as one.</w:t>
      </w:r>
      <w:r>
        <w:t xml:space="preserve"> </w:t>
      </w:r>
      <w:r>
        <w:t xml:space="preserve">It is evidence that the response is robust to that factor over the range studied, it is</w:t>
      </w:r>
      <w:r>
        <w:t xml:space="preserve"> </w:t>
      </w:r>
      <w:r>
        <w:t xml:space="preserve">retained in the knowledge space on that basis, and it is classified accordingly under</w:t>
      </w:r>
      <w:r>
        <w:t xml:space="preserve"> </w:t>
      </w:r>
      <w:r>
        <w:t xml:space="preserve">SOP-4001.</w:t>
      </w:r>
    </w:p>
    <w:p>
      <w:pPr>
        <w:pStyle w:val="BodyText"/>
      </w:pPr>
      <w:r>
        <w:t xml:space="preserve">Commercial-scale capability will be estimated by Monte-Carlo simulation of</w:t>
      </w:r>
      <w:r>
        <w:t xml:space="preserve"> </w:t>
      </w:r>
      <w:r>
        <w:t xml:space="preserve">2,000 batches of the whole purification train, with every parameter varying about</w:t>
      </w:r>
      <w:r>
        <w:t xml:space="preserve"> </w:t>
      </w:r>
      <w:r>
        <w:t xml:space="preserve">its set-point across its normal operating range. It is reported for each viral clearance</w:t>
      </w:r>
      <w:r>
        <w:t xml:space="preserve"> </w:t>
      </w:r>
      <w:r>
        <w:t xml:space="preserve">attribute as a one-sided capability index against the cumulative drug substance</w:t>
      </w:r>
      <w:r>
        <w:t xml:space="preserve"> </w:t>
      </w:r>
      <w:r>
        <w:t xml:space="preserve">requirement, together with the margin between the simulated mean and that requirement. The</w:t>
      </w:r>
      <w:r>
        <w:t xml:space="preserve"> </w:t>
      </w:r>
      <w:r>
        <w:t xml:space="preserve">index is a property of the train and not of this step alone, and the contribution this step</w:t>
      </w:r>
      <w:r>
        <w:t xml:space="preserve"> </w:t>
      </w:r>
      <w:r>
        <w:t xml:space="preserve">makes to it is the log reduction reported against the criteria of §7. This plan sets</w:t>
      </w:r>
      <w:r>
        <w:t xml:space="preserve"> </w:t>
      </w:r>
      <w:r>
        <w:t xml:space="preserve">no numeric acceptance threshold for the capability index, because none is established for</w:t>
      </w:r>
      <w:r>
        <w:t xml:space="preserve"> </w:t>
      </w:r>
      <w:r>
        <w:t xml:space="preserve">the campaign; capability is reported as a measure of margin and is interpreted against the</w:t>
      </w:r>
      <w:r>
        <w:t xml:space="preserve"> </w:t>
      </w:r>
      <w:r>
        <w:t xml:space="preserve">criticality of the attribute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8"/>
    <w:bookmarkEnd w:id="29"/>
    <w:bookmarkStart w:id="36" w:name="study-design"/>
    <w:p>
      <w:pPr>
        <w:pStyle w:val="Heading1"/>
      </w:pPr>
      <w:r>
        <w:t xml:space="preserve">6. Study design</w:t>
      </w:r>
    </w:p>
    <w:bookmarkStart w:id="32" w:name="factors-ranges-and-study-type"/>
    <w:p>
      <w:pPr>
        <w:pStyle w:val="Heading2"/>
      </w:pPr>
      <w:r>
        <w:t xml:space="preserve">6.1 Factors, ranges and study type</w:t>
      </w:r>
    </w:p>
    <w:p>
      <w:pPr>
        <w:pStyle w:val="FirstParagraph"/>
      </w:pP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parameters, their set-points, the ranges to be studied and the normal</w:t>
      </w:r>
      <w:r>
        <w:t xml:space="preserve"> </w:t>
      </w:r>
      <w:r>
        <w:t xml:space="preserve">operating ranges.</w:t>
      </w:r>
      <w:r>
        <w:t xml:space="preserve"> </w:t>
      </w:r>
      <w:hyperlink w:anchor="tbl-legend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letter codes used for the factors in the design</w:t>
      </w:r>
      <w:r>
        <w:t xml:space="preserve"> </w:t>
      </w:r>
      <w:r>
        <w:t xml:space="preserve">matrices and in the effect tables of PCR-009.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Parameters, ranges and study type for the planned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94"/>
              <w:gridCol w:w="736"/>
              <w:gridCol w:w="1197"/>
              <w:gridCol w:w="1565"/>
              <w:gridCol w:w="736"/>
              <w:gridCol w:w="12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Range studied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 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50–105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8–30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3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Factor legend for the design matrices.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L/m2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Filtration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psi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Both parameters are assigned to the multivariate design, and each characterization range</w:t>
      </w:r>
      <w:r>
        <w:t xml:space="preserve"> </w:t>
      </w:r>
      <w:r>
        <w:t xml:space="preserve">contains its normal operating range and extends well above it. Filtration volume (load) runs</w:t>
      </w:r>
      <w:r>
        <w:t xml:space="preserve"> </w:t>
      </w:r>
      <w:r>
        <w:t xml:space="preserve">from 50–140 L/m2 against a normal range of 50–105</w:t>
      </w:r>
      <w:r>
        <w:t xml:space="preserve"> </w:t>
      </w:r>
      <w:r>
        <w:t xml:space="preserve">L/m2, so the two share their lower edge at 50</w:t>
      </w:r>
      <w:r>
        <w:t xml:space="preserve"> </w:t>
      </w:r>
      <w:r>
        <w:t xml:space="preserve">L/m2 and the studied range extends above the normal one to</w:t>
      </w:r>
      <w:r>
        <w:t xml:space="preserve"> </w:t>
      </w:r>
      <w:r>
        <w:t xml:space="preserve">140 L/m2.</w:t>
      </w:r>
      <w:r>
        <w:t xml:space="preserve"> </w:t>
      </w:r>
      <w:r>
        <w:t xml:space="preserve">Filtration pressure runs from 8–30 psi against a normal</w:t>
      </w:r>
      <w:r>
        <w:t xml:space="preserve"> </w:t>
      </w:r>
      <w:r>
        <w:t xml:space="preserve">range of 10–20 psi, which it brackets on both sides. The</w:t>
      </w:r>
      <w:r>
        <w:t xml:space="preserve"> </w:t>
      </w:r>
      <w:r>
        <w:t xml:space="preserve">studied range is the knowledge space for this step. The design space will be a region</w:t>
      </w:r>
      <w:r>
        <w:t xml:space="preserve"> </w:t>
      </w:r>
      <w:r>
        <w:t xml:space="preserve">inside it, and the normal operating range will lie within that region, touching the studied</w:t>
      </w:r>
      <w:r>
        <w:t xml:space="preserve"> </w:t>
      </w:r>
      <w:r>
        <w:t xml:space="preserve">range only at the lower load edge.</w:t>
      </w:r>
    </w:p>
    <w:p>
      <w:pPr>
        <w:pStyle w:val="BodyText"/>
      </w:pPr>
      <w:r>
        <w:t xml:space="preserve">The centre of the design is not the set-point of the process. It sits at</w:t>
      </w:r>
      <w:r>
        <w:t xml:space="preserve"> </w:t>
      </w:r>
      <w:r>
        <w:t xml:space="preserve">95</w:t>
      </w:r>
      <w:r>
        <w:t xml:space="preserve"> </w:t>
      </w:r>
      <w:r>
        <w:t xml:space="preserve">L/m2 and 19 psi, above the set-points</w:t>
      </w:r>
      <w:r>
        <w:t xml:space="preserve"> </w:t>
      </w:r>
      <w:r>
        <w:t xml:space="preserve">of 90 L/m2 and 13 psi,</w:t>
      </w:r>
      <w:r>
        <w:t xml:space="preserve"> </w:t>
      </w:r>
      <w:r>
        <w:t xml:space="preserve">because coding places the centre at the midpoint of each characterization range and both</w:t>
      </w:r>
      <w:r>
        <w:t xml:space="preserve"> </w:t>
      </w:r>
      <w:r>
        <w:t xml:space="preserve">ranges extend further above the target than below it. Both centre settings lie inside the</w:t>
      </w:r>
      <w:r>
        <w:t xml:space="preserve"> </w:t>
      </w:r>
      <w:r>
        <w:t xml:space="preserve">normal operating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so the centre point is a condition the process is</w:t>
      </w:r>
      <w:r>
        <w:t xml:space="preserve"> </w:t>
      </w:r>
      <w:r>
        <w:t xml:space="preserve">licensed to run at and not a worst case. The worst case for this step is defined in §7, and</w:t>
      </w:r>
      <w:r>
        <w:t xml:space="preserve"> </w:t>
      </w:r>
      <w:r>
        <w:t xml:space="preserve">it is a corner of the design and not its centre.</w:t>
      </w:r>
    </w:p>
    <w:bookmarkEnd w:id="32"/>
    <w:bookmarkStart w:id="33" w:name="screening-design"/>
    <w:p>
      <w:pPr>
        <w:pStyle w:val="Heading2"/>
      </w:pPr>
      <w:r>
        <w:t xml:space="preserve">6.2 Screening design</w:t>
      </w:r>
    </w:p>
    <w:p>
      <w:pPr>
        <w:pStyle w:val="FirstParagraph"/>
      </w:pPr>
      <w:r>
        <w:t xml:space="preserve">The screening study is a full factorial in the 2 factors at two levels,</w:t>
      </w:r>
      <w:r>
        <w:t xml:space="preserve"> </w:t>
      </w:r>
      <w:r>
        <w:t xml:space="preserve">augmented with 3 replicated centre points, giving 7 runs</w:t>
      </w:r>
      <w:r>
        <w:t xml:space="preserve"> </w:t>
      </w:r>
      <w:r>
        <w:t xml:space="preserve">(</w:t>
      </w:r>
      <w:hyperlink w:anchor="tbl-appa">
        <w:r>
          <w:rPr>
            <w:rStyle w:val="Hyperlink"/>
          </w:rPr>
          <w:t xml:space="preserve">Table 11</w:t>
        </w:r>
      </w:hyperlink>
      <w:r>
        <w:t xml:space="preserve">). The design is not saturated. It estimates both main effects and their</w:t>
      </w:r>
      <w:r>
        <w:t xml:space="preserve"> </w:t>
      </w:r>
      <w:r>
        <w:t xml:space="preserve">interaction independently, and the replicated centre points add an estimate of pure error</w:t>
      </w:r>
      <w:r>
        <w:t xml:space="preserve"> </w:t>
      </w:r>
      <w:r>
        <w:t xml:space="preserve">and a test for curvature.</w:t>
      </w:r>
    </w:p>
    <w:p>
      <w:pPr>
        <w:pStyle w:val="BodyText"/>
      </w:pPr>
      <w:r>
        <w:t xml:space="preserve">The purpose of this stage is to identify which of the two parameters drives each response,</w:t>
      </w:r>
      <w:r>
        <w:t xml:space="preserve"> </w:t>
      </w:r>
      <w:r>
        <w:t xml:space="preserve">and whether the interaction expected in §4.1 is present. The screening fit will not be used</w:t>
      </w:r>
      <w:r>
        <w:t xml:space="preserve"> </w:t>
      </w:r>
      <w:r>
        <w:t xml:space="preserve">to predict a response at an untested setting. Where curvature is detected at the centre</w:t>
      </w:r>
      <w:r>
        <w:t xml:space="preserve"> </w:t>
      </w:r>
      <w:r>
        <w:t xml:space="preserve">points, the two-level design cannot describe it, and the response-surface stage exists for</w:t>
      </w:r>
      <w:r>
        <w:t xml:space="preserve"> </w:t>
      </w:r>
      <w:r>
        <w:t xml:space="preserve">that reason.</w:t>
      </w:r>
    </w:p>
    <w:bookmarkEnd w:id="33"/>
    <w:bookmarkStart w:id="34" w:name="response-surface-design"/>
    <w:p>
      <w:pPr>
        <w:pStyle w:val="Heading2"/>
      </w:pPr>
      <w:r>
        <w:t xml:space="preserve">6.3 Response-surface design</w:t>
      </w:r>
    </w:p>
    <w:p>
      <w:pPr>
        <w:pStyle w:val="FirstParagraph"/>
      </w:pPr>
      <w:r>
        <w:t xml:space="preserve">The response-surface study is a face-centred central composite design in the same</w:t>
      </w:r>
      <w:r>
        <w:t xml:space="preserve"> </w:t>
      </w:r>
      <w:r>
        <w:t xml:space="preserve">2 factors, with 19 runs across the two stages and</w:t>
      </w:r>
      <w:r>
        <w:t xml:space="preserve"> </w:t>
      </w:r>
      <w:r>
        <w:t xml:space="preserve">12 runs in this one (</w:t>
      </w:r>
      <w:hyperlink w:anchor="tbl-appb">
        <w:r>
          <w:rPr>
            <w:rStyle w:val="Hyperlink"/>
          </w:rPr>
          <w:t xml:space="preserve">Table 13</w:t>
        </w:r>
      </w:hyperlink>
      <w:r>
        <w:t xml:space="preserve">). It comprises the 4</w:t>
      </w:r>
      <w:r>
        <w:t xml:space="preserve"> </w:t>
      </w:r>
      <w:r>
        <w:t xml:space="preserve">factorial corners, 4 axial runs placed at the face centres of the design</w:t>
      </w:r>
      <w:r>
        <w:t xml:space="preserve"> </w:t>
      </w:r>
      <w:r>
        <w:t xml:space="preserve">region, and 4 replicated centre points. The axial runs sit on the faces and</w:t>
      </w:r>
      <w:r>
        <w:t xml:space="preserve"> </w:t>
      </w:r>
      <w:r>
        <w:t xml:space="preserve">not outside them, so that no run falls outside the characterization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p>
      <w:pPr>
        <w:pStyle w:val="BodyText"/>
      </w:pPr>
      <w:r>
        <w:t xml:space="preserve">This design supports the full quadratic model in both factors. It is the model from which</w:t>
      </w:r>
      <w:r>
        <w:t xml:space="preserve"> </w:t>
      </w:r>
      <w:r>
        <w:t xml:space="preserve">the operating region and the proven acceptable ranges are derived, and it is the only model</w:t>
      </w:r>
      <w:r>
        <w:t xml:space="preserve"> </w:t>
      </w:r>
      <w:r>
        <w:t xml:space="preserve">in this plan that is used to predict a response of this step. Its predictions are bounded</w:t>
      </w:r>
      <w:r>
        <w:t xml:space="preserve"> </w:t>
      </w:r>
      <w:r>
        <w:t xml:space="preserve">by the ranges in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by the qualified scale-down model described in §5.1, and by</w:t>
      </w:r>
      <w:r>
        <w:t xml:space="preserve"> </w:t>
      </w:r>
      <w:r>
        <w:t xml:space="preserve">the load material specification of the anion exchange step.</w:t>
      </w:r>
    </w:p>
    <w:bookmarkEnd w:id="34"/>
    <w:bookmarkStart w:id="35" w:name="univariate-assessment"/>
    <w:p>
      <w:pPr>
        <w:pStyle w:val="Heading2"/>
      </w:pPr>
      <w:r>
        <w:t xml:space="preserve">6.4 Univariate assessment</w:t>
      </w:r>
    </w:p>
    <w:p>
      <w:pPr>
        <w:pStyle w:val="FirstParagraph"/>
      </w:pPr>
      <w:r>
        <w:t xml:space="preserve">No parameter of this step is assigned to a univariate study. RA-001 assigned both</w:t>
      </w:r>
      <w:r>
        <w:t xml:space="preserve"> </w:t>
      </w:r>
      <w:r>
        <w:t xml:space="preserve">parameters to the multivariate design (</w:t>
      </w:r>
      <w:hyperlink w:anchor="tbl-risk">
        <w:r>
          <w:rPr>
            <w:rStyle w:val="Hyperlink"/>
          </w:rPr>
          <w:t xml:space="preserve">Table 5</w:t>
        </w:r>
      </w:hyperlink>
      <w:r>
        <w:t xml:space="preserve">), and with only 2 factors</w:t>
      </w:r>
      <w:r>
        <w:t xml:space="preserve"> </w:t>
      </w:r>
      <w:r>
        <w:t xml:space="preserve">in the design there is no case for separating them. The interaction is one of the things</w:t>
      </w:r>
      <w:r>
        <w:t xml:space="preserve"> </w:t>
      </w:r>
      <w:r>
        <w:t xml:space="preserve">the study exists to test.</w:t>
      </w:r>
    </w:p>
    <w:p>
      <w:pPr>
        <w:pStyle w:val="BodyText"/>
      </w:pPr>
      <w:r>
        <w:t xml:space="preserve">Three further inputs are known to affect virus filtration in general and are nonetheless</w:t>
      </w:r>
      <w:r>
        <w:t xml:space="preserve"> </w:t>
      </w:r>
      <w:r>
        <w:t xml:space="preserve">not studied here. Buffer pH, conductivity and protein concentration have been shown across</w:t>
      </w:r>
      <w:r>
        <w:t xml:space="preserve"> </w:t>
      </w:r>
      <w:r>
        <w:t xml:space="preserve">the platform to have little or no effect on the retention of either model virus over the</w:t>
      </w:r>
      <w:r>
        <w:t xml:space="preserve"> </w:t>
      </w:r>
      <w:r>
        <w:t xml:space="preserve">ranges the process visits</w:t>
      </w:r>
      <w:r>
        <w:t xml:space="preserve"> </w:t>
      </w:r>
      <w:r>
        <w:t xml:space="preserve">(CMC Biotech Working Group 2009)</w:t>
      </w:r>
      <w:r>
        <w:t xml:space="preserve">, and the anion exchange step delivers a pool whose</w:t>
      </w:r>
      <w:r>
        <w:t xml:space="preserve"> </w:t>
      </w:r>
      <w:r>
        <w:t xml:space="preserve">composition is controlled to a narrow specification (PCP-008). These inputs are therefore</w:t>
      </w:r>
      <w:r>
        <w:t xml:space="preserve"> </w:t>
      </w:r>
      <w:r>
        <w:t xml:space="preserve">carried as controlled conditions and not as factors, and the justification for that is</w:t>
      </w:r>
      <w:r>
        <w:t xml:space="preserve"> </w:t>
      </w:r>
      <w:r>
        <w:t xml:space="preserve">prior knowledge and not a study performed here.</w:t>
      </w:r>
    </w:p>
    <w:p>
      <w:pPr>
        <w:pStyle w:val="BodyText"/>
      </w:pPr>
      <w:r>
        <w:t xml:space="preserve">The post-use filter integrity test is a procedural control and not a parameter. It is</w:t>
      </w:r>
      <w:r>
        <w:t xml:space="preserve"> </w:t>
      </w:r>
      <w:r>
        <w:t xml:space="preserve">executed on every run of this study and on every commercial batch, and its result is</w:t>
      </w:r>
      <w:r>
        <w:t xml:space="preserve"> </w:t>
      </w:r>
      <w:r>
        <w:t xml:space="preserve">recorded as an attribute of the run. A failed integrity test invalidates the clearance</w:t>
      </w:r>
      <w:r>
        <w:t xml:space="preserve"> </w:t>
      </w:r>
      <w:r>
        <w:t xml:space="preserve">result of that run.</w:t>
      </w:r>
    </w:p>
    <w:bookmarkEnd w:id="35"/>
    <w:bookmarkEnd w:id="36"/>
    <w:bookmarkStart w:id="38" w:name="acceptance-and-decision-criteria"/>
    <w:p>
      <w:pPr>
        <w:pStyle w:val="Heading1"/>
      </w:pPr>
      <w:r>
        <w:t xml:space="preserve">7. Acceptance and decision criteria</w:t>
      </w:r>
    </w:p>
    <w:p>
      <w:pPr>
        <w:pStyle w:val="FirstParagraph"/>
      </w:pPr>
      <w:r>
        <w:t xml:space="preserve">This section states the criteria before the data exist.</w:t>
      </w:r>
      <w:r>
        <w:t xml:space="preserve"> </w:t>
      </w:r>
      <w:hyperlink w:anchor="tbl-acceptance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gives what each</w:t>
      </w:r>
      <w:r>
        <w:t xml:space="preserve"> </w:t>
      </w:r>
      <w:r>
        <w:t xml:space="preserve">measured response must achieve, and the basis of each criterion.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accept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Acceptance criteria for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85"/>
              <w:gridCol w:w="1723"/>
              <w:gridCol w:w="1118"/>
              <w:gridCol w:w="885"/>
              <w:gridCol w:w="330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Quality attribute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 criterion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MVM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MVM (parvovirus)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the other steps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XMuLV LRF (log₁₀)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Viral clearance — XMuLV (enveloped)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≥ 3.65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log₁₀ (this step)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requirement less the clearance credited to the other steps</w:t>
                  </w:r>
                </w:p>
              </w:tc>
            </w:tr>
          </w:tbl>
          <w:bookmarkEnd w:id="37"/>
          <w:p/>
        </w:tc>
      </w:tr>
    </w:tbl>
    <w:p>
      <w:pPr>
        <w:pStyle w:val="BodyText"/>
      </w:pPr>
      <w:r>
        <w:t xml:space="preserve">The two viral clearance criteria are step contributions and are derived, not specified. The</w:t>
      </w:r>
      <w:r>
        <w:t xml:space="preserve"> </w:t>
      </w:r>
      <w:r>
        <w:t xml:space="preserve">drug substance requirement is cumulative, and the requirement placed on this step is that</w:t>
      </w:r>
      <w:r>
        <w:t xml:space="preserve"> </w:t>
      </w:r>
      <w:r>
        <w:t xml:space="preserve">requirement less the clearance credited to the other steps of the train. On that basis this</w:t>
      </w:r>
      <w:r>
        <w:t xml:space="preserve"> </w:t>
      </w:r>
      <w:r>
        <w:t xml:space="preserve">step must deliver at least 3.89 log₁₀ of MVM clearance and at least</w:t>
      </w:r>
      <w:r>
        <w:t xml:space="preserve"> </w:t>
      </w:r>
      <w:r>
        <w:t xml:space="preserve">3.65 log₁₀ of XMuLV clearance. Neither figure is a specification in its own</w:t>
      </w:r>
      <w:r>
        <w:t xml:space="preserve"> </w:t>
      </w:r>
      <w:r>
        <w:t xml:space="preserve">right. Both move if the clearance credited to Step 6 or Step 8 changes, and PCR-009 will</w:t>
      </w:r>
      <w:r>
        <w:t xml:space="preserve"> </w:t>
      </w:r>
      <w:r>
        <w:t xml:space="preserve">state the values in force when the study reports. Step yield has no criterion of this kind.</w:t>
      </w:r>
      <w:r>
        <w:t xml:space="preserve"> </w:t>
      </w:r>
      <w:r>
        <w:t xml:space="preserve">It is a process performance attribute, it is reported for every run, and it is used to</w:t>
      </w:r>
      <w:r>
        <w:t xml:space="preserve"> </w:t>
      </w:r>
      <w:r>
        <w:t xml:space="preserve">check that an operating region proposed on viral safety grounds is also a region the</w:t>
      </w:r>
      <w:r>
        <w:t xml:space="preserve"> </w:t>
      </w:r>
      <w:r>
        <w:t xml:space="preserve">process can be run in.</w:t>
      </w:r>
    </w:p>
    <w:p>
      <w:pPr>
        <w:pStyle w:val="BodyText"/>
      </w:pPr>
      <w:r>
        <w:t xml:space="preserve">The study is judged on four decisions, each of them made against evidence stated in</w:t>
      </w:r>
      <w:r>
        <w:t xml:space="preserve"> </w:t>
      </w:r>
      <w:r>
        <w:t xml:space="preserve">PCR-009.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8"/>
        </w:numPr>
      </w:pPr>
      <w:r>
        <w:t xml:space="preserve">The scale-down model is qualified. Flux profile, recovery and filtrate quality at the</w:t>
      </w:r>
      <w:r>
        <w:t xml:space="preserve"> </w:t>
      </w:r>
      <w:r>
        <w:t xml:space="preserve">target operating point are comparable with commercial-scale data under SOP-1001. This</w:t>
      </w:r>
      <w:r>
        <w:t xml:space="preserve"> </w:t>
      </w:r>
      <w:r>
        <w:t xml:space="preserve">decision is made before the characterization runs, and a failure stops the study.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09"/>
        </w:numPr>
      </w:pPr>
      <w:r>
        <w:t xml:space="preserve">Each response-surface model is adequate. The overall model is significant at</w:t>
      </w:r>
      <w:r>
        <w:t xml:space="preserve"> </w:t>
      </w:r>
      <w:r>
        <w:t xml:space="preserve">α = 0.05, lack of fit is not significant against pure error, and the</w:t>
      </w:r>
      <w:r>
        <w:t xml:space="preserve"> </w:t>
      </w:r>
      <w:r>
        <w:t xml:space="preserve">predicted coefficient of determination supports use of the model outside the runs it was</w:t>
      </w:r>
      <w:r>
        <w:t xml:space="preserve"> </w:t>
      </w:r>
      <w:r>
        <w:t xml:space="preserve">fitted to. A response whose model fails these tests is reported from the observed data</w:t>
      </w:r>
      <w:r>
        <w:t xml:space="preserve"> </w:t>
      </w:r>
      <w:r>
        <w:t xml:space="preserve">only, and no region is claimed from it.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0"/>
        </w:numPr>
      </w:pPr>
      <w:r>
        <w:t xml:space="preserve">An operating region is defined. The fitted model predicts at least</w:t>
      </w:r>
      <w:r>
        <w:t xml:space="preserve"> </w:t>
      </w:r>
      <w:r>
        <w:t xml:space="preserve">3.89 log₁₀ for MVM and at least 3.65 log₁₀ for XMuLV</w:t>
      </w:r>
      <w:r>
        <w:t xml:space="preserve"> </w:t>
      </w:r>
      <w:r>
        <w:t xml:space="preserve">everywhere in the proposed region, including at its worst-case corner. For this step the</w:t>
      </w:r>
      <w:r>
        <w:t xml:space="preserve"> </w:t>
      </w:r>
      <w:r>
        <w:t xml:space="preserve">worst-case corner is the high edge of Filtration volume (load) taken together with the</w:t>
      </w:r>
      <w:r>
        <w:t xml:space="preserve"> </w:t>
      </w:r>
      <w:r>
        <w:t xml:space="preserve">pressure edge that the fitted model shows to be less favourable, and the region is not</w:t>
      </w:r>
      <w:r>
        <w:t xml:space="preserve"> </w:t>
      </w:r>
      <w:r>
        <w:t xml:space="preserve">accepted on the strength of its centre.</w:t>
      </w:r>
    </w:p>
    <w:p>
      <w:pPr>
        <w:pStyle w:val="Compact"/>
        <w:numPr>
          <w:ilvl w:val="0"/>
          <w:numId w:val="1007"/>
        </w:numPr>
      </w:pPr>
    </w:p>
    <w:p>
      <w:pPr>
        <w:pStyle w:val="Compact"/>
        <w:numPr>
          <w:ilvl w:val="1"/>
          <w:numId w:val="1011"/>
        </w:numPr>
      </w:pPr>
      <w:r>
        <w:t xml:space="preserve">Each parameter is classified. Classification follows SOP-4001 from the demonstrated</w:t>
      </w:r>
      <w:r>
        <w:t xml:space="preserve"> </w:t>
      </w:r>
      <w:r>
        <w:t xml:space="preserve">effect on a critical quality attribute and from the risk of leaving the design space in</w:t>
      </w:r>
      <w:r>
        <w:t xml:space="preserve"> </w:t>
      </w:r>
      <w:r>
        <w:t xml:space="preserve">routine operation. A parameter with a demonstrated effect that is nonetheless easy to</w:t>
      </w:r>
      <w:r>
        <w:t xml:space="preserve"> </w:t>
      </w:r>
      <w:r>
        <w:t xml:space="preserve">control and far from the region boundary is a well-controlled critical process parameter;</w:t>
      </w:r>
      <w:r>
        <w:t xml:space="preserve"> </w:t>
      </w:r>
      <w:r>
        <w:t xml:space="preserve">one that is hard to control, or whose boundary is close to the normal operating range, is</w:t>
      </w:r>
      <w:r>
        <w:t xml:space="preserve"> </w:t>
      </w:r>
      <w:r>
        <w:t xml:space="preserve">a critical process parameter.</w:t>
      </w:r>
    </w:p>
    <w:p>
      <w:pPr>
        <w:pStyle w:val="FirstParagraph"/>
      </w:pPr>
      <w:r>
        <w:t xml:space="preserve">These criteria apply within the characterization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and to material</w:t>
      </w:r>
      <w:r>
        <w:t xml:space="preserve"> </w:t>
      </w:r>
      <w:r>
        <w:t xml:space="preserve">produced on the qualified scale-down model. A result outside those ranges is outside this</w:t>
      </w:r>
      <w:r>
        <w:t xml:space="preserve"> </w:t>
      </w:r>
      <w:r>
        <w:t xml:space="preserve">plan. Any deviation from the plan will be recorded, investigated and impact assessed before</w:t>
      </w:r>
      <w:r>
        <w:t xml:space="preserve"> </w:t>
      </w:r>
      <w:r>
        <w:t xml:space="preserve">the affected data are used, and the disposition will be reported in PCR-009.</w:t>
      </w:r>
    </w:p>
    <w:bookmarkEnd w:id="38"/>
    <w:bookmarkStart w:id="39" w:name="X6e399b04be57e9d5f909b4238f9408193405dfd"/>
    <w:p>
      <w:pPr>
        <w:pStyle w:val="Heading1"/>
      </w:pPr>
      <w:r>
        <w:t xml:space="preserve">8. Proven acceptable ranges (planned analysis)</w:t>
      </w:r>
    </w:p>
    <w:p>
      <w:pPr>
        <w:pStyle w:val="FirstParagraph"/>
      </w:pPr>
      <w:r>
        <w:t xml:space="preserve">A proven acceptable range is a range of one parameter over which a quality attribute stays</w:t>
      </w:r>
      <w:r>
        <w:t xml:space="preserve"> </w:t>
      </w:r>
      <w:r>
        <w:t xml:space="preserve">within acceptance, supported by data</w:t>
      </w:r>
      <w:r>
        <w:t xml:space="preserve"> </w:t>
      </w:r>
      <w:r>
        <w:t xml:space="preserve">(International Council for Harmonisation 2009)</w:t>
      </w:r>
      <w:r>
        <w:t xml:space="preserve">. The design space this study will define is</w:t>
      </w:r>
      <w:r>
        <w:t xml:space="preserve"> </w:t>
      </w:r>
      <w:r>
        <w:t xml:space="preserve">multivariate, and the proven acceptable ranges complement it by stating, parameter by</w:t>
      </w:r>
      <w:r>
        <w:t xml:space="preserve"> </w:t>
      </w:r>
      <w:r>
        <w:t xml:space="preserve">parameter, how far each one may move on its own. Both are reported in PCR-009. This section</w:t>
      </w:r>
      <w:r>
        <w:t xml:space="preserve"> </w:t>
      </w:r>
      <w:r>
        <w:t xml:space="preserve">states how the ranges will be derived.</w:t>
      </w:r>
    </w:p>
    <w:p>
      <w:pPr>
        <w:pStyle w:val="BodyText"/>
      </w:pPr>
      <w:r>
        <w:t xml:space="preserve">The acceptance basis is the one given in §7. For each viral clearance attribute the</w:t>
      </w:r>
      <w:r>
        <w:t xml:space="preserve"> </w:t>
      </w:r>
      <w:r>
        <w:t xml:space="preserve">criterion is the step contribution back-calculated from the cumulative requirement, which</w:t>
      </w:r>
      <w:r>
        <w:t xml:space="preserve"> </w:t>
      </w:r>
      <w:r>
        <w:t xml:space="preserve">is 3.89 log₁₀ for MVM and 3.65 log₁₀ for XMuLV. Step yield</w:t>
      </w:r>
      <w:r>
        <w:t xml:space="preserve"> </w:t>
      </w:r>
      <w:r>
        <w:t xml:space="preserve">carries no such criterion and no proven acceptable range is derived for it.</w:t>
      </w:r>
    </w:p>
    <w:p>
      <w:pPr>
        <w:pStyle w:val="BodyText"/>
      </w:pPr>
      <w:r>
        <w:t xml:space="preserve">Two analyses will be run for each combination of parameter and attribute. The first holds</w:t>
      </w:r>
      <w:r>
        <w:t xml:space="preserve"> </w:t>
      </w:r>
      <w:r>
        <w:t xml:space="preserve">the other parameter at its set-point and evaluates the fitted response-surface model across</w:t>
      </w:r>
      <w:r>
        <w:t xml:space="preserve"> </w:t>
      </w:r>
      <w:r>
        <w:t xml:space="preserve">the characterization range of the parameter of interest. The second propagates the normal</w:t>
      </w:r>
      <w:r>
        <w:t xml:space="preserve"> </w:t>
      </w:r>
      <w:r>
        <w:t xml:space="preserve">operating range of the other parameter by Monte-Carlo, drawing 2,000 values</w:t>
      </w:r>
      <w:r>
        <w:t xml:space="preserve"> </w:t>
      </w:r>
      <w:r>
        <w:t xml:space="preserve">at each of 81 points across the characterization range and taking the</w:t>
      </w:r>
      <w:r>
        <w:t xml:space="preserve"> </w:t>
      </w:r>
      <w:r>
        <w:t xml:space="preserve">two-sided 95% predictive interval of the fitted model at each point. The first analysis</w:t>
      </w:r>
      <w:r>
        <w:t xml:space="preserve"> </w:t>
      </w:r>
      <w:r>
        <w:t xml:space="preserve">answers what the parameter does when the rest of the process is at target. The second</w:t>
      </w:r>
      <w:r>
        <w:t xml:space="preserve"> </w:t>
      </w:r>
      <w:r>
        <w:t xml:space="preserve">answers what it does when the rest of the process is anywhere in its normal range, which is</w:t>
      </w:r>
      <w:r>
        <w:t xml:space="preserve"> </w:t>
      </w:r>
      <w:r>
        <w:t xml:space="preserve">the question a manufacturing site actually faces.</w:t>
      </w:r>
    </w:p>
    <w:p>
      <w:pPr>
        <w:pStyle w:val="BodyText"/>
      </w:pPr>
      <w:r>
        <w:t xml:space="preserve">The decision rule is the same for both analyses. The proven acceptable range is the</w:t>
      </w:r>
      <w:r>
        <w:t xml:space="preserve"> </w:t>
      </w:r>
      <w:r>
        <w:t xml:space="preserve">contiguous interval of the parameter, containing its set-point, over which the attribute</w:t>
      </w:r>
      <w:r>
        <w:t xml:space="preserve"> </w:t>
      </w:r>
      <w:r>
        <w:t xml:space="preserve">stays within acceptance under that analysis. Under the first analysis the criterion is</w:t>
      </w:r>
      <w:r>
        <w:t xml:space="preserve"> </w:t>
      </w:r>
      <w:r>
        <w:t xml:space="preserve">applied to the predicted mean. Under the second it is applied to the predictive interval,</w:t>
      </w:r>
      <w:r>
        <w:t xml:space="preserve"> </w:t>
      </w:r>
      <w:r>
        <w:t xml:space="preserve">so the second range is the more demanding of the two and is expected to be the narrower.</w:t>
      </w:r>
      <w:r>
        <w:t xml:space="preserve"> </w:t>
      </w:r>
      <w:r>
        <w:t xml:space="preserve">Where the range covers the whole characterization range, PCR-009 will say so and will state</w:t>
      </w:r>
      <w:r>
        <w:t xml:space="preserve"> </w:t>
      </w:r>
      <w:r>
        <w:t xml:space="preserve">that the parameter was not limiting over the region studied. Where it is narrower, PCR-009</w:t>
      </w:r>
      <w:r>
        <w:t xml:space="preserve"> </w:t>
      </w:r>
      <w:r>
        <w:t xml:space="preserve">will name the attribute that binds it and the margin remaining between the range and the</w:t>
      </w:r>
      <w:r>
        <w:t xml:space="preserve"> </w:t>
      </w:r>
      <w:r>
        <w:t xml:space="preserve">normal operating range.</w:t>
      </w:r>
    </w:p>
    <w:p>
      <w:pPr>
        <w:pStyle w:val="BodyText"/>
      </w:pPr>
      <w:r>
        <w:t xml:space="preserve">Each proven acceptable range will be reported with a plot of the parameter against the</w:t>
      </w:r>
      <w:r>
        <w:t xml:space="preserve"> </w:t>
      </w:r>
      <w:r>
        <w:t xml:space="preserve">attribute, with the acceptance limit drawn, the acceptable region shaded green, and the</w:t>
      </w:r>
      <w:r>
        <w:t xml:space="preserve"> </w:t>
      </w:r>
      <w:r>
        <w:t xml:space="preserve">set-point and normal operating range marked. The at set-point and the NOR-propagated</w:t>
      </w:r>
      <w:r>
        <w:t xml:space="preserve"> </w:t>
      </w:r>
      <w:r>
        <w:t xml:space="preserve">analyses appear as the two panels of that plot.</w:t>
      </w:r>
    </w:p>
    <w:p>
      <w:pPr>
        <w:pStyle w:val="BodyText"/>
      </w:pPr>
      <w:r>
        <w:t xml:space="preserve">These ranges and the design space answer different questions, and the difference matters</w:t>
      </w:r>
      <w:r>
        <w:t xml:space="preserve"> </w:t>
      </w:r>
      <w:r>
        <w:t xml:space="preserve">when the results are read. A proven acceptable range is univariate, in that it moves one</w:t>
      </w:r>
      <w:r>
        <w:t xml:space="preserve"> </w:t>
      </w:r>
      <w:r>
        <w:t xml:space="preserve">parameter and holds or averages the other. The design space is the multivariate region in</w:t>
      </w:r>
      <w:r>
        <w:t xml:space="preserve"> </w:t>
      </w:r>
      <w:r>
        <w:t xml:space="preserve">which both parameters may move together. When both proven acceptable ranges span their</w:t>
      </w:r>
      <w:r>
        <w:t xml:space="preserve"> </w:t>
      </w:r>
      <w:r>
        <w:t xml:space="preserve">whole characterization ranges, the binding constraint on the operating region is the</w:t>
      </w:r>
      <w:r>
        <w:t xml:space="preserve"> </w:t>
      </w:r>
      <w:r>
        <w:t xml:space="preserve">worst-case corner of the multivariate region and no univariate range at all, and PCR-009</w:t>
      </w:r>
      <w:r>
        <w:t xml:space="preserve"> </w:t>
      </w:r>
      <w:r>
        <w:t xml:space="preserve">will present it that way. All of these ranges are bounded by the characterization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, by the fitted model, and by the scale-down model on which the data were</w:t>
      </w:r>
      <w:r>
        <w:t xml:space="preserve"> </w:t>
      </w:r>
      <w:r>
        <w:t xml:space="preserve">generated.</w:t>
      </w:r>
    </w:p>
    <w:bookmarkEnd w:id="39"/>
    <w:bookmarkStart w:id="40" w:name="data-management-and-integrity"/>
    <w:p>
      <w:pPr>
        <w:pStyle w:val="Heading1"/>
      </w:pPr>
      <w:r>
        <w:t xml:space="preserve">9. Data management and integrity</w:t>
      </w:r>
    </w:p>
    <w:p>
      <w:pPr>
        <w:pStyle w:val="FirstParagraph"/>
      </w:pPr>
      <w:r>
        <w:t xml:space="preserve">All raw data, calculations and reported results are governed by the ALCOA+ principles.</w:t>
      </w:r>
      <w:r>
        <w:t xml:space="preserve"> </w:t>
      </w:r>
      <w:r>
        <w:t xml:space="preserve">Assay data are captured in the validated laboratory systems of the testing laboratory,</w:t>
      </w:r>
      <w:r>
        <w:t xml:space="preserve"> </w:t>
      </w:r>
      <w:r>
        <w:t xml:space="preserve">process data are recorded on the executed run records for each scale-down run, and both are</w:t>
      </w:r>
      <w:r>
        <w:t xml:space="preserve"> </w:t>
      </w:r>
      <w:r>
        <w:t xml:space="preserve">attributable to the analyst or operator who generated them.</w:t>
      </w:r>
    </w:p>
    <w:p>
      <w:pPr>
        <w:pStyle w:val="BodyText"/>
      </w:pPr>
      <w:r>
        <w:t xml:space="preserve">The statistical analysis is performed with the seeded, version-controlled analysis code</w:t>
      </w:r>
      <w:r>
        <w:t xml:space="preserve"> </w:t>
      </w:r>
      <w:r>
        <w:t xml:space="preserve">described in SOP-1002, so the tables and figures of PCR-009 can be regenerated from the raw</w:t>
      </w:r>
      <w:r>
        <w:t xml:space="preserve"> </w:t>
      </w:r>
      <w:r>
        <w:t xml:space="preserve">data without manual steps. A second qualified person reviews the analysis against the raw</w:t>
      </w:r>
      <w:r>
        <w:t xml:space="preserve"> </w:t>
      </w:r>
      <w:r>
        <w:t xml:space="preserve">data before the report is issued.</w:t>
      </w:r>
    </w:p>
    <w:p>
      <w:pPr>
        <w:pStyle w:val="BodyText"/>
      </w:pPr>
      <w:r>
        <w:t xml:space="preserve">Changes to data after entry are made as tracked corrections with a reason recorded. No</w:t>
      </w:r>
      <w:r>
        <w:t xml:space="preserve"> </w:t>
      </w:r>
      <w:r>
        <w:t xml:space="preserve">result is excluded from the analysis without a documented technical justification, and any</w:t>
      </w:r>
      <w:r>
        <w:t xml:space="preserve"> </w:t>
      </w:r>
      <w:r>
        <w:t xml:space="preserve">exclusion is reported in PCR-009 together with its effect on the fitted model.</w:t>
      </w:r>
    </w:p>
    <w:bookmarkEnd w:id="40"/>
    <w:bookmarkStart w:id="42" w:name="roles-and-responsibilities"/>
    <w:p>
      <w:pPr>
        <w:pStyle w:val="Heading1"/>
      </w:pPr>
      <w:r>
        <w:t xml:space="preserve">10. Roles and responsibilities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o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Roles and responsibilities for the study.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Responsibility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Owns this plan, executes the scale-down runs, performs the analysis and authors PCR-009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Virology testing laboratory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Prepares and titrates the virus stocks, performs the infectivity assays under AMV-3017 and AMV-3018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Maintains the analytical methods and reviews the analytical sections of the report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Confirms that the proposed ranges and controls are executable at the receiving site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Reviews the design, the fitted models and the capability estimate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Approves this plan and PCR-009, and dispositions any deviation from the plan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Every function that approves this plan is named in the approval record at the front of the</w:t>
      </w:r>
      <w:r>
        <w:t xml:space="preserve"> </w:t>
      </w:r>
      <w:r>
        <w:t xml:space="preserve">document (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). The virology testing laboratory runs the infectivity assays under</w:t>
      </w:r>
      <w:r>
        <w:t xml:space="preserve"> </w:t>
      </w:r>
      <w:r>
        <w:t xml:space="preserve">AMV-3017 and AMV-3018 as a service to the study and is not an approver. Execution of the</w:t>
      </w:r>
      <w:r>
        <w:t xml:space="preserve"> </w:t>
      </w:r>
      <w:r>
        <w:t xml:space="preserve">study does not begin until every approver has signed.</w:t>
      </w:r>
    </w:p>
    <w:bookmarkEnd w:id="42"/>
    <w:bookmarkStart w:id="43" w:name="deliverables-and-schedule"/>
    <w:p>
      <w:pPr>
        <w:pStyle w:val="Heading1"/>
      </w:pPr>
      <w:r>
        <w:t xml:space="preserve">11. Deliverables and schedule</w:t>
      </w:r>
    </w:p>
    <w:p>
      <w:pPr>
        <w:pStyle w:val="FirstParagraph"/>
      </w:pPr>
      <w:r>
        <w:t xml:space="preserve">The deliverable of this plan is PCR-009, the characterization report for the step. It</w:t>
      </w:r>
      <w:r>
        <w:t xml:space="preserve"> </w:t>
      </w:r>
      <w:r>
        <w:t xml:space="preserve">reports the executed design, the fitted models, the operating region, the proven acceptable</w:t>
      </w:r>
      <w:r>
        <w:t xml:space="preserve"> </w:t>
      </w:r>
      <w:r>
        <w:t xml:space="preserve">ranges, the capability estimate, the parameter classifications and any deviations from this</w:t>
      </w:r>
      <w:r>
        <w:t xml:space="preserve"> </w:t>
      </w:r>
      <w:r>
        <w:t xml:space="preserve">plan. PCR-009 rolls up into PCMR-001, which consolidates the clearance claim across the</w:t>
      </w:r>
      <w:r>
        <w:t xml:space="preserve"> </w:t>
      </w:r>
      <w:r>
        <w:t xml:space="preserve">three viral steps.</w:t>
      </w:r>
    </w:p>
    <w:p>
      <w:pPr>
        <w:pStyle w:val="BodyText"/>
      </w:pPr>
      <w:r>
        <w:t xml:space="preserve">The work is sequenced in four phases. The scale-down model is qualified and its report</w:t>
      </w:r>
      <w:r>
        <w:t xml:space="preserve"> </w:t>
      </w:r>
      <w:r>
        <w:t xml:space="preserve">approved. The screening design is then executed and analysed. The response-surface design</w:t>
      </w:r>
      <w:r>
        <w:t xml:space="preserve"> </w:t>
      </w:r>
      <w:r>
        <w:t xml:space="preserve">follows, and is executed on the same model with the same load material specification.</w:t>
      </w:r>
      <w:r>
        <w:t xml:space="preserve"> </w:t>
      </w:r>
      <w:r>
        <w:t xml:space="preserve">Analysis, capability estimation and reporting complete the sequence. No calendar dates are</w:t>
      </w:r>
      <w:r>
        <w:t xml:space="preserve"> </w:t>
      </w:r>
      <w:r>
        <w:t xml:space="preserve">committed in this synthetic document. The sequence is what the plan commits to.</w:t>
      </w:r>
    </w:p>
    <w:bookmarkEnd w:id="43"/>
    <w:bookmarkStart w:id="44" w:name="risks-and-assumptions"/>
    <w:p>
      <w:pPr>
        <w:pStyle w:val="Heading1"/>
      </w:pPr>
      <w:r>
        <w:t xml:space="preserve">12. Risks and assumptions</w:t>
      </w:r>
    </w:p>
    <w:p>
      <w:pPr>
        <w:pStyle w:val="FirstParagraph"/>
      </w:pPr>
      <w:r>
        <w:t xml:space="preserve">Four risks could affect the study, and each has a defined response.</w:t>
      </w:r>
    </w:p>
    <w:p>
      <w:pPr>
        <w:pStyle w:val="BodyText"/>
      </w:pPr>
      <w:r>
        <w:t xml:space="preserve">The scale-down model may not represent the commercial step across the whole range studied,</w:t>
      </w:r>
      <w:r>
        <w:t xml:space="preserve"> </w:t>
      </w:r>
      <w:r>
        <w:t xml:space="preserve">even if it does so at the target operating point where it is qualified. This is the</w:t>
      </w:r>
      <w:r>
        <w:t xml:space="preserve"> </w:t>
      </w:r>
      <w:r>
        <w:t xml:space="preserve">weightiest of the four, because every conclusion of the study inherits it. It is managed by</w:t>
      </w:r>
      <w:r>
        <w:t xml:space="preserve"> </w:t>
      </w:r>
      <w:r>
        <w:t xml:space="preserve">qualifying against commercial data at the target point, by holding the model construction</w:t>
      </w:r>
      <w:r>
        <w:t xml:space="preserve"> </w:t>
      </w:r>
      <w:r>
        <w:t xml:space="preserve">identical to the commercial device, and by stating the limitation in the conclusions of</w:t>
      </w:r>
      <w:r>
        <w:t xml:space="preserve"> </w:t>
      </w:r>
      <w:r>
        <w:t xml:space="preserve">PCR-009 rather than leaving it to be inferred.</w:t>
      </w:r>
    </w:p>
    <w:p>
      <w:pPr>
        <w:pStyle w:val="BodyText"/>
      </w:pPr>
      <w:r>
        <w:t xml:space="preserve">The virus stock may contain aggregates, which are retained by size and inflate the log</w:t>
      </w:r>
      <w:r>
        <w:t xml:space="preserve"> </w:t>
      </w:r>
      <w:r>
        <w:t xml:space="preserve">reduction. Pre-filtration of the spiked load is the standard control and is built into the</w:t>
      </w:r>
      <w:r>
        <w:t xml:space="preserve"> </w:t>
      </w:r>
      <w:r>
        <w:t xml:space="preserve">method (§5.2).</w:t>
      </w:r>
    </w:p>
    <w:p>
      <w:pPr>
        <w:pStyle w:val="BodyText"/>
      </w:pPr>
      <w:r>
        <w:t xml:space="preserve">Clearance may exceed what the assay can measure, particularly for XMuLV, which prior</w:t>
      </w:r>
      <w:r>
        <w:t xml:space="preserve"> </w:t>
      </w:r>
      <w:r>
        <w:t xml:space="preserve">knowledge suggests will be retained with a wide margin. The result is then censored at the</w:t>
      </w:r>
      <w:r>
        <w:t xml:space="preserve"> </w:t>
      </w:r>
      <w:r>
        <w:t xml:space="preserve">limit of quantitation and the model for that response is weaker than the model for MVM.</w:t>
      </w:r>
      <w:r>
        <w:t xml:space="preserve"> </w:t>
      </w:r>
      <w:r>
        <w:t xml:space="preserve">This is a known and accepted outcome; it is handled as described in §5.3, and it does not</w:t>
      </w:r>
      <w:r>
        <w:t xml:space="preserve"> </w:t>
      </w:r>
      <w:r>
        <w:t xml:space="preserve">affect the MVM analysis, which is the analysis that governs the load limit.</w:t>
      </w:r>
    </w:p>
    <w:p>
      <w:pPr>
        <w:pStyle w:val="BodyText"/>
      </w:pPr>
      <w:r>
        <w:t xml:space="preserve">Filter-to-filter and lot-to-lot variation in the membrane is not a factor in this design.</w:t>
      </w:r>
      <w:r>
        <w:t xml:space="preserve"> </w:t>
      </w:r>
      <w:r>
        <w:t xml:space="preserve">Devices from more than one lot will be used across the runs where supply allows, and any</w:t>
      </w:r>
      <w:r>
        <w:t xml:space="preserve"> </w:t>
      </w:r>
      <w:r>
        <w:t xml:space="preserve">run-order or lot effect will be examined in the residuals of the fitted models.</w:t>
      </w:r>
    </w:p>
    <w:p>
      <w:pPr>
        <w:pStyle w:val="BodyText"/>
      </w:pPr>
      <w:r>
        <w:t xml:space="preserve">Three assumptions are made and are recorded here so they can be challenged. Platform</w:t>
      </w:r>
      <w:r>
        <w:t xml:space="preserve"> </w:t>
      </w:r>
      <w:r>
        <w:t xml:space="preserve">experience with the same filter family on three earlier antibodies transfers to A-Mab,</w:t>
      </w:r>
      <w:r>
        <w:t xml:space="preserve"> </w:t>
      </w:r>
      <w:r>
        <w:t xml:space="preserve">because the mechanism of removal is a physical one and does not depend on the product. The</w:t>
      </w:r>
      <w:r>
        <w:t xml:space="preserve"> </w:t>
      </w:r>
      <w:r>
        <w:t xml:space="preserve">anion exchange pool used in the study is representative of the commercial load. The</w:t>
      </w:r>
      <w:r>
        <w:t xml:space="preserve"> </w:t>
      </w:r>
      <w:r>
        <w:t xml:space="preserve">clearance credited to Step 6 and Step 8 stands as reported in PCR-006 and PCR-008, since</w:t>
      </w:r>
      <w:r>
        <w:t xml:space="preserve"> </w:t>
      </w:r>
      <w:r>
        <w:t xml:space="preserve">the criteria in §7 are derived from it.</w:t>
      </w:r>
    </w:p>
    <w:bookmarkEnd w:id="44"/>
    <w:bookmarkStart w:id="45" w:name="approvals-1"/>
    <w:p>
      <w:pPr>
        <w:pStyle w:val="Heading1"/>
      </w:pPr>
      <w:r>
        <w:t xml:space="preserve">13. Approvals</w:t>
      </w:r>
    </w:p>
    <w:p>
      <w:pPr>
        <w:pStyle w:val="FirstParagraph"/>
      </w:pPr>
      <w:r>
        <w:t xml:space="preserve">This plan is effective when approved by all functions listed in the approval record at the</w:t>
      </w:r>
      <w:r>
        <w:t xml:space="preserve"> </w:t>
      </w:r>
      <w:r>
        <w:t xml:space="preserve">front of the document (</w:t>
      </w:r>
      <w:hyperlink w:anchor="tbl-appr">
        <w:r>
          <w:rPr>
            <w:rStyle w:val="Hyperlink"/>
          </w:rPr>
          <w:t xml:space="preserve">Table 1</w:t>
        </w:r>
      </w:hyperlink>
      <w:r>
        <w:t xml:space="preserve">). Approval of the plan authorises execution of the study</w:t>
      </w:r>
      <w:r>
        <w:t xml:space="preserve"> </w:t>
      </w:r>
      <w:r>
        <w:t xml:space="preserve">as described. Any change to the objectives, the factors, the ranges or the acceptance</w:t>
      </w:r>
      <w:r>
        <w:t xml:space="preserve"> </w:t>
      </w:r>
      <w:r>
        <w:t xml:space="preserve">criteria requires a revision of this plan, approved by the same functions, before the</w:t>
      </w:r>
      <w:r>
        <w:t xml:space="preserve"> </w:t>
      </w:r>
      <w:r>
        <w:t xml:space="preserve">affected runs are executed.</w:t>
      </w:r>
    </w:p>
    <w:bookmarkEnd w:id="45"/>
    <w:bookmarkStart w:id="52" w:name="X73781f0c746cc45048eca779a11e0a2e7cd3f25"/>
    <w:p>
      <w:pPr>
        <w:pStyle w:val="Heading1"/>
      </w:pPr>
      <w:r>
        <w:t xml:space="preserve">14. Appendices A and B — Planned design matrices</w:t>
      </w:r>
    </w:p>
    <w:p>
      <w:pPr>
        <w:pStyle w:val="FirstParagraph"/>
      </w:pPr>
      <w:r>
        <w:t xml:space="preserve">The design matrices below are planned, not executed. They give the settings at which the</w:t>
      </w:r>
      <w:r>
        <w:t xml:space="preserve"> </w:t>
      </w:r>
      <w:r>
        <w:t xml:space="preserve">runs will be made, and they carry no response columns, because no data exist when this plan</w:t>
      </w:r>
      <w:r>
        <w:t xml:space="preserve"> </w:t>
      </w:r>
      <w:r>
        <w:t xml:space="preserve">is approved.</w:t>
      </w:r>
    </w:p>
    <w:bookmarkStart w:id="48" w:name="X7149527b81b82ac7e9fc876cc411d0dd5d45eb6"/>
    <w:p>
      <w:pPr>
        <w:pStyle w:val="Heading2"/>
      </w:pPr>
      <w:r>
        <w:t xml:space="preserve">14.1 Appendix A — Planned screening design matrix</w:t>
      </w:r>
    </w:p>
    <w:p>
      <w:pPr>
        <w:pStyle w:val="FirstParagraph"/>
      </w:pPr>
      <w:r>
        <w:t xml:space="preserve">The planned screening runs are given in coded units in</w:t>
      </w:r>
      <w:r>
        <w:t xml:space="preserve"> </w:t>
      </w:r>
      <w:hyperlink w:anchor="tbl-appa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 in natural units in</w:t>
      </w:r>
      <w:r>
        <w:t xml:space="preserve"> </w:t>
      </w:r>
      <w:hyperlink w:anchor="tbl-appa-nat">
        <w:r>
          <w:rPr>
            <w:rStyle w:val="Hyperlink"/>
          </w:rPr>
          <w:t xml:space="preserve">Table 12</w:t>
        </w:r>
      </w:hyperlink>
      <w:r>
        <w:t xml:space="preserve">. Response columns are absent because no data exist. Run order will be</w:t>
      </w:r>
      <w:r>
        <w:t xml:space="preserve"> </w:t>
      </w:r>
      <w:r>
        <w:t xml:space="preserve">randomized at execution and the executed order reported in PCR-009.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Planned screening design matrix,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ppa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Planned screening design matrix,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47"/>
          <w:p/>
        </w:tc>
      </w:tr>
    </w:tbl>
    <w:bookmarkEnd w:id="48"/>
    <w:bookmarkStart w:id="51" w:name="Xd035249cb2928fc67e6106bc8a61a8b12039d8a"/>
    <w:p>
      <w:pPr>
        <w:pStyle w:val="Heading2"/>
      </w:pPr>
      <w:r>
        <w:t xml:space="preserve">14.2 Appendix B — Planned response-surface design matrix</w:t>
      </w:r>
    </w:p>
    <w:p>
      <w:pPr>
        <w:pStyle w:val="FirstParagraph"/>
      </w:pPr>
      <w:r>
        <w:t xml:space="preserve">The planned response-surface runs are given in coded units in</w:t>
      </w:r>
      <w:r>
        <w:t xml:space="preserve"> </w:t>
      </w:r>
      <w:hyperlink w:anchor="tbl-appb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and in natural</w:t>
      </w:r>
      <w:r>
        <w:t xml:space="preserve"> </w:t>
      </w:r>
      <w:r>
        <w:t xml:space="preserve">units in</w:t>
      </w:r>
      <w:r>
        <w:t xml:space="preserve"> </w:t>
      </w:r>
      <w:hyperlink w:anchor="tbl-appb-nat">
        <w:r>
          <w:rPr>
            <w:rStyle w:val="Hyperlink"/>
          </w:rPr>
          <w:t xml:space="preserve">Table 14</w:t>
        </w:r>
      </w:hyperlink>
      <w:r>
        <w:t xml:space="preserve">. The axial runs are placed at the face centres, so every setting</w:t>
      </w:r>
      <w:r>
        <w:t xml:space="preserve"> </w:t>
      </w:r>
      <w:r>
        <w:t xml:space="preserve">lies within the characterization ranges of</w:t>
      </w:r>
      <w:r>
        <w:t xml:space="preserve"> </w:t>
      </w:r>
      <w:hyperlink w:anchor="tbl-params">
        <w:r>
          <w:rPr>
            <w:rStyle w:val="Hyperlink"/>
          </w:rPr>
          <w:t xml:space="preserve">Table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Planned response-surface design matrix, coded units.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appb-n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Planned response-surface design matrix, natural units.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03"/>
              <w:gridCol w:w="1262"/>
              <w:gridCol w:w="3213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volume (load)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Filtration pressure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</w:tbl>
          <w:bookmarkEnd w:id="50"/>
          <w:p/>
        </w:tc>
      </w:tr>
    </w:tbl>
    <w:bookmarkEnd w:id="51"/>
    <w:bookmarkEnd w:id="52"/>
    <w:bookmarkStart w:id="59" w:name="references"/>
    <w:p>
      <w:pPr>
        <w:pStyle w:val="Heading1"/>
      </w:pPr>
      <w:r>
        <w:t xml:space="preserve">References</w:t>
      </w:r>
    </w:p>
    <w:bookmarkStart w:id="58" w:name="refs"/>
    <w:bookmarkStart w:id="53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53"/>
    <w:bookmarkStart w:id="54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54"/>
    <w:bookmarkStart w:id="55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55"/>
    <w:bookmarkStart w:id="56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56"/>
    <w:bookmarkStart w:id="57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  <w:num w:numId="1008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Plan</dc:title>
  <dc:creator>Process Development / Manufacturing Science &amp; Technology (MSAT)</dc:creator>
  <cp:keywords/>
  <dcterms:created xsi:type="dcterms:W3CDTF">2026-08-02T19:05:21Z</dcterms:created>
  <dcterms:modified xsi:type="dcterms:W3CDTF">2026-08-02T19:05:21Z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Small-Virus Retentive Filtration (Step 9) — PCP-009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