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Ultrafiltration / Diafiltration (Step 10) — PCP-010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Ultrafiltration / Diafiltration (Step 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AMV, analytical method validation; CQA, critical</w:t>
      </w:r>
      <w:r>
        <w:t xml:space="preserve"> </w:t>
      </w:r>
      <w:r>
        <w:t xml:space="preserve">quality attribute; CPP, critical process parameter; DF, diafiltration; DS, drug substance;</w:t>
      </w:r>
      <w:r>
        <w:t xml:space="preserve"> </w:t>
      </w:r>
      <w:r>
        <w:t xml:space="preserve">DV, diavolume; GPP, general process parameter; HMW, high molecular weight; icIEF, imaged</w:t>
      </w:r>
      <w:r>
        <w:t xml:space="preserve"> </w:t>
      </w:r>
      <w:r>
        <w:t xml:space="preserve">capillary isoelectric focusing; KPP, key process parameter; MSAT, Manufacturing Science and</w:t>
      </w:r>
      <w:r>
        <w:t xml:space="preserve"> </w:t>
      </w:r>
      <w:r>
        <w:t xml:space="preserve">Technology; NOR, normal operating range; PAR, proven acceptable range; RPN, risk priority</w:t>
      </w:r>
      <w:r>
        <w:t xml:space="preserve"> </w:t>
      </w:r>
      <w:r>
        <w:t xml:space="preserve">number; SEC, size exclusion chromatography; SOP, standard operating procedure; TFF,</w:t>
      </w:r>
      <w:r>
        <w:t xml:space="preserve"> </w:t>
      </w:r>
      <w:r>
        <w:t xml:space="preserve">tangential flow filtration; TMP, transmembrane pressure; UF, ultrafiltration; UV,</w:t>
      </w:r>
      <w:r>
        <w:t xml:space="preserve"> </w:t>
      </w:r>
      <w:r>
        <w:t xml:space="preserve">ultraviolet; WC-CPP, well controlled critical process parameter.</w:t>
      </w:r>
    </w:p>
    <w:p>
      <w:r>
        <w:br w:type="page"/>
      </w:r>
    </w:p>
    <w:bookmarkEnd w:id="11"/>
    <w:bookmarkStart w:id="12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Ultrafiltration and diafiltration is the last operation of the A-Mab drug substance</w:t>
      </w:r>
      <w:r>
        <w:t xml:space="preserve"> </w:t>
      </w:r>
      <w:r>
        <w:t xml:space="preserve">process. It concentrates the filtrate of the small virus retentive filtration step,</w:t>
      </w:r>
      <w:r>
        <w:t xml:space="preserve"> </w:t>
      </w:r>
      <w:r>
        <w:t xml:space="preserve">exchanges it into the formulation buffer and delivers the drug substance at its target</w:t>
      </w:r>
      <w:r>
        <w:t xml:space="preserve"> </w:t>
      </w:r>
      <w:r>
        <w:t xml:space="preserve">concentration of 75 g/L. This plan defines the characterization</w:t>
      </w:r>
      <w:r>
        <w:t xml:space="preserve"> </w:t>
      </w:r>
      <w:r>
        <w:t xml:space="preserve">study for that operation. It states which parameters will be studied, over which ranges,</w:t>
      </w:r>
      <w:r>
        <w:t xml:space="preserve"> </w:t>
      </w:r>
      <w:r>
        <w:t xml:space="preserve">on which scale-down system, and how the outcome will be judged. It is written before the</w:t>
      </w:r>
      <w:r>
        <w:t xml:space="preserve"> </w:t>
      </w:r>
      <w:r>
        <w:t xml:space="preserve">study is executed and it reports no results.</w:t>
      </w:r>
    </w:p>
    <w:p>
      <w:pPr>
        <w:pStyle w:val="BodyText"/>
      </w:pPr>
      <w:r>
        <w:t xml:space="preserve">The study covers all 3 operating parameters of the step, each</w:t>
      </w:r>
      <w:r>
        <w:t xml:space="preserve"> </w:t>
      </w:r>
      <w:r>
        <w:t xml:space="preserve">assessed one at a time over the range given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 Membrane selection, formulation</w:t>
      </w:r>
      <w:r>
        <w:t xml:space="preserve"> </w:t>
      </w:r>
      <w:r>
        <w:t xml:space="preserve">buffer composition and the drug product operations that follow the step are outside the</w:t>
      </w:r>
      <w:r>
        <w:t xml:space="preserve"> </w:t>
      </w:r>
      <w:r>
        <w:t xml:space="preserve">scope of this plan and of the drug substance characterization package. No quality attribute</w:t>
      </w:r>
      <w:r>
        <w:t xml:space="preserve"> </w:t>
      </w:r>
      <w:r>
        <w:t xml:space="preserve">in the drug substance register is assigned to this step, and no viral clearance or impurity</w:t>
      </w:r>
      <w:r>
        <w:t xml:space="preserve"> </w:t>
      </w:r>
      <w:r>
        <w:t xml:space="preserve">clearance is claimed for it. The step is characterized because it sets the concentration</w:t>
      </w:r>
      <w:r>
        <w:t xml:space="preserve"> </w:t>
      </w:r>
      <w:r>
        <w:t xml:space="preserve">and the buffer of the drug substance, and because its operating ranges have to be justified</w:t>
      </w:r>
      <w:r>
        <w:t xml:space="preserve"> </w:t>
      </w:r>
      <w:r>
        <w:t xml:space="preserve">before the process is transferred to the receiving site, Novacyte Biologics — Grafton, WI (Commercial DS).</w:t>
      </w:r>
    </w:p>
    <w:p>
      <w:pPr>
        <w:pStyle w:val="BodyText"/>
      </w:pPr>
      <w:r>
        <w:t xml:space="preserve">The plan is written under the lifecycle approach to process validation</w:t>
      </w:r>
      <w:r>
        <w:t xml:space="preserve"> </w:t>
      </w:r>
      <w:r>
        <w:t xml:space="preserve">(U.S. Food and Drug Administration 2011)</w:t>
      </w:r>
      <w:r>
        <w:t xml:space="preserve"> </w:t>
      </w:r>
      <w:r>
        <w:t xml:space="preserve">and the</w:t>
      </w:r>
      <w:r>
        <w:t xml:space="preserve"> </w:t>
      </w:r>
      <w:r>
        <w:t xml:space="preserve">enhanced development approach of ICH Q8, Q9 and Q11</w:t>
      </w:r>
      <w:r>
        <w:t xml:space="preserve"> </w:t>
      </w:r>
      <w:r>
        <w:t xml:space="preserve">(International Council for Harmonisation 2009, 2023b, 2012)</w:t>
      </w:r>
      <w:r>
        <w:t xml:space="preserve">. Its content</w:t>
      </w:r>
      <w:r>
        <w:t xml:space="preserve"> </w:t>
      </w:r>
      <w:r>
        <w:t xml:space="preserve">belongs to Stage 1, process design. The A-Mab case study treats this operation as part of</w:t>
      </w:r>
      <w:r>
        <w:t xml:space="preserve"> </w:t>
      </w:r>
      <w:r>
        <w:t xml:space="preserve">the formulation and reports it with the drug product</w:t>
      </w:r>
      <w:r>
        <w:t xml:space="preserve"> </w:t>
      </w:r>
      <w:r>
        <w:t xml:space="preserve">(CMC Biotech Working Group 2009)</w:t>
      </w:r>
      <w:r>
        <w:t xml:space="preserve">, and the position taken</w:t>
      </w:r>
      <w:r>
        <w:t xml:space="preserve"> </w:t>
      </w:r>
      <w:r>
        <w:t xml:space="preserve">here is the same in substance. The step is included in the drug substance package for</w:t>
      </w:r>
      <w:r>
        <w:t xml:space="preserve"> </w:t>
      </w:r>
      <w:r>
        <w:t xml:space="preserve">completeness of the transfer, not because a drug substance attribute depends on it.</w:t>
      </w:r>
    </w:p>
    <w:bookmarkEnd w:id="12"/>
    <w:bookmarkStart w:id="13" w:name="objectives"/>
    <w:p>
      <w:pPr>
        <w:pStyle w:val="Heading1"/>
      </w:pPr>
      <w:r>
        <w:t xml:space="preserve">2. Objectives</w:t>
      </w:r>
    </w:p>
    <w:p>
      <w:pPr>
        <w:pStyle w:val="FirstParagraph"/>
      </w:pPr>
      <w:r>
        <w:t xml:space="preserve">The study has five objectives.</w:t>
      </w:r>
    </w:p>
    <w:p>
      <w:pPr>
        <w:pStyle w:val="Compact"/>
        <w:numPr>
          <w:ilvl w:val="0"/>
          <w:numId w:val="1001"/>
        </w:numPr>
      </w:pPr>
      <w:r>
        <w:t xml:space="preserve">Confirm that the size variant and charge variant content of the pool is unchanged across</w:t>
      </w:r>
      <w:r>
        <w:t xml:space="preserve"> </w:t>
      </w:r>
      <w:r>
        <w:t xml:space="preserve">the step, over the ranges studied and within the precision of the methods used.</w:t>
      </w:r>
    </w:p>
    <w:p>
      <w:pPr>
        <w:pStyle w:val="Compact"/>
        <w:numPr>
          <w:ilvl w:val="0"/>
          <w:numId w:val="1001"/>
        </w:numPr>
      </w:pPr>
      <w:r>
        <w:t xml:space="preserve">Establish the range of each parameter over which product quality remains acceptable and</w:t>
      </w:r>
      <w:r>
        <w:t xml:space="preserve"> </w:t>
      </w:r>
      <w:r>
        <w:t xml:space="preserve">the operation performs as intended, with the other parameters at their set-points.</w:t>
      </w:r>
    </w:p>
    <w:p>
      <w:pPr>
        <w:pStyle w:val="Compact"/>
        <w:numPr>
          <w:ilvl w:val="0"/>
          <w:numId w:val="1001"/>
        </w:numPr>
      </w:pPr>
      <w:r>
        <w:t xml:space="preserve">Confirm that the step delivers drug substance at the target concentration, and that the</w:t>
      </w:r>
      <w:r>
        <w:t xml:space="preserve"> </w:t>
      </w:r>
      <w:r>
        <w:t xml:space="preserve">number of diavolumes applied in each run is verified against the mass of permeate</w:t>
      </w:r>
      <w:r>
        <w:t xml:space="preserve"> </w:t>
      </w:r>
      <w:r>
        <w:t xml:space="preserve">collected.</w:t>
      </w:r>
    </w:p>
    <w:p>
      <w:pPr>
        <w:pStyle w:val="Compact"/>
        <w:numPr>
          <w:ilvl w:val="0"/>
          <w:numId w:val="1001"/>
        </w:numPr>
      </w:pPr>
      <w:r>
        <w:t xml:space="preserve">Classify each parameter under SOP-4001, with the evidence on which the class rests.</w:t>
      </w:r>
    </w:p>
    <w:p>
      <w:pPr>
        <w:pStyle w:val="Compact"/>
        <w:numPr>
          <w:ilvl w:val="0"/>
          <w:numId w:val="1001"/>
        </w:numPr>
      </w:pPr>
      <w:r>
        <w:t xml:space="preserve">Provide the operating ranges, in-process controls and monitoring that the control</w:t>
      </w:r>
      <w:r>
        <w:t xml:space="preserve"> </w:t>
      </w:r>
      <w:r>
        <w:t xml:space="preserve">strategy requires, and the process understanding the receiving site needs to run the</w:t>
      </w:r>
      <w:r>
        <w:t xml:space="preserve"> </w:t>
      </w:r>
      <w:r>
        <w:t xml:space="preserve">step.</w:t>
      </w:r>
    </w:p>
    <w:bookmarkEnd w:id="13"/>
    <w:bookmarkStart w:id="16" w:name="related-documents"/>
    <w:p>
      <w:pPr>
        <w:pStyle w:val="Heading1"/>
      </w:pPr>
      <w:r>
        <w:t xml:space="preserve">3. Related documents</w:t>
      </w:r>
    </w:p>
    <w:p>
      <w:pPr>
        <w:pStyle w:val="FirstParagraph"/>
      </w:pPr>
      <w:r>
        <w:t xml:space="preserve">This plan sits under the transfer plan, the master plan and the risk assessment, and it</w:t>
      </w:r>
      <w:r>
        <w:t xml:space="preserve"> </w:t>
      </w:r>
      <w:r>
        <w:t xml:space="preserve">produces one report. Those documents are listed in</w:t>
      </w:r>
      <w:r>
        <w:t xml:space="preserve"> </w:t>
      </w:r>
      <w:hyperlink w:anchor="tbl-related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Documents related to this plan.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20"/>
              <w:gridCol w:w="4727"/>
              <w:gridCol w:w="227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(Ultrafiltration / Diafiltration (Step 10))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 procedures and validated methods that govern the study are listed in</w:t>
      </w:r>
      <w:r>
        <w:t xml:space="preserve"> </w:t>
      </w:r>
      <w:hyperlink w:anchor="tbl-refs">
        <w:r>
          <w:rPr>
            <w:rStyle w:val="Hyperlink"/>
          </w:rPr>
          <w:t xml:space="preserve">Table 3</w:t>
        </w:r>
      </w:hyperlink>
      <w:r>
        <w:t xml:space="preserve">. The</w:t>
      </w:r>
      <w:r>
        <w:t xml:space="preserve"> </w:t>
      </w:r>
      <w:r>
        <w:t xml:space="preserve">controlled document numbers in this corpus are placeholders.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r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Controlled procedures and validated analytical methods for the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19"/>
              <w:gridCol w:w="5410"/>
              <w:gridCol w:w="14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Ultrafiltration / Diafiltration (Formulation)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Concentration by A280 (UV)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15"/>
          <w:p/>
        </w:tc>
      </w:tr>
    </w:tbl>
    <w:bookmarkEnd w:id="16"/>
    <w:bookmarkStart w:id="22" w:name="prior-knowledge-and-quality-risk-basis"/>
    <w:p>
      <w:pPr>
        <w:pStyle w:val="Heading1"/>
      </w:pPr>
      <w:r>
        <w:t xml:space="preserve">4. Prior knowledge and quality risk basis</w:t>
      </w:r>
    </w:p>
    <w:bookmarkStart w:id="17" w:name="Xfc9d08e28ad3e20206826e1b5e1507b6461f659"/>
    <w:p>
      <w:pPr>
        <w:pStyle w:val="Heading2"/>
      </w:pPr>
      <w:r>
        <w:t xml:space="preserve">4.1 Unit operation description and prior knowledge</w:t>
      </w:r>
    </w:p>
    <w:p>
      <w:pPr>
        <w:pStyle w:val="FirstParagraph"/>
      </w:pPr>
      <w:r>
        <w:t xml:space="preserve">Tangential flow filtration is a platform operation at Novacyte Biologics. It has been used</w:t>
      </w:r>
      <w:r>
        <w:t xml:space="preserve"> </w:t>
      </w:r>
      <w:r>
        <w:t xml:space="preserve">for three earlier humanized IgG1 antibodies (X-Mab, Y-Mab and Z-Mab) and throughout A-Mab</w:t>
      </w:r>
      <w:r>
        <w:t xml:space="preserve"> </w:t>
      </w:r>
      <w:r>
        <w:t xml:space="preserve">clinical manufacture, on the same membrane chemistry and the same operating sequence</w:t>
      </w:r>
      <w:r>
        <w:t xml:space="preserve"> </w:t>
      </w:r>
      <w:r>
        <w:t xml:space="preserve">(CMC Biotech Working Group 2009)</w:t>
      </w:r>
      <w:r>
        <w:t xml:space="preserve">. The study bounds ranges that are already in routine use. It is not expected to</w:t>
      </w:r>
      <w:r>
        <w:t xml:space="preserve"> </w:t>
      </w:r>
      <w:r>
        <w:t xml:space="preserve">discover new behaviour, and it is not designed to. The type of study the step receives</w:t>
      </w:r>
      <w:r>
        <w:t xml:space="preserve"> </w:t>
      </w:r>
      <w:r>
        <w:t xml:space="preserve">follows from the risk assessment and is given in §4.3.</w:t>
      </w:r>
    </w:p>
    <w:p>
      <w:pPr>
        <w:pStyle w:val="BodyText"/>
      </w:pPr>
      <w:r>
        <w:t xml:space="preserve">The operation runs in three phases, of which the first concentrates the feed against an</w:t>
      </w:r>
      <w:r>
        <w:t xml:space="preserve"> </w:t>
      </w:r>
      <w:r>
        <w:t xml:space="preserve">ultrafiltration membrane whose nominal cut-off retains the antibody and passes the buffer</w:t>
      </w:r>
      <w:r>
        <w:t xml:space="preserve"> </w:t>
      </w:r>
      <w:r>
        <w:t xml:space="preserve">species (salts, small ions, excipients of the preceding buffer and other low molecular</w:t>
      </w:r>
      <w:r>
        <w:t xml:space="preserve"> </w:t>
      </w:r>
      <w:r>
        <w:t xml:space="preserve">weight solutes). The retentate is then diafiltered at constant volume against the formulation</w:t>
      </w:r>
      <w:r>
        <w:t xml:space="preserve"> </w:t>
      </w:r>
      <w:r>
        <w:t xml:space="preserve">buffer, so that the species present at the start are washed out exponentially with the</w:t>
      </w:r>
      <w:r>
        <w:t xml:space="preserve"> </w:t>
      </w:r>
      <w:r>
        <w:t xml:space="preserve">number of diavolumes applied. A final concentration phase brings the pool to the drug</w:t>
      </w:r>
      <w:r>
        <w:t xml:space="preserve"> </w:t>
      </w:r>
      <w:r>
        <w:t xml:space="preserve">substance target, after which the retentate is recovered from the system by a buffer flush.</w:t>
      </w:r>
      <w:r>
        <w:t xml:space="preserve"> </w:t>
      </w:r>
      <w:r>
        <w:t xml:space="preserve">Platform experience gives a step yield of about 96.0% with a</w:t>
      </w:r>
      <w:r>
        <w:t xml:space="preserve"> </w:t>
      </w:r>
      <w:r>
        <w:t xml:space="preserve">coefficient of variation of 1.5%. The product that is not recovered is</w:t>
      </w:r>
      <w:r>
        <w:t xml:space="preserve"> </w:t>
      </w:r>
      <w:r>
        <w:t xml:space="preserve">held up in the membrane and in the flow path, and the study does not sample that volume, so</w:t>
      </w:r>
      <w:r>
        <w:t xml:space="preserve"> </w:t>
      </w:r>
      <w:r>
        <w:t xml:space="preserve">it makes no statement about the fate of the material left behind. What it does establish is</w:t>
      </w:r>
      <w:r>
        <w:t xml:space="preserve"> </w:t>
      </w:r>
      <w:r>
        <w:t xml:space="preserve">whether the material that is recovered has changed, from the comparison of final pool against</w:t>
      </w:r>
      <w:r>
        <w:t xml:space="preserve"> </w:t>
      </w:r>
      <w:r>
        <w:t xml:space="preserve">feed described in §5.4.</w:t>
      </w:r>
    </w:p>
    <w:p>
      <w:pPr>
        <w:pStyle w:val="BodyText"/>
      </w:pPr>
      <w:r>
        <w:t xml:space="preserve">Two mechanisms could change product quality across the step, and both are the reason the</w:t>
      </w:r>
      <w:r>
        <w:t xml:space="preserve"> </w:t>
      </w:r>
      <w:r>
        <w:t xml:space="preserve">study is run. High transmembrane pressure raises the flux, and with it the degree of</w:t>
      </w:r>
      <w:r>
        <w:t xml:space="preserve"> </w:t>
      </w:r>
      <w:r>
        <w:t xml:space="preserve">concentration polarization at the membrane surface, where the protein is exposed to shear</w:t>
      </w:r>
      <w:r>
        <w:t xml:space="preserve"> </w:t>
      </w:r>
      <w:r>
        <w:t xml:space="preserve">and to an interface, while a high final concentration raises the frequency of self</w:t>
      </w:r>
      <w:r>
        <w:t xml:space="preserve"> </w:t>
      </w:r>
      <w:r>
        <w:t xml:space="preserve">association in the bulk.</w:t>
      </w:r>
      <w:r>
        <w:t xml:space="preserve"> </w:t>
      </w:r>
      <w:r>
        <w:t xml:space="preserve">Both act on the size variant distribution, which is why aggregate is the attribute followed</w:t>
      </w:r>
      <w:r>
        <w:t xml:space="preserve"> </w:t>
      </w:r>
      <w:r>
        <w:t xml:space="preserve">most closely here. The charge variant distribution is followed as well, because the pool is</w:t>
      </w:r>
      <w:r>
        <w:t xml:space="preserve"> </w:t>
      </w:r>
      <w:r>
        <w:t xml:space="preserve">held at its highest concentration during the last phase of the operation and deamidation</w:t>
      </w:r>
      <w:r>
        <w:t xml:space="preserve"> </w:t>
      </w:r>
      <w:r>
        <w:t xml:space="preserve">depends on time.</w:t>
      </w:r>
    </w:p>
    <w:bookmarkEnd w:id="17"/>
    <w:bookmarkStart w:id="19" w:name="quality-attributes-in-scope"/>
    <w:p>
      <w:pPr>
        <w:pStyle w:val="Heading2"/>
      </w:pPr>
      <w:r>
        <w:t xml:space="preserve">4.2 Quality attributes in scope</w:t>
      </w:r>
    </w:p>
    <w:p>
      <w:pPr>
        <w:pStyle w:val="FirstParagraph"/>
      </w:pPr>
      <w:r>
        <w:t xml:space="preserve">No drug substance quality attribute is formed or cleared at this step. Three attributes are</w:t>
      </w:r>
      <w:r>
        <w:t xml:space="preserve"> </w:t>
      </w:r>
      <w:r>
        <w:t xml:space="preserve">nevertheless in scope, because the pool carries them into the drug substance and the</w:t>
      </w:r>
      <w:r>
        <w:t xml:space="preserve"> </w:t>
      </w:r>
      <w:r>
        <w:t xml:space="preserve">operation could in principle change two of them. They are given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with their</w:t>
      </w:r>
      <w:r>
        <w:t xml:space="preserve"> </w:t>
      </w:r>
      <w:r>
        <w:t xml:space="preserve">acceptance criteria, their criticality and the Tool #1 score (impact × uncertainty) from</w:t>
      </w:r>
      <w:r>
        <w:t xml:space="preserve"> </w:t>
      </w:r>
      <w:r>
        <w:t xml:space="preserve">which the criticality level follows.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Drug substance quality attributes carried into the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921"/>
              <w:gridCol w:w="1384"/>
              <w:gridCol w:w="1614"/>
              <w:gridCol w:w="1153"/>
              <w:gridCol w:w="8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Aggregate is the attribute at risk. It is of high criticality, its acceptance criterion is</w:t>
      </w:r>
      <w:r>
        <w:t xml:space="preserve"> </w:t>
      </w:r>
      <w:r>
        <w:t xml:space="preserve">an upper limit, and both of the mechanisms described in §4.1 act on it. Acidic charge</w:t>
      </w:r>
      <w:r>
        <w:t xml:space="preserve"> </w:t>
      </w:r>
      <w:r>
        <w:t xml:space="preserve">variants are of very low criticality and have a wide acceptance range, so they are measured</w:t>
      </w:r>
      <w:r>
        <w:t xml:space="preserve"> </w:t>
      </w:r>
      <w:r>
        <w:t xml:space="preserve">as confirmation and not as a limit the step is expected to approach. Residual DNA is in the</w:t>
      </w:r>
      <w:r>
        <w:t xml:space="preserve"> </w:t>
      </w:r>
      <w:r>
        <w:t xml:space="preserve">table for a different reason. Its acceptance criterion is expressed per dose, and this step</w:t>
      </w:r>
      <w:r>
        <w:t xml:space="preserve"> </w:t>
      </w:r>
      <w:r>
        <w:t xml:space="preserve">brings the drug substance to the concentration on which a dose is based, but the membrane</w:t>
      </w:r>
      <w:r>
        <w:t xml:space="preserve"> </w:t>
      </w:r>
      <w:r>
        <w:t xml:space="preserve">retains residual DNA together with the antibody, so concentrating the pool changes neither</w:t>
      </w:r>
      <w:r>
        <w:t xml:space="preserve"> </w:t>
      </w:r>
      <w:r>
        <w:t xml:space="preserve">quantity relative to the other. The amount per dose is set by the clearance achieved</w:t>
      </w:r>
      <w:r>
        <w:t xml:space="preserve"> </w:t>
      </w:r>
      <w:r>
        <w:t xml:space="preserve">upstream (PCR-005, PCR-007 and PCR-008).</w:t>
      </w:r>
    </w:p>
    <w:p>
      <w:pPr>
        <w:pStyle w:val="BodyText"/>
      </w:pPr>
      <w:r>
        <w:t xml:space="preserve">Every attribute in the register is set at an earlier step: Production Bioreactor, Protein A Chromatography, Low-pH Viral Inactivation and Anion Exchange Chromatography. Each is</w:t>
      </w:r>
      <w:r>
        <w:t xml:space="preserve"> </w:t>
      </w:r>
      <w:r>
        <w:t xml:space="preserve">characterized in the plan and report pair for the step that sets it, and the clearance</w:t>
      </w:r>
      <w:r>
        <w:t xml:space="preserve"> </w:t>
      </w:r>
      <w:r>
        <w:t xml:space="preserve">credited to the purification steps is consolidated in PCMR-001. This step is credited with</w:t>
      </w:r>
      <w:r>
        <w:t xml:space="preserve"> </w:t>
      </w:r>
      <w:r>
        <w:t xml:space="preserve">none of that clearance and takes no part in the viral safety argument</w:t>
      </w:r>
      <w:r>
        <w:t xml:space="preserve"> </w:t>
      </w:r>
      <w:r>
        <w:t xml:space="preserve">(International Council for Harmonisation 2023a)</w:t>
      </w:r>
      <w:r>
        <w:t xml:space="preserve">. What it</w:t>
      </w:r>
      <w:r>
        <w:t xml:space="preserve"> </w:t>
      </w:r>
      <w:r>
        <w:t xml:space="preserve">must show is that it does not undo the work of the steps before it.</w:t>
      </w:r>
    </w:p>
    <w:bookmarkEnd w:id="19"/>
    <w:bookmarkStart w:id="21" w:name="risk-based-prioritization-of-parameters"/>
    <w:p>
      <w:pPr>
        <w:pStyle w:val="Heading2"/>
      </w:pPr>
      <w:r>
        <w:t xml:space="preserve">4.3 Risk-based prioritization of parameters</w:t>
      </w:r>
    </w:p>
    <w:p>
      <w:pPr>
        <w:pStyle w:val="FirstParagraph"/>
      </w:pPr>
      <w:r>
        <w:t xml:space="preserve">RA-001 carried all 3 parameters of this step into the</w:t>
      </w:r>
      <w:r>
        <w:t xml:space="preserve"> </w:t>
      </w:r>
      <w:r>
        <w:t xml:space="preserve">pre-characterization assessment and assigned every one of them to univariate study. The rows are given in</w:t>
      </w:r>
      <w:r>
        <w:t xml:space="preserve"> </w:t>
      </w:r>
      <w:hyperlink w:anchor="tbl-ra">
        <w:r>
          <w:rPr>
            <w:rStyle w:val="Hyperlink"/>
          </w:rPr>
          <w:t xml:space="preserve">Table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r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RA-001 pre-characterization risk rows for the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18"/>
              <w:gridCol w:w="1492"/>
              <w:gridCol w:w="2869"/>
              <w:gridCol w:w="306"/>
              <w:gridCol w:w="306"/>
              <w:gridCol w:w="306"/>
              <w:gridCol w:w="573"/>
              <w:gridCol w:w="688"/>
              <w:gridCol w:w="45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Prospective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Occ.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Det.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Initial RPN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Assigned study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Priority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Number of diavolumes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Diavolumes &lt; 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Incomplete buffer exchange (formulation; not part of DS characterization)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Transmembrane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TMP outside 10-15 psi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Affects flux/processing (formulation)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DS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concentration outside 65-85 g/L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DS concentration spec (formulation)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</w:tr>
          </w:tbl>
          <w:bookmarkEnd w:id="20"/>
          <w:p/>
        </w:tc>
      </w:tr>
    </w:tbl>
    <w:p>
      <w:pPr>
        <w:pStyle w:val="BodyText"/>
      </w:pPr>
      <w:r>
        <w:t xml:space="preserve">All 3 parameters carry the same severity score of</w:t>
      </w:r>
      <w:r>
        <w:t xml:space="preserve"> </w:t>
      </w:r>
      <w:r>
        <w:t xml:space="preserve">4, which the</w:t>
      </w:r>
      <w:r>
        <w:t xml:space="preserve"> </w:t>
      </w:r>
      <w:r>
        <w:t xml:space="preserve">RA-001 scale calls slight. Their failure modes act on buffer exchange, on</w:t>
      </w:r>
      <w:r>
        <w:t xml:space="preserve"> </w:t>
      </w:r>
      <w:r>
        <w:t xml:space="preserve">flux and on the concentration of the delivered drug substance, and none of those is a</w:t>
      </w:r>
      <w:r>
        <w:t xml:space="preserve"> </w:t>
      </w:r>
      <w:r>
        <w:t xml:space="preserve">quality attribute. Occurrence is scored 4, which the scale calls</w:t>
      </w:r>
      <w:r>
        <w:t xml:space="preserve"> </w:t>
      </w:r>
      <w:r>
        <w:t xml:space="preserve">low, on the ground that the skid controls each of them directly.</w:t>
      </w:r>
      <w:r>
        <w:t xml:space="preserve"> </w:t>
      </w:r>
      <w:r>
        <w:t xml:space="preserve">Detection is scored 6, the score the scale gives to a failure that is</w:t>
      </w:r>
      <w:r>
        <w:t xml:space="preserve"> </w:t>
      </w:r>
      <w:r>
        <w:t xml:space="preserve">seen after the operation and before release, and not during it. The initial risk priority</w:t>
      </w:r>
      <w:r>
        <w:t xml:space="preserve"> </w:t>
      </w:r>
      <w:r>
        <w:t xml:space="preserve">number is 96 for each parameter and each was ranked at</w:t>
      </w:r>
      <w:r>
        <w:t xml:space="preserve"> </w:t>
      </w:r>
      <w:r>
        <w:t xml:space="preserve">low priority.</w:t>
      </w:r>
    </w:p>
    <w:p>
      <w:pPr>
        <w:pStyle w:val="BodyText"/>
      </w:pPr>
      <w:r>
        <w:t xml:space="preserve">Two consequences follow for the design of this study. RA-001 assigned no parameter of the</w:t>
      </w:r>
      <w:r>
        <w:t xml:space="preserve"> </w:t>
      </w:r>
      <w:r>
        <w:t xml:space="preserve">step to a designed experiment, and the scores above are the whole basis of that assignment.</w:t>
      </w:r>
      <w:r>
        <w:t xml:space="preserve"> </w:t>
      </w:r>
      <w:r>
        <w:t xml:space="preserve">The ranges must nonetheless be bounded, because the concentration of the drug substance is confirmed by</w:t>
      </w:r>
      <w:r>
        <w:t xml:space="preserve"> </w:t>
      </w:r>
      <w:r>
        <w:t xml:space="preserve">release testing and this step is the last chance to set it. The parameters are studied one at</w:t>
      </w:r>
      <w:r>
        <w:t xml:space="preserve"> </w:t>
      </w:r>
      <w:r>
        <w:t xml:space="preserve">a time, over ranges wider than the ranges in which the step will routinely run.</w:t>
      </w:r>
    </w:p>
    <w:bookmarkEnd w:id="21"/>
    <w:bookmarkEnd w:id="22"/>
    <w:bookmarkStart w:id="29" w:name="materials-and-methods"/>
    <w:p>
      <w:pPr>
        <w:pStyle w:val="Heading1"/>
      </w:pPr>
      <w:r>
        <w:t xml:space="preserve">5. Materials and methods</w:t>
      </w:r>
    </w:p>
    <w:bookmarkStart w:id="23" w:name="scale-down-model-and-its-qualification"/>
    <w:p>
      <w:pPr>
        <w:pStyle w:val="Heading2"/>
      </w:pPr>
      <w:r>
        <w:t xml:space="preserve">5.1 Scale-down model and its qualification</w:t>
      </w:r>
    </w:p>
    <w:p>
      <w:pPr>
        <w:pStyle w:val="FirstParagraph"/>
      </w:pPr>
      <w:r>
        <w:t xml:space="preserve">The study will be run on a scale-down tangential flow filtration system that reproduces the</w:t>
      </w:r>
      <w:r>
        <w:t xml:space="preserve"> </w:t>
      </w:r>
      <w:r>
        <w:t xml:space="preserve">commercial operation, and no study run may start before that system has been qualified under</w:t>
      </w:r>
      <w:r>
        <w:t xml:space="preserve"> </w:t>
      </w:r>
      <w:r>
        <w:t xml:space="preserve">SOP-1001. The scale-independent parameters are those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and they are</w:t>
      </w:r>
      <w:r>
        <w:t xml:space="preserve"> </w:t>
      </w:r>
      <w:r>
        <w:t xml:space="preserve">operated at the values proposed for commercial manufacture. The scale-dependent quantities</w:t>
      </w:r>
      <w:r>
        <w:t xml:space="preserve"> </w:t>
      </w:r>
      <w:r>
        <w:t xml:space="preserve">are membrane area, crossflow rate and hold-up volume. These are set so that the small system</w:t>
      </w:r>
      <w:r>
        <w:t xml:space="preserve"> </w:t>
      </w:r>
      <w:r>
        <w:t xml:space="preserve">matches the commercial system on the quantities that govern the operation: membrane chemistry</w:t>
      </w:r>
      <w:r>
        <w:t xml:space="preserve"> </w:t>
      </w:r>
      <w:r>
        <w:t xml:space="preserve">and channel geometry, protein loading per unit membrane area, and crossflow per unit membrane</w:t>
      </w:r>
      <w:r>
        <w:t xml:space="preserve"> </w:t>
      </w:r>
      <w:r>
        <w:t xml:space="preserve">area.</w:t>
      </w:r>
    </w:p>
    <w:p>
      <w:pPr>
        <w:pStyle w:val="BodyText"/>
      </w:pPr>
      <w:r>
        <w:t xml:space="preserve">Qualification compares the small system with commercial and pilot data on flux, on process</w:t>
      </w:r>
      <w:r>
        <w:t xml:space="preserve"> </w:t>
      </w:r>
      <w:r>
        <w:t xml:space="preserve">time per diavolume and on the quality of the pool. Step yield is recorded at both scales but</w:t>
      </w:r>
      <w:r>
        <w:t xml:space="preserve"> </w:t>
      </w:r>
      <w:r>
        <w:t xml:space="preserve">is not one of the quantities compared, because hold-up volume makes recovery scale</w:t>
      </w:r>
      <w:r>
        <w:t xml:space="preserve"> </w:t>
      </w:r>
      <w:r>
        <w:t xml:space="preserve">dependent. The acceptance criteria for</w:t>
      </w:r>
      <w:r>
        <w:t xml:space="preserve"> </w:t>
      </w:r>
      <w:r>
        <w:t xml:space="preserve">that comparison are defined in SOP-1001 and are not restated here. The comparison is made at</w:t>
      </w:r>
      <w:r>
        <w:t xml:space="preserve"> </w:t>
      </w:r>
      <w:r>
        <w:t xml:space="preserve">the set-point condition, which is the condition at which the two scales are expected to agree</w:t>
      </w:r>
      <w:r>
        <w:t xml:space="preserve"> </w:t>
      </w:r>
      <w:r>
        <w:t xml:space="preserve">most closely, and it is repeated after any change to the membrane lot or the flow path.</w:t>
      </w:r>
    </w:p>
    <w:p>
      <w:pPr>
        <w:pStyle w:val="BodyText"/>
      </w:pPr>
      <w:r>
        <w:t xml:space="preserve">One difference between the scales cannot be removed. The hold-up volume of a small system is</w:t>
      </w:r>
      <w:r>
        <w:t xml:space="preserve"> </w:t>
      </w:r>
      <w:r>
        <w:t xml:space="preserve">a larger fraction of the batch than at commercial scale, so recovery from the final flush is</w:t>
      </w:r>
      <w:r>
        <w:t xml:space="preserve"> </w:t>
      </w:r>
      <w:r>
        <w:t xml:space="preserve">not directly comparable between the two. Step yield at small scale will therefore be reported</w:t>
      </w:r>
      <w:r>
        <w:t xml:space="preserve"> </w:t>
      </w:r>
      <w:r>
        <w:t xml:space="preserve">as an indicator of consistent operation and will not be used to set the commercial yield</w:t>
      </w:r>
      <w:r>
        <w:t xml:space="preserve"> </w:t>
      </w:r>
      <w:r>
        <w:t xml:space="preserve">expectation. This limitation is carried as a study risk in §12. The skid used for the</w:t>
      </w:r>
      <w:r>
        <w:t xml:space="preserve"> </w:t>
      </w:r>
      <w:r>
        <w:t xml:space="preserve">study (EQ-TFF-142) is under calibration and change control, and its calibration status at</w:t>
      </w:r>
      <w:r>
        <w:t xml:space="preserve"> </w:t>
      </w:r>
      <w:r>
        <w:t xml:space="preserve">execution will be recorded in PCR-010.</w:t>
      </w:r>
    </w:p>
    <w:bookmarkEnd w:id="23"/>
    <w:bookmarkStart w:id="24" w:name="operation"/>
    <w:p>
      <w:pPr>
        <w:pStyle w:val="Heading2"/>
      </w:pPr>
      <w:r>
        <w:t xml:space="preserve">5.2 Operation</w:t>
      </w:r>
    </w:p>
    <w:p>
      <w:pPr>
        <w:pStyle w:val="FirstParagraph"/>
      </w:pPr>
      <w:r>
        <w:t xml:space="preserve">The step is operated under SOP-2013. The feed is the filtrate of the small virus retentive</w:t>
      </w:r>
      <w:r>
        <w:t xml:space="preserve"> </w:t>
      </w:r>
      <w:r>
        <w:t xml:space="preserve">filtration step, which is characterized in PCP-009 and PCR-009. Feed material for the study</w:t>
      </w:r>
      <w:r>
        <w:t xml:space="preserve"> </w:t>
      </w:r>
      <w:r>
        <w:t xml:space="preserve">is drawn from runs of the preceding steps at their set-points, so that the input state of</w:t>
      </w:r>
      <w:r>
        <w:t xml:space="preserve"> </w:t>
      </w:r>
      <w:r>
        <w:t xml:space="preserve">each attribute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is representative of routine operation.</w:t>
      </w:r>
    </w:p>
    <w:p>
      <w:pPr>
        <w:pStyle w:val="BodyText"/>
      </w:pPr>
      <w:r>
        <w:t xml:space="preserve">Each run follows the commercial sequence. The feed is concentrated to the concentration at</w:t>
      </w:r>
      <w:r>
        <w:t xml:space="preserve"> </w:t>
      </w:r>
      <w:r>
        <w:t xml:space="preserve">which diafiltration begins, diafiltered at constant volume against formulation buffer for the</w:t>
      </w:r>
      <w:r>
        <w:t xml:space="preserve"> </w:t>
      </w:r>
      <w:r>
        <w:t xml:space="preserve">number of diavolumes under study, concentrated to 75 g/L unless</w:t>
      </w:r>
      <w:r>
        <w:t xml:space="preserve"> </w:t>
      </w:r>
      <w:r>
        <w:t xml:space="preserve">final concentration is itself the parameter being varied, and then recovered by a buffer</w:t>
      </w:r>
      <w:r>
        <w:t xml:space="preserve"> </w:t>
      </w:r>
      <w:r>
        <w:t xml:space="preserve">flush. Transmembrane pressure is controlled by the skid throughout the concentration and</w:t>
      </w:r>
      <w:r>
        <w:t xml:space="preserve"> </w:t>
      </w:r>
      <w:r>
        <w:t xml:space="preserve">diafiltration phases. The diavolume count is controlled by the recipe and confirmed against</w:t>
      </w:r>
      <w:r>
        <w:t xml:space="preserve"> </w:t>
      </w:r>
      <w:r>
        <w:t xml:space="preserve">the mass of permeate collected.</w:t>
      </w:r>
    </w:p>
    <w:p>
      <w:pPr>
        <w:pStyle w:val="BodyText"/>
      </w:pPr>
      <w:r>
        <w:t xml:space="preserve">Materials that are controlled to platform specification are identity checked and released</w:t>
      </w:r>
      <w:r>
        <w:t xml:space="preserve"> </w:t>
      </w:r>
      <w:r>
        <w:t xml:space="preserve">before use, and are not study variables. These are the membrane cassettes, the formulation</w:t>
      </w:r>
      <w:r>
        <w:t xml:space="preserve"> </w:t>
      </w:r>
      <w:r>
        <w:t xml:space="preserve">buffer and the flush buffer. A single membrane lot will be used for the study wherever the</w:t>
      </w:r>
      <w:r>
        <w:t xml:space="preserve"> </w:t>
      </w:r>
      <w:r>
        <w:t xml:space="preserve">schedule allows, so that a lot change cannot be confounded with a parameter effect.</w:t>
      </w:r>
    </w:p>
    <w:bookmarkEnd w:id="24"/>
    <w:bookmarkStart w:id="26" w:name="analytical-methods"/>
    <w:p>
      <w:pPr>
        <w:pStyle w:val="Heading2"/>
      </w:pPr>
      <w:r>
        <w:t xml:space="preserve">5.3 Analytical methods</w:t>
      </w:r>
    </w:p>
    <w:p>
      <w:pPr>
        <w:pStyle w:val="FirstParagraph"/>
      </w:pPr>
      <w:r>
        <w:t xml:space="preserve">The study is supported by 3 validated methods, each listed</w:t>
      </w:r>
      <w:r>
        <w:t xml:space="preserve"> </w:t>
      </w:r>
      <w:r>
        <w:t xml:space="preserve">with its validation reference</w:t>
      </w:r>
      <w:r>
        <w:t xml:space="preserve"> </w:t>
      </w:r>
      <w:r>
        <w:t xml:space="preserve">in</w:t>
      </w:r>
      <w:r>
        <w:t xml:space="preserve"> </w:t>
      </w:r>
      <w:hyperlink w:anchor="tbl-refs">
        <w:r>
          <w:rPr>
            <w:rStyle w:val="Hyperlink"/>
          </w:rPr>
          <w:t xml:space="preserve">Table 3</w:t>
        </w:r>
      </w:hyperlink>
      <w:r>
        <w:t xml:space="preserve">. Aggregate is measured by size exclusion chromatography (AMV-3011) and reported</w:t>
      </w:r>
      <w:r>
        <w:t xml:space="preserve"> </w:t>
      </w:r>
      <w:r>
        <w:t xml:space="preserve">as the percentage of high molecular weight species. Charge variants are measured by imaged</w:t>
      </w:r>
      <w:r>
        <w:t xml:space="preserve"> </w:t>
      </w:r>
      <w:r>
        <w:t xml:space="preserve">capillary isoelectric focusing (AMV-3013) and reported as the acidic variant percentage.</w:t>
      </w:r>
      <w:r>
        <w:t xml:space="preserve"> </w:t>
      </w:r>
      <w:r>
        <w:t xml:space="preserve">Protein concentration is measured by ultraviolet absorbance (AMV-3019), which is also the</w:t>
      </w:r>
      <w:r>
        <w:t xml:space="preserve"> </w:t>
      </w:r>
      <w:r>
        <w:t xml:space="preserve">method that decides whether a run met the concentration target.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metho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Validated performance of the concentration method.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88"/>
              <w:gridCol w:w="2479"/>
              <w:gridCol w:w="1790"/>
              <w:gridCol w:w="619"/>
              <w:gridCol w:w="1101"/>
              <w:gridCol w:w="123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Intermediate precision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 share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Concentration by A280 (UV)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1.2 %RSD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 g/L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99.6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hyperlink w:anchor="tbl-method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gives the validated performance of the concentration method. Its intermediate</w:t>
      </w:r>
      <w:r>
        <w:t xml:space="preserve"> </w:t>
      </w:r>
      <w:r>
        <w:t xml:space="preserve">precision is 1.2 %RSD and its limit of quantitation is 0.5 g/L, so it</w:t>
      </w:r>
      <w:r>
        <w:t xml:space="preserve"> </w:t>
      </w:r>
      <w:r>
        <w:t xml:space="preserve">resolves differences that are far smaller than the width of the range studied for that</w:t>
      </w:r>
      <w:r>
        <w:t xml:space="preserve"> </w:t>
      </w:r>
      <w:r>
        <w:t xml:space="preserve">parameter. The validated performance of the size variant and charge variant methods is</w:t>
      </w:r>
      <w:r>
        <w:t xml:space="preserve"> </w:t>
      </w:r>
      <w:r>
        <w:t xml:space="preserve">recorded in the validation reports for AMV-3011 and AMV-3013, and is not reproduced here.</w:t>
      </w:r>
      <w:r>
        <w:t xml:space="preserve"> </w:t>
      </w:r>
      <w:r>
        <w:t xml:space="preserve">The precision of those two methods matters to this study, because it sets the smallest</w:t>
      </w:r>
      <w:r>
        <w:t xml:space="preserve"> </w:t>
      </w:r>
      <w:r>
        <w:t xml:space="preserve">change in an attribute that can be attributed to a parameter rather than to the assay (§5.5).</w:t>
      </w:r>
    </w:p>
    <w:bookmarkEnd w:id="26"/>
    <w:bookmarkStart w:id="27" w:name="sampling-plan"/>
    <w:p>
      <w:pPr>
        <w:pStyle w:val="Heading2"/>
      </w:pPr>
      <w:r>
        <w:t xml:space="preserve">5.4 Sampling plan</w:t>
      </w:r>
    </w:p>
    <w:p>
      <w:pPr>
        <w:pStyle w:val="FirstParagraph"/>
      </w:pPr>
      <w:r>
        <w:t xml:space="preserve">Each run is sampled at four points: the feed, the retentate at the end of diafiltration, the</w:t>
      </w:r>
      <w:r>
        <w:t xml:space="preserve"> </w:t>
      </w:r>
      <w:r>
        <w:t xml:space="preserve">final pool after the last concentration phase, and the permeate. The feed sample establishes</w:t>
      </w:r>
      <w:r>
        <w:t xml:space="preserve"> </w:t>
      </w:r>
      <w:r>
        <w:t xml:space="preserve">the input state of every attribute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for that run, and the comparison that answers the</w:t>
      </w:r>
      <w:r>
        <w:t xml:space="preserve"> </w:t>
      </w:r>
      <w:r>
        <w:t xml:space="preserve">first objective is the final pool against the feed of the same run. The retentate sample</w:t>
      </w:r>
      <w:r>
        <w:t xml:space="preserve"> </w:t>
      </w:r>
      <w:r>
        <w:t xml:space="preserve">records the protein concentration at which diafiltration ended. The permeate is assayed for</w:t>
      </w:r>
      <w:r>
        <w:t xml:space="preserve"> </w:t>
      </w:r>
      <w:r>
        <w:t xml:space="preserve">protein by ultraviolet absorbance to confirm that the membrane retained the antibody.</w:t>
      </w:r>
    </w:p>
    <w:p>
      <w:pPr>
        <w:pStyle w:val="BodyText"/>
      </w:pPr>
      <w:r>
        <w:t xml:space="preserve">Aggregate and charge variants are measured on the feed and on the final pool. Protein</w:t>
      </w:r>
      <w:r>
        <w:t xml:space="preserve"> </w:t>
      </w:r>
      <w:r>
        <w:t xml:space="preserve">concentration is measured on all four samples. Retains of every final pool are held under the</w:t>
      </w:r>
      <w:r>
        <w:t xml:space="preserve"> </w:t>
      </w:r>
      <w:r>
        <w:t xml:space="preserve">conditions defined in SOP-2013, so that an unexpected result can be re-tested on the original</w:t>
      </w:r>
      <w:r>
        <w:t xml:space="preserve"> </w:t>
      </w:r>
      <w:r>
        <w:t xml:space="preserve">material instead of on a repeat run.</w:t>
      </w:r>
    </w:p>
    <w:bookmarkEnd w:id="27"/>
    <w:bookmarkStart w:id="28" w:name="statistical-methods"/>
    <w:p>
      <w:pPr>
        <w:pStyle w:val="Heading2"/>
      </w:pPr>
      <w:r>
        <w:t xml:space="preserve">5.5 Statistical methods</w:t>
      </w:r>
    </w:p>
    <w:p>
      <w:pPr>
        <w:pStyle w:val="FirstParagraph"/>
      </w:pPr>
      <w:r>
        <w:t xml:space="preserve">The planned analysis is descriptive. Each condition is compared with the set-point runs</w:t>
      </w:r>
      <w:r>
        <w:t xml:space="preserve"> </w:t>
      </w:r>
      <w:r>
        <w:t xml:space="preserve">executed on the same feed, and each result is compared with the acceptance criteria in §7. A</w:t>
      </w:r>
      <w:r>
        <w:t xml:space="preserve"> </w:t>
      </w:r>
      <w:r>
        <w:t xml:space="preserve">difference between a condition and the set-point runs is reported as real only when it</w:t>
      </w:r>
      <w:r>
        <w:t xml:space="preserve"> </w:t>
      </w:r>
      <w:r>
        <w:t xml:space="preserve">exceeds the intermediate precision of the method that measured it and the scatter of the</w:t>
      </w:r>
      <w:r>
        <w:t xml:space="preserve"> </w:t>
      </w:r>
      <w:r>
        <w:t xml:space="preserve">set-point runs themselves. Each edge condition is executed once (§6.2), which is too few for</w:t>
      </w:r>
      <w:r>
        <w:t xml:space="preserve"> </w:t>
      </w:r>
      <w:r>
        <w:t xml:space="preserve">a significance test, and none is planned. The number of runs behind every comparison the</w:t>
      </w:r>
      <w:r>
        <w:t xml:space="preserve"> </w:t>
      </w:r>
      <w:r>
        <w:t xml:space="preserve">report makes is stated with the comparison.</w:t>
      </w:r>
    </w:p>
    <w:p>
      <w:pPr>
        <w:pStyle w:val="BodyText"/>
      </w:pPr>
      <w:r>
        <w:t xml:space="preserve">No designed experiment is run at this step and no model is fitted to its data. At the steps</w:t>
      </w:r>
      <w:r>
        <w:t xml:space="preserve"> </w:t>
      </w:r>
      <w:r>
        <w:t xml:space="preserve">that do carry a designed experiment, the screening design identifies which parameters matter</w:t>
      </w:r>
      <w:r>
        <w:t xml:space="preserve"> </w:t>
      </w:r>
      <w:r>
        <w:t xml:space="preserve">and the response surface model is the predictive model on which the design space rests.</w:t>
      </w:r>
      <w:r>
        <w:t xml:space="preserve"> </w:t>
      </w:r>
      <w:r>
        <w:t xml:space="preserve">Neither exists here. The outcome of this study is a set of univariate acceptable ranges and a</w:t>
      </w:r>
      <w:r>
        <w:t xml:space="preserve"> </w:t>
      </w:r>
      <w:r>
        <w:t xml:space="preserve">classification for each parameter. It is not a multivariate design space, and this plan</w:t>
      </w:r>
      <w:r>
        <w:t xml:space="preserve"> </w:t>
      </w:r>
      <w:r>
        <w:t xml:space="preserve">claims nothing more for it.</w:t>
      </w:r>
    </w:p>
    <w:p>
      <w:pPr>
        <w:pStyle w:val="BodyText"/>
      </w:pPr>
      <w:r>
        <w:t xml:space="preserve">Commercial-scale capability is not estimated from this step. Capability for the drug</w:t>
      </w:r>
      <w:r>
        <w:t xml:space="preserve"> </w:t>
      </w:r>
      <w:r>
        <w:t xml:space="preserve">substance attributes is estimated by Monte-Carlo simulation of</w:t>
      </w:r>
      <w:r>
        <w:t xml:space="preserve"> </w:t>
      </w:r>
      <w:r>
        <w:t xml:space="preserve">2,000 batches from the qualified models of the steps that set</w:t>
      </w:r>
      <w:r>
        <w:t xml:space="preserve"> </w:t>
      </w:r>
      <w:r>
        <w:t xml:space="preserve">those attributes, and the result is consolidated in PCMR-001. This step contributes the</w:t>
      </w:r>
      <w:r>
        <w:t xml:space="preserve"> </w:t>
      </w:r>
      <w:r>
        <w:t xml:space="preserve">concentration at which the drug substance is expressed, and nothing else, to that</w:t>
      </w:r>
      <w:r>
        <w:t xml:space="preserve"> </w:t>
      </w:r>
      <w:r>
        <w:t xml:space="preserve">calculation.</w:t>
      </w:r>
    </w:p>
    <w:bookmarkEnd w:id="28"/>
    <w:bookmarkEnd w:id="29"/>
    <w:bookmarkStart w:id="33" w:name="study-design"/>
    <w:p>
      <w:pPr>
        <w:pStyle w:val="Heading1"/>
      </w:pPr>
      <w:r>
        <w:t xml:space="preserve">6. Study design</w:t>
      </w:r>
    </w:p>
    <w:bookmarkStart w:id="31" w:name="factors-ranges-and-study-type"/>
    <w:p>
      <w:pPr>
        <w:pStyle w:val="Heading2"/>
      </w:pPr>
      <w:r>
        <w:t xml:space="preserve">6.1 Factors, ranges and study type</w:t>
      </w:r>
    </w:p>
    <w:p>
      <w:pPr>
        <w:pStyle w:val="FirstParagraph"/>
      </w:pPr>
      <w:r>
        <w:t xml:space="preserve">The design is univariate. Each of the step’s 3 parameters is studied</w:t>
      </w:r>
      <w:r>
        <w:t xml:space="preserve"> </w:t>
      </w:r>
      <w:r>
        <w:t xml:space="preserve">across a range wider than the range in which the step will routinely operate, with the other</w:t>
      </w:r>
      <w:r>
        <w:t xml:space="preserve"> </w:t>
      </w:r>
      <w:r>
        <w:t xml:space="preserve">parameters at their set-points.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gives the set-point, the range studied, the normal</w:t>
      </w:r>
      <w:r>
        <w:t xml:space="preserve"> </w:t>
      </w:r>
      <w:r>
        <w:t xml:space="preserve">operating range and the study type for each.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Parameters, ranges and study type for the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90"/>
              <w:gridCol w:w="763"/>
              <w:gridCol w:w="1240"/>
              <w:gridCol w:w="1622"/>
              <w:gridCol w:w="667"/>
              <w:gridCol w:w="13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Number of diavolumes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7–9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Transmembrane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DS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65–85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70–80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0"/>
          <w:p/>
        </w:tc>
      </w:tr>
    </w:tbl>
    <w:p>
      <w:pPr>
        <w:pStyle w:val="BodyText"/>
      </w:pPr>
      <w:r>
        <w:t xml:space="preserve">The number of diavolumes is studied over 7–10 DV against a normal</w:t>
      </w:r>
      <w:r>
        <w:t xml:space="preserve"> </w:t>
      </w:r>
      <w:r>
        <w:t xml:space="preserve">operating range of 7–9 DV. The range is extended upward only.</w:t>
      </w:r>
      <w:r>
        <w:t xml:space="preserve"> </w:t>
      </w:r>
      <w:r>
        <w:t xml:space="preserve">Buffer exchange improves as diavolumes are added, so the risk lies at the low edge,</w:t>
      </w:r>
      <w:r>
        <w:t xml:space="preserve"> </w:t>
      </w:r>
      <w:r>
        <w:t xml:space="preserve">and the upper edge is studied to show that the additional process time (the pool spends</w:t>
      </w:r>
      <w:r>
        <w:t xml:space="preserve"> </w:t>
      </w:r>
      <w:r>
        <w:t xml:space="preserve">longer in the system, at its highest concentration) does not change the product. The low edge of the range studied is the low edge of the normal operating range, so</w:t>
      </w:r>
      <w:r>
        <w:t xml:space="preserve"> </w:t>
      </w:r>
      <w:r>
        <w:t xml:space="preserve">this study does not bound an excursion below it. Applying fewer diavolumes than that is</w:t>
      </w:r>
      <w:r>
        <w:t xml:space="preserve"> </w:t>
      </w:r>
      <w:r>
        <w:t xml:space="preserve">prevented by the recipe and detected by the permeate mass check described in §5.2.</w:t>
      </w:r>
      <w:r>
        <w:t xml:space="preserve"> </w:t>
      </w:r>
      <w:r>
        <w:t xml:space="preserve">Completeness of the exchange itself belongs to the formulation and is not characterized here</w:t>
      </w:r>
      <w:r>
        <w:t xml:space="preserve"> </w:t>
      </w:r>
      <w:r>
        <w:t xml:space="preserve">(</w:t>
      </w:r>
      <w:hyperlink w:anchor="tbl-ra">
        <w:r>
          <w:rPr>
            <w:rStyle w:val="Hyperlink"/>
          </w:rPr>
          <w:t xml:space="preserve">Table 5</w:t>
        </w:r>
      </w:hyperlink>
      <w:r>
        <w:t xml:space="preserve">), and both bounds will be stated again in PCR-010.</w:t>
      </w:r>
    </w:p>
    <w:p>
      <w:pPr>
        <w:pStyle w:val="BodyText"/>
      </w:pPr>
      <w:r>
        <w:t xml:space="preserve">Transmembrane pressure is studied over 10–15 psi against a normal</w:t>
      </w:r>
      <w:r>
        <w:t xml:space="preserve"> </w:t>
      </w:r>
      <w:r>
        <w:t xml:space="preserve">operating range of 10–14 psi. The range is extended above the</w:t>
      </w:r>
      <w:r>
        <w:t xml:space="preserve"> </w:t>
      </w:r>
      <w:r>
        <w:t xml:space="preserve">normal operating range because the risk lies there. Shear and concentration polarization both</w:t>
      </w:r>
      <w:r>
        <w:t xml:space="preserve"> </w:t>
      </w:r>
      <w:r>
        <w:t xml:space="preserve">rise with pressure. Below the normal range the consequence is a longer process time and not a</w:t>
      </w:r>
      <w:r>
        <w:t xml:space="preserve"> </w:t>
      </w:r>
      <w:r>
        <w:t xml:space="preserve">change in product quality, which is why the low edge of the studied range and of the normal</w:t>
      </w:r>
      <w:r>
        <w:t xml:space="preserve"> </w:t>
      </w:r>
      <w:r>
        <w:t xml:space="preserve">operating range are the same.</w:t>
      </w:r>
    </w:p>
    <w:p>
      <w:pPr>
        <w:pStyle w:val="BodyText"/>
      </w:pPr>
      <w:r>
        <w:t xml:space="preserve">Final drug substance concentration is studied over 65–85 g/L against a</w:t>
      </w:r>
      <w:r>
        <w:t xml:space="preserve"> </w:t>
      </w:r>
      <w:r>
        <w:t xml:space="preserve">normal operating range of 70–80 g/L and a target of</w:t>
      </w:r>
      <w:r>
        <w:t xml:space="preserve"> </w:t>
      </w:r>
      <w:r>
        <w:t xml:space="preserve">75 g/L. This range is extended in both directions, because both edges</w:t>
      </w:r>
      <w:r>
        <w:t xml:space="preserve"> </w:t>
      </w:r>
      <w:r>
        <w:t xml:space="preserve">carry a consequence. The low edge delivers drug substance below the concentration the process</w:t>
      </w:r>
      <w:r>
        <w:t xml:space="preserve"> </w:t>
      </w:r>
      <w:r>
        <w:t xml:space="preserve">is required to reach, and the high edge is where self association is most likely. The range studied</w:t>
      </w:r>
      <w:r>
        <w:t xml:space="preserve"> </w:t>
      </w:r>
      <w:r>
        <w:t xml:space="preserve">extends beyond the normal operating range on both sides of the target, which follows the</w:t>
      </w:r>
      <w:r>
        <w:t xml:space="preserve"> </w:t>
      </w:r>
      <w:r>
        <w:t xml:space="preserve">practice applied to the characterized steps of this process (PCMP-001) and the enhanced</w:t>
      </w:r>
      <w:r>
        <w:t xml:space="preserve"> </w:t>
      </w:r>
      <w:r>
        <w:t xml:space="preserve">development approach of the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bookmarkEnd w:id="31"/>
    <w:bookmarkStart w:id="32" w:name="univariate-assessment"/>
    <w:p>
      <w:pPr>
        <w:pStyle w:val="Heading2"/>
      </w:pPr>
      <w:r>
        <w:t xml:space="preserve">6.2 Univariate assessment</w:t>
      </w:r>
    </w:p>
    <w:p>
      <w:pPr>
        <w:pStyle w:val="FirstParagraph"/>
      </w:pPr>
      <w:r>
        <w:t xml:space="preserve">Each parameter is taken to the low and high levels of its characterization range with the</w:t>
      </w:r>
      <w:r>
        <w:t xml:space="preserve"> </w:t>
      </w:r>
      <w:r>
        <w:t xml:space="preserve">other parameters at their set-points, and the set-point condition itself is executed once as</w:t>
      </w:r>
      <w:r>
        <w:t xml:space="preserve"> </w:t>
      </w:r>
      <w:r>
        <w:t xml:space="preserve">the reference for each parameter. The study is 9 runs in total:</w:t>
      </w:r>
      <w:r>
        <w:t xml:space="preserve"> </w:t>
      </w:r>
      <w:r>
        <w:t xml:space="preserve">6 runs at an edge and 3 at the set-point,</w:t>
      </w:r>
      <w:r>
        <w:t xml:space="preserve"> </w:t>
      </w:r>
      <w:r>
        <w:t xml:space="preserve">with the runs for a given parameter executed on the same feed. No edge condition is</w:t>
      </w:r>
      <w:r>
        <w:t xml:space="preserve"> </w:t>
      </w:r>
      <w:r>
        <w:t xml:space="preserve">replicated, so the scatter of the set-point runs</w:t>
      </w:r>
      <w:r>
        <w:t xml:space="preserve"> </w:t>
      </w:r>
      <w:r>
        <w:t xml:space="preserve">is the only estimate of run-to-run variability the study produces, and §5.5 states how that</w:t>
      </w:r>
      <w:r>
        <w:t xml:space="preserve"> </w:t>
      </w:r>
      <w:r>
        <w:t xml:space="preserve">scatter is used. The schedule is given in Appendix A. This design was chosen over a factorial</w:t>
      </w:r>
      <w:r>
        <w:t xml:space="preserve"> </w:t>
      </w:r>
      <w:r>
        <w:t xml:space="preserve">for the reason given in §4.3, and the choice is a decision about scope and not about effort.</w:t>
      </w:r>
      <w:r>
        <w:t xml:space="preserve"> </w:t>
      </w:r>
      <w:r>
        <w:t xml:space="preserve">A factorial would have to be justified against the risk RA-001 recorded for the step, and</w:t>
      </w:r>
      <w:r>
        <w:t xml:space="preserve"> </w:t>
      </w:r>
      <w:r>
        <w:t xml:space="preserve">that assessment assigned every parameter to univariate study instead.</w:t>
      </w:r>
    </w:p>
    <w:p>
      <w:pPr>
        <w:pStyle w:val="BodyText"/>
      </w:pPr>
      <w:r>
        <w:t xml:space="preserve">The assessment is conditional. It establishes how the step behaves when one parameter is at</w:t>
      </w:r>
      <w:r>
        <w:t xml:space="preserve"> </w:t>
      </w:r>
      <w:r>
        <w:t xml:space="preserve">an edge and the others are at their set-points, and it does not establish how the step</w:t>
      </w:r>
      <w:r>
        <w:t xml:space="preserve"> </w:t>
      </w:r>
      <w:r>
        <w:t xml:space="preserve">behaves at a corner where two parameters are at their edges together. That limitation is</w:t>
      </w:r>
      <w:r>
        <w:t xml:space="preserve"> </w:t>
      </w:r>
      <w:r>
        <w:t xml:space="preserve">accepted here, and it is the reason the control strategy will propose the normal operating</w:t>
      </w:r>
      <w:r>
        <w:t xml:space="preserve"> </w:t>
      </w:r>
      <w:r>
        <w:t xml:space="preserve">ranges as the routine limits for the step, rather than the wider ranges studied.</w:t>
      </w:r>
    </w:p>
    <w:bookmarkEnd w:id="32"/>
    <w:bookmarkEnd w:id="33"/>
    <w:bookmarkStart w:id="34" w:name="acceptance-and-decision-criteria"/>
    <w:p>
      <w:pPr>
        <w:pStyle w:val="Heading1"/>
      </w:pPr>
      <w:r>
        <w:t xml:space="preserve">7. Acceptance and decision criteria</w:t>
      </w:r>
    </w:p>
    <w:p>
      <w:pPr>
        <w:pStyle w:val="FirstParagraph"/>
      </w:pPr>
      <w:r>
        <w:t xml:space="preserve">Four criteria decide the outcome of the study, and all four are fixed before any data are</w:t>
      </w:r>
      <w:r>
        <w:t xml:space="preserve"> </w:t>
      </w:r>
      <w:r>
        <w:t xml:space="preserve">seen.</w:t>
      </w:r>
    </w:p>
    <w:p>
      <w:pPr>
        <w:pStyle w:val="BodyText"/>
      </w:pPr>
      <w:r>
        <w:t xml:space="preserve">The first is the scale-down model. The model is qualified when the comparison required by</w:t>
      </w:r>
      <w:r>
        <w:t xml:space="preserve"> </w:t>
      </w:r>
      <w:r>
        <w:t xml:space="preserve">SOP-1001 is complete and meets the acceptance criteria stated there. Data generated on an</w:t>
      </w:r>
      <w:r>
        <w:t xml:space="preserve"> </w:t>
      </w:r>
      <w:r>
        <w:t xml:space="preserve">unqualified system are not reportable, and the runs affected will be repeated.</w:t>
      </w:r>
    </w:p>
    <w:p>
      <w:pPr>
        <w:pStyle w:val="BodyText"/>
      </w:pPr>
      <w:r>
        <w:t xml:space="preserve">The second is product quality. At every condition, aggregate and acidic charge variants in</w:t>
      </w:r>
      <w:r>
        <w:t xml:space="preserve"> </w:t>
      </w:r>
      <w:r>
        <w:t xml:space="preserve">the final pool must be within the drug substance acceptance criteria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. In</w:t>
      </w:r>
      <w:r>
        <w:t xml:space="preserve"> </w:t>
      </w:r>
      <w:r>
        <w:t xml:space="preserve">addition, the change across the step is assessed: a difference between the final pool and its</w:t>
      </w:r>
      <w:r>
        <w:t xml:space="preserve"> </w:t>
      </w:r>
      <w:r>
        <w:t xml:space="preserve">feed that exceeds the intermediate precision of the method is reported as a real change,</w:t>
      </w:r>
      <w:r>
        <w:t xml:space="preserve"> </w:t>
      </w:r>
      <w:r>
        <w:t xml:space="preserve">investigated, and carried into the classification of the parameter that produced it.</w:t>
      </w:r>
    </w:p>
    <w:p>
      <w:pPr>
        <w:pStyle w:val="BodyText"/>
      </w:pPr>
      <w:r>
        <w:t xml:space="preserve">The third is process performance, and it is stated separately for the two kinds of run. A run</w:t>
      </w:r>
      <w:r>
        <w:t xml:space="preserve"> </w:t>
      </w:r>
      <w:r>
        <w:t xml:space="preserve">at the set-point condition must deliver a final pool within the normal operating range of the</w:t>
      </w:r>
      <w:r>
        <w:t xml:space="preserve"> </w:t>
      </w:r>
      <w:r>
        <w:t xml:space="preserve">final concentration parameter (70–80 g/L). Its step yield must</w:t>
      </w:r>
      <w:r>
        <w:t xml:space="preserve"> </w:t>
      </w:r>
      <w:r>
        <w:t xml:space="preserve">agree with the yield of the other set-point runs of the study, within the run-to-run scatter</w:t>
      </w:r>
      <w:r>
        <w:t xml:space="preserve"> </w:t>
      </w:r>
      <w:r>
        <w:t xml:space="preserve">recorded when the system was qualified. That comparison stays inside the small scale, for the</w:t>
      </w:r>
      <w:r>
        <w:t xml:space="preserve"> </w:t>
      </w:r>
      <w:r>
        <w:t xml:space="preserve">reason given in §5.1. A run at a deliberately varied condition must complete, and the</w:t>
      </w:r>
      <w:r>
        <w:t xml:space="preserve"> </w:t>
      </w:r>
      <w:r>
        <w:t xml:space="preserve">condition intended for it must be achieved and verified: the mass of permeate collected for</w:t>
      </w:r>
      <w:r>
        <w:t xml:space="preserve"> </w:t>
      </w:r>
      <w:r>
        <w:t xml:space="preserve">the number of diavolumes, the skid record for transmembrane pressure, and the concentration</w:t>
      </w:r>
      <w:r>
        <w:t xml:space="preserve"> </w:t>
      </w:r>
      <w:r>
        <w:t xml:space="preserve">assay for the final concentration. Such a run is judged on product quality and on execution,</w:t>
      </w:r>
      <w:r>
        <w:t xml:space="preserve"> </w:t>
      </w:r>
      <w:r>
        <w:t xml:space="preserve">and not on whether it reached the target concentration.</w:t>
      </w:r>
    </w:p>
    <w:p>
      <w:pPr>
        <w:pStyle w:val="BodyText"/>
      </w:pPr>
      <w:r>
        <w:t xml:space="preserve">The fourth is the decision rule for a parameter range. The acceptable range of a parameter is</w:t>
      </w:r>
      <w:r>
        <w:t xml:space="preserve"> </w:t>
      </w:r>
      <w:r>
        <w:t xml:space="preserve">the widest contiguous span of the levels studied at which the product quality criterion is met</w:t>
      </w:r>
      <w:r>
        <w:t xml:space="preserve"> </w:t>
      </w:r>
      <w:r>
        <w:t xml:space="preserve">and the run was executed at its intended condition, with the other parameters at their</w:t>
      </w:r>
      <w:r>
        <w:t xml:space="preserve"> </w:t>
      </w:r>
      <w:r>
        <w:t xml:space="preserve">set-points. The process performance criterion enters through the set-point runs, which fix the</w:t>
      </w:r>
      <w:r>
        <w:t xml:space="preserve"> </w:t>
      </w:r>
      <w:r>
        <w:t xml:space="preserve">reference the levels are compared against. Where every level studied meets those criteria, the</w:t>
      </w:r>
      <w:r>
        <w:t xml:space="preserve"> </w:t>
      </w:r>
      <w:r>
        <w:t xml:space="preserve">whole characterization range is reported as acceptable, and the normal operating range sits</w:t>
      </w:r>
      <w:r>
        <w:t xml:space="preserve"> </w:t>
      </w:r>
      <w:r>
        <w:t xml:space="preserve">inside it with margin on both sides.</w:t>
      </w:r>
    </w:p>
    <w:p>
      <w:pPr>
        <w:pStyle w:val="BodyText"/>
      </w:pPr>
      <w:r>
        <w:t xml:space="preserve">Classification follows from the same evidence, under SOP-4001. A parameter with a</w:t>
      </w:r>
      <w:r>
        <w:t xml:space="preserve"> </w:t>
      </w:r>
      <w:r>
        <w:t xml:space="preserve">demonstrated effect on a drug substance quality attribute is classified as a critical process</w:t>
      </w:r>
      <w:r>
        <w:t xml:space="preserve"> </w:t>
      </w:r>
      <w:r>
        <w:t xml:space="preserve">parameter (CPP), or as a well controlled critical process parameter (WC-CPP) where the control</w:t>
      </w:r>
      <w:r>
        <w:t xml:space="preserve"> </w:t>
      </w:r>
      <w:r>
        <w:t xml:space="preserve">capability makes an excursion unlikely. A parameter with no demonstrated effect on a quality</w:t>
      </w:r>
      <w:r>
        <w:t xml:space="preserve"> </w:t>
      </w:r>
      <w:r>
        <w:t xml:space="preserve">attribute, which must nonetheless be held for the process to perform consistently, is</w:t>
      </w:r>
      <w:r>
        <w:t xml:space="preserve"> </w:t>
      </w:r>
      <w:r>
        <w:t xml:space="preserve">classified as a key process parameter (KPP). A parameter with neither property is a general</w:t>
      </w:r>
      <w:r>
        <w:t xml:space="preserve"> </w:t>
      </w:r>
      <w:r>
        <w:t xml:space="preserve">process parameter (GPP). The class is an outcome of the study and is not pre-judged in this</w:t>
      </w:r>
      <w:r>
        <w:t xml:space="preserve"> </w:t>
      </w:r>
      <w:r>
        <w:t xml:space="preserve">plan.</w:t>
      </w:r>
    </w:p>
    <w:p>
      <w:pPr>
        <w:pStyle w:val="BodyText"/>
      </w:pPr>
      <w:r>
        <w:t xml:space="preserve">A result that fails one of these criteria is not a failure of the plan. It is recorded,</w:t>
      </w:r>
      <w:r>
        <w:t xml:space="preserve"> </w:t>
      </w:r>
      <w:r>
        <w:t xml:space="preserve">investigated under the site quality system, and reported in PCR-010 together with its effect</w:t>
      </w:r>
      <w:r>
        <w:t xml:space="preserve"> </w:t>
      </w:r>
      <w:r>
        <w:t xml:space="preserve">on the ranges proposed for the control strategy.</w:t>
      </w:r>
    </w:p>
    <w:bookmarkEnd w:id="34"/>
    <w:bookmarkStart w:id="35" w:name="X6e399b04be57e9d5f909b4238f9408193405dfd"/>
    <w:p>
      <w:pPr>
        <w:pStyle w:val="Heading1"/>
      </w:pPr>
      <w:r>
        <w:t xml:space="preserve">8. Proven acceptable ranges (planned analysis)</w:t>
      </w:r>
    </w:p>
    <w:p>
      <w:pPr>
        <w:pStyle w:val="FirstParagraph"/>
      </w:pPr>
      <w:r>
        <w:t xml:space="preserve">The report will state a proven acceptable range (PAR) for each parameter, against the two</w:t>
      </w:r>
      <w:r>
        <w:t xml:space="preserve"> </w:t>
      </w:r>
      <w:r>
        <w:t xml:space="preserve">attributes measured across the step, which are aggregate and acidic charge variants. Residual</w:t>
      </w:r>
      <w:r>
        <w:t xml:space="preserve"> </w:t>
      </w:r>
      <w:r>
        <w:t xml:space="preserve">DNA appears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because the step fixes the concentration on which a dose is based, and</w:t>
      </w:r>
      <w:r>
        <w:t xml:space="preserve"> </w:t>
      </w:r>
      <w:r>
        <w:t xml:space="preserve">it is not assayed in this study, so no range is stated against it (§4.2). The acceptance basis</w:t>
      </w:r>
      <w:r>
        <w:t xml:space="preserve"> </w:t>
      </w:r>
      <w:r>
        <w:t xml:space="preserve">is the drug substance specification, which is the set of criteria</w:t>
      </w:r>
      <w:r>
        <w:t xml:space="preserve"> </w:t>
      </w:r>
      <w:r>
        <w:t xml:space="preserve">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; those are the criteria the drug substance is released against. No viral clearance</w:t>
      </w:r>
      <w:r>
        <w:t xml:space="preserve"> </w:t>
      </w:r>
      <w:r>
        <w:t xml:space="preserve">attribute is in scope at this step, so no step-level clearance contribution has to be</w:t>
      </w:r>
      <w:r>
        <w:t xml:space="preserve"> </w:t>
      </w:r>
      <w:r>
        <w:t xml:space="preserve">back-calculated from a cumulative requirement, as it is for the steps that carry a clearance</w:t>
      </w:r>
      <w:r>
        <w:t xml:space="preserve"> </w:t>
      </w:r>
      <w:r>
        <w:t xml:space="preserve">claim.</w:t>
      </w:r>
    </w:p>
    <w:p>
      <w:pPr>
        <w:pStyle w:val="BodyText"/>
      </w:pPr>
      <w:r>
        <w:t xml:space="preserve">The analysis has one form here and not two. Each parameter is evaluated at the levels at which</w:t>
      </w:r>
      <w:r>
        <w:t xml:space="preserve"> </w:t>
      </w:r>
      <w:r>
        <w:t xml:space="preserve">it was actually run, with the other parameters at their set-points, and the PAR</w:t>
      </w:r>
      <w:r>
        <w:t xml:space="preserve"> </w:t>
      </w:r>
      <w:r>
        <w:t xml:space="preserve">is the span of those levels over which the monitored attributes remain within their</w:t>
      </w:r>
      <w:r>
        <w:t xml:space="preserve"> </w:t>
      </w:r>
      <w:r>
        <w:t xml:space="preserve">acceptance criteria. The second analysis used at the designed steps has no counterpart at this</w:t>
      </w:r>
      <w:r>
        <w:t xml:space="preserve"> </w:t>
      </w:r>
      <w:r>
        <w:t xml:space="preserve">one. There the remaining parameters are varied within their normal operating ranges by</w:t>
      </w:r>
      <w:r>
        <w:t xml:space="preserve"> </w:t>
      </w:r>
      <w:r>
        <w:t xml:space="preserve">Monte-Carlo simulation of the fitted response surface model, and here there is no fitted model</w:t>
      </w:r>
      <w:r>
        <w:t xml:space="preserve"> </w:t>
      </w:r>
      <w:r>
        <w:t xml:space="preserve">to propagate. The consequence is stated plainly in the report: every range it gives is</w:t>
      </w:r>
      <w:r>
        <w:t xml:space="preserve"> </w:t>
      </w:r>
      <w:r>
        <w:t xml:space="preserve">conditional on the other parameters sitting at their set-points.</w:t>
      </w:r>
    </w:p>
    <w:p>
      <w:pPr>
        <w:pStyle w:val="BodyText"/>
      </w:pPr>
      <w:r>
        <w:t xml:space="preserve">The ranges will be reported as a table of the levels run against the attributes measured, with</w:t>
      </w:r>
      <w:r>
        <w:t xml:space="preserve"> </w:t>
      </w:r>
      <w:r>
        <w:t xml:space="preserve">the acceptance limit for each attribute stated alongside, so that a reader can see the margin</w:t>
      </w:r>
      <w:r>
        <w:t xml:space="preserve"> </w:t>
      </w:r>
      <w:r>
        <w:t xml:space="preserve">between the measured value and its limit at every level executed. The shaded acceptable-region plots</w:t>
      </w:r>
      <w:r>
        <w:t xml:space="preserve"> </w:t>
      </w:r>
      <w:r>
        <w:t xml:space="preserve">used in the reports for the characterized steps are not available here, for the same reason:</w:t>
      </w:r>
      <w:r>
        <w:t xml:space="preserve"> </w:t>
      </w:r>
      <w:r>
        <w:t xml:space="preserve">they are drawn from a fitted model. Two bounds therefore apply to every PAR</w:t>
      </w:r>
      <w:r>
        <w:t xml:space="preserve"> </w:t>
      </w:r>
      <w:r>
        <w:t xml:space="preserve">this study can produce. It is bounded by the levels actually executed, and it is bounded</w:t>
      </w:r>
      <w:r>
        <w:t xml:space="preserve"> </w:t>
      </w:r>
      <w:r>
        <w:t xml:space="preserve">by the assumption that the other parameters are at their set-points. Neither this plan nor its</w:t>
      </w:r>
      <w:r>
        <w:t xml:space="preserve"> </w:t>
      </w:r>
      <w:r>
        <w:t xml:space="preserve">report will describe the result as a design space.</w:t>
      </w:r>
    </w:p>
    <w:bookmarkEnd w:id="35"/>
    <w:bookmarkStart w:id="36" w:name="data-management-and-integrity"/>
    <w:p>
      <w:pPr>
        <w:pStyle w:val="Heading1"/>
      </w:pPr>
      <w:r>
        <w:t xml:space="preserve">9. Data management and integrity</w:t>
      </w:r>
    </w:p>
    <w:p>
      <w:pPr>
        <w:pStyle w:val="FirstParagraph"/>
      </w:pPr>
      <w:r>
        <w:t xml:space="preserve">Study data are recorded contemporaneously in the electronic batch record for the scale-down</w:t>
      </w:r>
      <w:r>
        <w:t xml:space="preserve"> </w:t>
      </w:r>
      <w:r>
        <w:t xml:space="preserve">run and in the validated laboratory systems that hold the analytical results. Records follow</w:t>
      </w:r>
      <w:r>
        <w:t xml:space="preserve"> </w:t>
      </w:r>
      <w:r>
        <w:t xml:space="preserve">the ALCOA+ principles: attributable, legible, contemporaneous, original, accurate, complete,</w:t>
      </w:r>
      <w:r>
        <w:t xml:space="preserve"> </w:t>
      </w:r>
      <w:r>
        <w:t xml:space="preserve">consistent, enduring and available. Instrument output is retained in its original form with</w:t>
      </w:r>
      <w:r>
        <w:t xml:space="preserve"> </w:t>
      </w:r>
      <w:r>
        <w:t xml:space="preserve">audit trails enabled.</w:t>
      </w:r>
    </w:p>
    <w:p>
      <w:pPr>
        <w:pStyle w:val="BodyText"/>
      </w:pPr>
      <w:r>
        <w:t xml:space="preserve">Every data set used in PCR-010 is subject to second-person review before it is used. The</w:t>
      </w:r>
      <w:r>
        <w:t xml:space="preserve"> </w:t>
      </w:r>
      <w:r>
        <w:t xml:space="preserve">review confirms that the run was executed at the intended condition, that the sample identity</w:t>
      </w:r>
      <w:r>
        <w:t xml:space="preserve"> </w:t>
      </w:r>
      <w:r>
        <w:t xml:space="preserve">is traceable, and that the analytical result was accepted by the method’s own system</w:t>
      </w:r>
      <w:r>
        <w:t xml:space="preserve"> </w:t>
      </w:r>
      <w:r>
        <w:t xml:space="preserve">suitability criteria. Any departure from this plan is documented under the site quality</w:t>
      </w:r>
      <w:r>
        <w:t xml:space="preserve"> </w:t>
      </w:r>
      <w:r>
        <w:t xml:space="preserve">system at the time it happens and reported in PCR-010.</w:t>
      </w:r>
    </w:p>
    <w:bookmarkEnd w:id="36"/>
    <w:bookmarkStart w:id="38" w:name="roles-and-responsibilities"/>
    <w:p>
      <w:pPr>
        <w:pStyle w:val="Heading1"/>
      </w:pPr>
      <w:r>
        <w:t xml:space="preserve">10. Roles and responsibilities</w:t>
      </w:r>
    </w:p>
    <w:p>
      <w:pPr>
        <w:pStyle w:val="FirstParagraph"/>
      </w:pPr>
      <w:r>
        <w:t xml:space="preserve">The functions responsible for the study and its deliverables are given in</w:t>
      </w:r>
      <w:r>
        <w:t xml:space="preserve"> </w:t>
      </w:r>
      <w:hyperlink w:anchor="tbl-roles">
        <w:r>
          <w:rPr>
            <w:rStyle w:val="Hyperlink"/>
          </w:rPr>
          <w:t xml:space="preserve">Table 8</w:t>
        </w:r>
      </w:hyperlink>
      <w:r>
        <w:t xml:space="preserve">. The</w:t>
      </w:r>
      <w:r>
        <w:t xml:space="preserve"> </w:t>
      </w:r>
      <w:r>
        <w:t xml:space="preserve">approval record at the front of this plan names the functions that approve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ro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Roles and responsibilities for the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Responsibility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 the plan, qualifies the scale-down system, executes the runs and authors PCR-010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Performs the validated methods, releases the analytical data and owns method performance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Confirms that the study conditions represent commercial operation and receives the ranges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Reviews the analysis and the comparisons made against the reference 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Approves the plan and the report, and owns the handling of any departure from either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deliverables-and-schedule"/>
    <w:p>
      <w:pPr>
        <w:pStyle w:val="Heading1"/>
      </w:pPr>
      <w:r>
        <w:t xml:space="preserve">11. Deliverables and schedule</w:t>
      </w:r>
    </w:p>
    <w:p>
      <w:pPr>
        <w:pStyle w:val="FirstParagraph"/>
      </w:pPr>
      <w:r>
        <w:t xml:space="preserve">The deliverable of this plan is one report, PCR-010, which contains the executed conditions,</w:t>
      </w:r>
      <w:r>
        <w:t xml:space="preserve"> </w:t>
      </w:r>
      <w:r>
        <w:t xml:space="preserve">the analytical results, the acceptable range of each parameter, the classification of each</w:t>
      </w:r>
      <w:r>
        <w:t xml:space="preserve"> </w:t>
      </w:r>
      <w:r>
        <w:t xml:space="preserve">parameter and any departures from this plan. PCR-010 rolls up into PCMR-001.</w:t>
      </w:r>
    </w:p>
    <w:p>
      <w:pPr>
        <w:pStyle w:val="BodyText"/>
      </w:pPr>
      <w:r>
        <w:t xml:space="preserve">The work runs in four phases, in order: qualification of the scale-down system under</w:t>
      </w:r>
      <w:r>
        <w:t xml:space="preserve"> </w:t>
      </w:r>
      <w:r>
        <w:t xml:space="preserve">SOP-1001; execution of the runs listed in Appendix A; analysis and classification under</w:t>
      </w:r>
      <w:r>
        <w:t xml:space="preserve"> </w:t>
      </w:r>
      <w:r>
        <w:t xml:space="preserve">SOP-4001; and issue of PCR-010 for approval. No calendar dates are given here. The study is</w:t>
      </w:r>
      <w:r>
        <w:t xml:space="preserve"> </w:t>
      </w:r>
      <w:r>
        <w:t xml:space="preserve">scheduled within the campaign covered by PCMP-001, and the only sequence constraint that</w:t>
      </w:r>
      <w:r>
        <w:t xml:space="preserve"> </w:t>
      </w:r>
      <w:r>
        <w:t xml:space="preserve">belongs to this step is that its feed comes from the preceding step (§5.2).</w:t>
      </w:r>
    </w:p>
    <w:bookmarkEnd w:id="39"/>
    <w:bookmarkStart w:id="40" w:name="risks-and-assumptions"/>
    <w:p>
      <w:pPr>
        <w:pStyle w:val="Heading1"/>
      </w:pPr>
      <w:r>
        <w:t xml:space="preserve">12. Risks and assumptions</w:t>
      </w:r>
    </w:p>
    <w:p>
      <w:pPr>
        <w:pStyle w:val="FirstParagraph"/>
      </w:pPr>
      <w:r>
        <w:t xml:space="preserve">Three risks could affect the conclusions of this study, and each has a defined response.</w:t>
      </w:r>
    </w:p>
    <w:p>
      <w:pPr>
        <w:pStyle w:val="BodyText"/>
      </w:pPr>
      <w:r>
        <w:t xml:space="preserve">The scale-down system may not represent the commercial system in recovery. Hold-up volume is</w:t>
      </w:r>
      <w:r>
        <w:t xml:space="preserve"> </w:t>
      </w:r>
      <w:r>
        <w:t xml:space="preserve">proportionally larger at small scale, and it acts directly on the step yield. The response is</w:t>
      </w:r>
      <w:r>
        <w:t xml:space="preserve"> </w:t>
      </w:r>
      <w:r>
        <w:t xml:space="preserve">in §5.1: yield at small scale is reported as an indicator of consistent operation and is not</w:t>
      </w:r>
      <w:r>
        <w:t xml:space="preserve"> </w:t>
      </w:r>
      <w:r>
        <w:t xml:space="preserve">used to set the commercial expectation.</w:t>
      </w:r>
    </w:p>
    <w:p>
      <w:pPr>
        <w:pStyle w:val="BodyText"/>
      </w:pPr>
      <w:r>
        <w:t xml:space="preserve">The feed may not be representative. If the material available for the study differs from</w:t>
      </w:r>
      <w:r>
        <w:t xml:space="preserve"> </w:t>
      </w:r>
      <w:r>
        <w:t xml:space="preserve">routine post-filtration pool in its aggregate content, the comparison of pool against feed</w:t>
      </w:r>
      <w:r>
        <w:t xml:space="preserve"> </w:t>
      </w:r>
      <w:r>
        <w:t xml:space="preserve">within a run remains valid, but the absolute levels reported are not those of a routine batch.</w:t>
      </w:r>
      <w:r>
        <w:t xml:space="preserve"> </w:t>
      </w:r>
      <w:r>
        <w:t xml:space="preserve">The response is to draw the feed from set-point runs of the preceding steps (§5.2) and to</w:t>
      </w:r>
      <w:r>
        <w:t xml:space="preserve"> </w:t>
      </w:r>
      <w:r>
        <w:t xml:space="preserve">report the measured feed state for every run.</w:t>
      </w:r>
    </w:p>
    <w:p>
      <w:pPr>
        <w:pStyle w:val="BodyText"/>
      </w:pPr>
      <w:r>
        <w:t xml:space="preserve">Assay variability may mask a small change. The intermediate precision of a method sets the</w:t>
      </w:r>
      <w:r>
        <w:t xml:space="preserve"> </w:t>
      </w:r>
      <w:r>
        <w:t xml:space="preserve">smallest change that can be attributed to a parameter, and a change smaller than that is</w:t>
      </w:r>
      <w:r>
        <w:t xml:space="preserve"> </w:t>
      </w:r>
      <w:r>
        <w:t xml:space="preserve">reported as lying within assay variability and not as an effect (§5.5). This risk is greatest</w:t>
      </w:r>
      <w:r>
        <w:t xml:space="preserve"> </w:t>
      </w:r>
      <w:r>
        <w:t xml:space="preserve">for aggregate, which is the attribute the study is most concerned with and which is present at</w:t>
      </w:r>
      <w:r>
        <w:t xml:space="preserve"> </w:t>
      </w:r>
      <w:r>
        <w:t xml:space="preserve">low levels.</w:t>
      </w:r>
    </w:p>
    <w:p>
      <w:pPr>
        <w:pStyle w:val="BodyText"/>
      </w:pPr>
      <w:r>
        <w:t xml:space="preserve">The plan makes three assumptions. Platform behaviour transfers from the earlier antibodies</w:t>
      </w:r>
      <w:r>
        <w:t xml:space="preserve"> </w:t>
      </w:r>
      <w:r>
        <w:t xml:space="preserve">(X-Mab, Y-Mab and Z-Mab) to A-Mab, because the membrane chemistry, the operating sequence and</w:t>
      </w:r>
      <w:r>
        <w:t xml:space="preserve"> </w:t>
      </w:r>
      <w:r>
        <w:t xml:space="preserve">the molecule class are the same. The parameter list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is complete for this step, which is the position</w:t>
      </w:r>
      <w:r>
        <w:t xml:space="preserve"> </w:t>
      </w:r>
      <w:r>
        <w:t xml:space="preserve">RA-001 reached. The attributes carried into the step are within their acceptance criteria when</w:t>
      </w:r>
      <w:r>
        <w:t xml:space="preserve"> </w:t>
      </w:r>
      <w:r>
        <w:t xml:space="preserve">it begins, which is established by the plans and reports for the steps before it and not by</w:t>
      </w:r>
      <w:r>
        <w:t xml:space="preserve"> </w:t>
      </w:r>
      <w:r>
        <w:t xml:space="preserve">this study.</w:t>
      </w:r>
    </w:p>
    <w:bookmarkEnd w:id="40"/>
    <w:bookmarkStart w:id="41" w:name="approvals-1"/>
    <w:p>
      <w:pPr>
        <w:pStyle w:val="Heading1"/>
      </w:pPr>
      <w:r>
        <w:t xml:space="preserve">13. Approvals</w:t>
      </w:r>
    </w:p>
    <w:p>
      <w:pPr>
        <w:pStyle w:val="FirstParagraph"/>
      </w:pPr>
      <w:r>
        <w:t xml:space="preserve">This plan takes effect when the functions listed in the approval record at the front of the</w:t>
      </w:r>
      <w:r>
        <w:t xml:space="preserve"> </w:t>
      </w:r>
      <w:r>
        <w:t xml:space="preserve">document have approved it. Approval signifies agreement with the study design in §6, the</w:t>
      </w:r>
      <w:r>
        <w:t xml:space="preserve"> </w:t>
      </w:r>
      <w:r>
        <w:t xml:space="preserve">acceptance and decision criteria in §7 and the planned analysis in §8. A change to any of</w:t>
      </w:r>
      <w:r>
        <w:t xml:space="preserve"> </w:t>
      </w:r>
      <w:r>
        <w:t xml:space="preserve">these after approval requires a revision of this plan, or a documented departure reported in</w:t>
      </w:r>
      <w:r>
        <w:t xml:space="preserve"> </w:t>
      </w:r>
      <w:r>
        <w:t xml:space="preserve">PCR-010.</w:t>
      </w:r>
    </w:p>
    <w:bookmarkEnd w:id="41"/>
    <w:bookmarkStart w:id="43" w:name="Xce476876e20de3e1e74f902c0005b1f6e56d665"/>
    <w:p>
      <w:pPr>
        <w:pStyle w:val="Heading1"/>
      </w:pPr>
      <w:r>
        <w:t xml:space="preserve">14. Appendix A — Planned univariate evaluation schedule</w:t>
      </w:r>
    </w:p>
    <w:p>
      <w:pPr>
        <w:pStyle w:val="FirstParagraph"/>
      </w:pPr>
      <w:r>
        <w:t xml:space="preserve">The schedule below gives the levels at which each parameter will be run. The other parameters</w:t>
      </w:r>
      <w:r>
        <w:t xml:space="preserve"> </w:t>
      </w:r>
      <w:r>
        <w:t xml:space="preserve">are held at their set-points for every level of the parameter under study, and the reference</w:t>
      </w:r>
      <w:r>
        <w:t xml:space="preserve"> </w:t>
      </w:r>
      <w:r>
        <w:t xml:space="preserve">column is the condition against which the levels of that parameter are compared. That</w:t>
      </w:r>
      <w:r>
        <w:t xml:space="preserve"> </w:t>
      </w:r>
      <w:r>
        <w:t xml:space="preserve">reference condition is the same for every row, and it is executed once for each of them, so</w:t>
      </w:r>
      <w:r>
        <w:t xml:space="preserve"> </w:t>
      </w:r>
      <w:r>
        <w:t xml:space="preserve">those runs are replicates of a single condition and the resulting run count is given in §6.2.</w:t>
      </w:r>
      <w:r>
        <w:t xml:space="preserve"> </w:t>
      </w:r>
      <w:r>
        <w:t xml:space="preserve">The table contains no results.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Planned evaluation levels, with the reference condition and the normal operating range.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88"/>
              <w:gridCol w:w="696"/>
              <w:gridCol w:w="1131"/>
              <w:gridCol w:w="2175"/>
              <w:gridCol w:w="1218"/>
              <w:gridCol w:w="60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 level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Reference (set-point)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level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Number of diavolumes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7–9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Transmembrane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DS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70–80</w:t>
                  </w:r>
                </w:p>
              </w:tc>
            </w:tr>
          </w:tbl>
          <w:bookmarkEnd w:id="42"/>
          <w:p/>
        </w:tc>
      </w:tr>
    </w:tbl>
    <w:bookmarkEnd w:id="43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Start w:id="44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44"/>
    <w:bookmarkStart w:id="45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45"/>
    <w:bookmarkStart w:id="46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46"/>
    <w:bookmarkStart w:id="47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47"/>
    <w:bookmarkStart w:id="48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48"/>
    <w:bookmarkStart w:id="49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2026-08-02T19:05:42Z</dcterms:created>
  <dcterms:modified xsi:type="dcterms:W3CDTF">2026-08-02T19:05:42Z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Ultrafiltration / Diafiltration (Step 10) — PCP-010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