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26.png" ContentType="image/png"/>
  <Override PartName="/word/media/rId53.png" ContentType="image/png"/>
  <Override PartName="/word/media/rId57.png" ContentType="image/png"/>
  <Override PartName="/word/media/rId61.png" ContentType="image/png"/>
  <Override PartName="/word/media/rId87.png" ContentType="image/png"/>
  <Override PartName="/word/media/rId75.png" ContentType="image/png"/>
  <Override PartName="/word/media/rId91.png" ContentType="image/png"/>
  <Override PartName="/word/media/rId79.png" ContentType="image/png"/>
  <Override PartName="/word/media/rId8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Production Bioreactor (Step 3) — PCR-003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Production Bioreactor (Step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2-AB, 2-aminobenzamide; AMV, analytical method validation; ANOVA, analysis of variance;</w:t>
      </w:r>
      <w:r>
        <w:t xml:space="preserve"> </w:t>
      </w:r>
      <w:r>
        <w:t xml:space="preserve">Cpk, process capability index (one sided); CPP, critical process parameter; CQA, critical</w:t>
      </w:r>
      <w:r>
        <w:t xml:space="preserve"> </w:t>
      </w:r>
      <w:r>
        <w:t xml:space="preserve">quality attribute; CV, coefficient of variation; GPP, general process parameter; HCP, host</w:t>
      </w:r>
      <w:r>
        <w:t xml:space="preserve"> </w:t>
      </w:r>
      <w:r>
        <w:t xml:space="preserve">cell protein; HILIC, hydrophilic interaction liquid chromatography; HMW, high molecular</w:t>
      </w:r>
      <w:r>
        <w:t xml:space="preserve"> </w:t>
      </w:r>
      <w:r>
        <w:t xml:space="preserve">weight; icIEF, imaged capillary isoelectric focusing; IgG1, immunoglobulin G subclass 1;</w:t>
      </w:r>
      <w:r>
        <w:t xml:space="preserve"> </w:t>
      </w:r>
      <w:r>
        <w:t xml:space="preserve">KPP, key process parameter; LOQ, limit of quantitation; MSAT, Manufacturing Science and</w:t>
      </w:r>
      <w:r>
        <w:t xml:space="preserve"> </w:t>
      </w:r>
      <w:r>
        <w:t xml:space="preserve">Technology; NOR, normal operating range; PAR, proven acceptable range; pCO₂, dissolved</w:t>
      </w:r>
      <w:r>
        <w:t xml:space="preserve"> </w:t>
      </w:r>
      <w:r>
        <w:t xml:space="preserve">carbon dioxide partial pressure; qPCR, quantitative polymerase chain reaction; RMSE, root</w:t>
      </w:r>
      <w:r>
        <w:t xml:space="preserve"> </w:t>
      </w:r>
      <w:r>
        <w:t xml:space="preserve">mean square error; RSD, relative standard deviation; RSM, response surface methodology;</w:t>
      </w:r>
      <w:r>
        <w:t xml:space="preserve"> </w:t>
      </w:r>
      <w:r>
        <w:t xml:space="preserve">SEC, size exclusion chromatography; SOP, standard operating procedure; UPLC, ultra</w:t>
      </w:r>
      <w:r>
        <w:t xml:space="preserve"> </w:t>
      </w:r>
      <w:r>
        <w:t xml:space="preserve">performance liquid chromatography; VCD, viable cell density; WC-CPP, well-controlled</w:t>
      </w:r>
      <w:r>
        <w:t xml:space="preserve"> </w:t>
      </w:r>
      <w:r>
        <w:t xml:space="preserve">critical process parameter.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The production bioreactor is characterized, and the multivariate region defined in this</w:t>
      </w:r>
      <w:r>
        <w:t xml:space="preserve"> </w:t>
      </w:r>
      <w:r>
        <w:t xml:space="preserve">report supports the operating ranges proposed for commercial manufacture. A-Mab is</w:t>
      </w:r>
      <w:r>
        <w:t xml:space="preserve"> </w:t>
      </w:r>
      <w:r>
        <w:t xml:space="preserve">produced by fed-batch culture of a humanized IgG1 cell line at a working volume of</w:t>
      </w:r>
      <w:r>
        <w:t xml:space="preserve"> </w:t>
      </w:r>
      <w:r>
        <w:t xml:space="preserve">15,000 L. The step establishes the glycan, charge</w:t>
      </w:r>
      <w:r>
        <w:t xml:space="preserve"> </w:t>
      </w:r>
      <w:r>
        <w:t xml:space="preserve">variant and aggregate attributes of the drug substance, so it carries most of the</w:t>
      </w:r>
      <w:r>
        <w:t xml:space="preserve"> </w:t>
      </w:r>
      <w:r>
        <w:t xml:space="preserve">product-quality risk in the upstream process. The studies were executed on a qualified</w:t>
      </w:r>
      <w:r>
        <w:t xml:space="preserve"> </w:t>
      </w:r>
      <w:r>
        <w:t xml:space="preserve">scale-down model under the paired protocol PCP-003, following the lifecycle approach to</w:t>
      </w:r>
      <w:r>
        <w:t xml:space="preserve"> </w:t>
      </w:r>
      <w:r>
        <w:t xml:space="preserve">process validation</w:t>
      </w:r>
      <w:r>
        <w:t xml:space="preserve"> </w:t>
      </w:r>
      <w:r>
        <w:t xml:space="preserve">(U.S. Food and Drug Administration 2011)</w:t>
      </w:r>
      <w:r>
        <w:t xml:space="preserve">, the enhanced development approach of ICH Q8 and ICH Q11</w:t>
      </w:r>
      <w:r>
        <w:t xml:space="preserve"> </w:t>
      </w:r>
      <w:r>
        <w:t xml:space="preserve">(International Council for Harmonisation 2009, 2012)</w:t>
      </w:r>
      <w:r>
        <w:t xml:space="preserve">, and the quality-attribute and risk framework of the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The study carried 9 parameters, on the risk basis established in RA-001.</w:t>
      </w:r>
      <w:r>
        <w:t xml:space="preserve"> </w:t>
      </w:r>
      <w:r>
        <w:t xml:space="preserve">Of those, 5 were studied multivariately, in a screening design of</w:t>
      </w:r>
      <w:r>
        <w:t xml:space="preserve"> </w:t>
      </w:r>
      <w:r>
        <w:t xml:space="preserve">19 runs followed by a response-surface design of 28 runs, and</w:t>
      </w:r>
      <w:r>
        <w:t xml:space="preserve"> </w:t>
      </w:r>
      <w:r>
        <w:t xml:space="preserve">the remaining 4 were assessed one at a time. The screening design identified</w:t>
      </w:r>
      <w:r>
        <w:t xml:space="preserve"> </w:t>
      </w:r>
      <w:r>
        <w:t xml:space="preserve">the active factors. The response-surface model is the predictive model and the basis of the</w:t>
      </w:r>
      <w:r>
        <w:t xml:space="preserve"> </w:t>
      </w:r>
      <w:r>
        <w:t xml:space="preserve">design space, and it accounts for between 91.1% and</w:t>
      </w:r>
      <w:r>
        <w:t xml:space="preserve"> </w:t>
      </w:r>
      <w:r>
        <w:t xml:space="preserve">97.1% of the observed variation in the 5 measured</w:t>
      </w:r>
      <w:r>
        <w:t xml:space="preserve"> </w:t>
      </w:r>
      <w:r>
        <w:t xml:space="preserve">attributes, with lack of fit not significant for any of them.</w:t>
      </w:r>
    </w:p>
    <w:p>
      <w:pPr>
        <w:pStyle w:val="BodyText"/>
      </w:pPr>
      <w:r>
        <w:t xml:space="preserve">One corner of the characterized region is excluded from the design space. With culture pH,</w:t>
      </w:r>
      <w:r>
        <w:t xml:space="preserve"> </w:t>
      </w:r>
      <w:r>
        <w:t xml:space="preserve">culture duration and pCO₂ all at their low edges and culture temperature at its high edge,</w:t>
      </w:r>
      <w:r>
        <w:t xml:space="preserve"> </w:t>
      </w:r>
      <w:r>
        <w:t xml:space="preserve">the fitted model predicts galactosylation of 40.27 %,</w:t>
      </w:r>
      <w:r>
        <w:t xml:space="preserve"> </w:t>
      </w:r>
      <w:r>
        <w:t xml:space="preserve">which is 0.27 percentage points above the upper acceptance limit of</w:t>
      </w:r>
      <w:r>
        <w:t xml:space="preserve"> </w:t>
      </w:r>
      <w:r>
        <w:t xml:space="preserve">40 %. That exclusion covers 3 of the</w:t>
      </w:r>
      <w:r>
        <w:t xml:space="preserve"> </w:t>
      </w:r>
      <w:r>
        <w:t xml:space="preserve">194,481 grid points examined across the four response-surface factors.</w:t>
      </w:r>
      <w:r>
        <w:t xml:space="preserve"> </w:t>
      </w:r>
      <w:r>
        <w:t xml:space="preserve">Across the 16 corners of the normal operating ranges the highest</w:t>
      </w:r>
      <w:r>
        <w:t xml:space="preserve"> </w:t>
      </w:r>
      <w:r>
        <w:t xml:space="preserve">predicted value of the same attribute is 31.8 %, which leaves</w:t>
      </w:r>
      <w:r>
        <w:t xml:space="preserve"> </w:t>
      </w:r>
      <w:r>
        <w:t xml:space="preserve">8.2 percentage points to the limit. The design space is the</w:t>
      </w:r>
      <w:r>
        <w:t xml:space="preserve"> </w:t>
      </w:r>
      <w:r>
        <w:t xml:space="preserve">characterized region with that one corner removed, and the normal operating ranges sit well</w:t>
      </w:r>
      <w:r>
        <w:t xml:space="preserve"> </w:t>
      </w:r>
      <w:r>
        <w:t xml:space="preserve">inside it.</w:t>
      </w:r>
    </w:p>
    <w:p>
      <w:pPr>
        <w:pStyle w:val="BodyText"/>
      </w:pPr>
      <w:r>
        <w:t xml:space="preserve">Commercial-scale capability was estimated from 2,000</w:t>
      </w:r>
      <w:r>
        <w:t xml:space="preserve"> </w:t>
      </w:r>
      <w:r>
        <w:t xml:space="preserve">simulated batches with every parameter varying inside its normal operating range. All seven</w:t>
      </w:r>
      <w:r>
        <w:t xml:space="preserve"> </w:t>
      </w:r>
      <w:r>
        <w:t xml:space="preserve">attributes the step sets meet their acceptance criteria. High Mannose carries the</w:t>
      </w:r>
      <w:r>
        <w:t xml:space="preserve"> </w:t>
      </w:r>
      <w:r>
        <w:t xml:space="preserve">tightest capability, with a one-sided Cpk of 1.94 and</w:t>
      </w:r>
      <w:r>
        <w:t xml:space="preserve"> </w:t>
      </w:r>
      <w:r>
        <w:t xml:space="preserve">2.99 percentage points between the predicted mean and the</w:t>
      </w:r>
      <w:r>
        <w:t xml:space="preserve"> </w:t>
      </w:r>
      <w:r>
        <w:t xml:space="preserve">binding lower limit. Two deviations were recorded during execution</w:t>
      </w:r>
      <w:r>
        <w:t xml:space="preserve"> </w:t>
      </w:r>
      <w:r>
        <w:t xml:space="preserve">(§13). Both were investigated, impact assessed and retained, and neither changed a</w:t>
      </w:r>
      <w:r>
        <w:t xml:space="preserve"> </w:t>
      </w:r>
      <w:r>
        <w:t xml:space="preserve">parameter classification or the boundaries of the operating region.</w:t>
      </w:r>
    </w:p>
    <w:p>
      <w:pPr>
        <w:pStyle w:val="BodyText"/>
      </w:pPr>
      <w:r>
        <w:t xml:space="preserve">The step does not control host cell protein, residual DNA or aggregate at the drug</w:t>
      </w:r>
      <w:r>
        <w:t xml:space="preserve"> </w:t>
      </w:r>
      <w:r>
        <w:t xml:space="preserve">substance on its own. Those attributes are generated in the culture and are then reduced by</w:t>
      </w:r>
      <w:r>
        <w:t xml:space="preserve"> </w:t>
      </w:r>
      <w:r>
        <w:t xml:space="preserve">the purification train, and the clearance credited to the downstream steps is reported in</w:t>
      </w:r>
      <w:r>
        <w:t xml:space="preserve"> </w:t>
      </w:r>
      <w:r>
        <w:t xml:space="preserve">PCR-005, PCR-007 and PCR-008. The capability figures given here rest on a qualified</w:t>
      </w:r>
      <w:r>
        <w:t xml:space="preserve"> </w:t>
      </w:r>
      <w:r>
        <w:t xml:space="preserve">scale-down model with all parameters held inside their normal operating ranges. They are</w:t>
      </w:r>
      <w:r>
        <w:t xml:space="preserve"> </w:t>
      </w:r>
      <w:r>
        <w:t xml:space="preserve">not a commercial-scale confirmation, which is the object of the process performance</w:t>
      </w:r>
      <w:r>
        <w:t xml:space="preserve"> </w:t>
      </w:r>
      <w:r>
        <w:t xml:space="preserve">qualification. This report rolls up into PCMR-001.</w: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bookmarkStart w:id="14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IgG1 monoclonal antibody produced in a recombinant mammalian cell</w:t>
      </w:r>
      <w:r>
        <w:t xml:space="preserve"> </w:t>
      </w:r>
      <w:r>
        <w:t xml:space="preserve">line. Its primary mechanism of action is antibody dependent cellular cytotoxicity, so the</w:t>
      </w:r>
      <w:r>
        <w:t xml:space="preserve"> </w:t>
      </w:r>
      <w:r>
        <w:t xml:space="preserve">N-linked glycan profile of the molecule is directly linked to efficacy and is treated as a</w:t>
      </w:r>
      <w:r>
        <w:t xml:space="preserve"> </w:t>
      </w:r>
      <w:r>
        <w:t xml:space="preserve">set of critical quality attributes throughout development</w:t>
      </w:r>
      <w:r>
        <w:t xml:space="preserve"> </w:t>
      </w:r>
      <w:r>
        <w:t xml:space="preserve">(CMC Biotech Working Group 2009)</w:t>
      </w:r>
      <w:r>
        <w:t xml:space="preserve">. The drug substance</w:t>
      </w:r>
      <w:r>
        <w:t xml:space="preserve"> </w:t>
      </w:r>
      <w:r>
        <w:t xml:space="preserve">process is a platform process, and its unit operations and their principal roles are given</w:t>
      </w:r>
      <w:r>
        <w:t xml:space="preserve"> </w:t>
      </w:r>
      <w:r>
        <w:t xml:space="preserve">in</w:t>
      </w:r>
      <w:r>
        <w:t xml:space="preserve"> </w:t>
      </w:r>
      <w:hyperlink w:anchor="tbl-steps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te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drug substance process train, with the principal role of each unit operation in the control strategy.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The production bioreactor is the only step of the drug substance process at which product</w:t>
      </w:r>
      <w:r>
        <w:t xml:space="preserve"> </w:t>
      </w:r>
      <w:r>
        <w:t xml:space="preserve">quality attributes are formed. The glycosylation and charge variant distributions are</w:t>
      </w:r>
      <w:r>
        <w:t xml:space="preserve"> </w:t>
      </w:r>
      <w:r>
        <w:t xml:space="preserve">established inside the cell and in the culture fluid, and the platform purification train</w:t>
      </w:r>
      <w:r>
        <w:t xml:space="preserve"> </w:t>
      </w:r>
      <w:r>
        <w:t xml:space="preserve">does not modify them. Protein A capture, cation exchange and anion exchange chromatography</w:t>
      </w:r>
      <w:r>
        <w:t xml:space="preserve"> </w:t>
      </w:r>
      <w:r>
        <w:t xml:space="preserve">separate on affinity and on charge, and none of them discriminates between the glycoforms</w:t>
      </w:r>
      <w:r>
        <w:t xml:space="preserve"> </w:t>
      </w:r>
      <w:r>
        <w:t xml:space="preserve">of an intact antibody. What the downstream steps do is remove process impurities and reduce</w:t>
      </w:r>
      <w:r>
        <w:t xml:space="preserve"> </w:t>
      </w:r>
      <w:r>
        <w:t xml:space="preserve">the aggregate that leaves the bioreactor, and that clearance is characterized in the</w:t>
      </w:r>
      <w:r>
        <w:t xml:space="preserve"> </w:t>
      </w:r>
      <w:r>
        <w:t xml:space="preserve">reports for those steps.</w:t>
      </w:r>
    </w:p>
    <w:p>
      <w:pPr>
        <w:pStyle w:val="BodyText"/>
      </w:pPr>
      <w:r>
        <w:t xml:space="preserve">The step is operated as a fed-batch culture at a working volume of</w:t>
      </w:r>
      <w:r>
        <w:t xml:space="preserve"> </w:t>
      </w:r>
      <w:r>
        <w:t xml:space="preserve">15,000 L, with pH, temperature and dissolved oxygen</w:t>
      </w:r>
      <w:r>
        <w:t xml:space="preserve"> </w:t>
      </w:r>
      <w:r>
        <w:t xml:space="preserve">under closed-loop control, pCO₂ monitored continuously, and nutrient feed delivered on a</w:t>
      </w:r>
      <w:r>
        <w:t xml:space="preserve"> </w:t>
      </w:r>
      <w:r>
        <w:t xml:space="preserve">fixed schedule. At the</w:t>
      </w:r>
      <w:r>
        <w:t xml:space="preserve"> </w:t>
      </w:r>
      <w:r>
        <w:t xml:space="preserve">nominal set-point the culture reaches a peak viable cell density of</w:t>
      </w:r>
      <w:r>
        <w:t xml:space="preserve"> </w:t>
      </w:r>
      <w:r>
        <w:t xml:space="preserve">13.5 × 10⁶ cells/mL and is harvested at a viability of</w:t>
      </w:r>
      <w:r>
        <w:t xml:space="preserve"> </w:t>
      </w:r>
      <w:r>
        <w:t xml:space="preserve">67 % after</w:t>
      </w:r>
      <w:r>
        <w:t xml:space="preserve"> </w:t>
      </w:r>
      <w:r>
        <w:t xml:space="preserve">17 days, giving a titre of</w:t>
      </w:r>
      <w:r>
        <w:t xml:space="preserve"> </w:t>
      </w:r>
      <w:r>
        <w:t xml:space="preserve">4.37 g/L and</w:t>
      </w:r>
      <w:r>
        <w:t xml:space="preserve"> </w:t>
      </w:r>
      <w:r>
        <w:t xml:space="preserve">66 kg of antibody in the harvested culture fluid.</w:t>
      </w:r>
      <w:r>
        <w:t xml:space="preserve"> </w:t>
      </w:r>
      <w:r>
        <w:t xml:space="preserve">The five attributes measured across the characterization studies are afucosylation,</w:t>
      </w:r>
      <w:r>
        <w:t xml:space="preserve"> </w:t>
      </w:r>
      <w:r>
        <w:t xml:space="preserve">galactosylation, high mannose, acidic charge variants and high molecular weight aggregate.</w:t>
      </w:r>
      <w:r>
        <w:t xml:space="preserve"> </w:t>
      </w:r>
      <w:r>
        <w:t xml:space="preserve">Host cell protein and residual DNA are also generated here, and both are governed at the</w:t>
      </w:r>
      <w:r>
        <w:t xml:space="preserve"> </w:t>
      </w:r>
      <w:r>
        <w:t xml:space="preserve">drug substance by downstream clearance as much as by culture conditions.</w:t>
      </w:r>
    </w:p>
    <w:bookmarkEnd w:id="14"/>
    <w:bookmarkStart w:id="15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This report presents the executed characterization of the production bioreactor against the</w:t>
      </w:r>
      <w:r>
        <w:t xml:space="preserve"> </w:t>
      </w:r>
      <w:r>
        <w:t xml:space="preserve">objectives set in PCP-003. Those objectives were:</w:t>
      </w:r>
    </w:p>
    <w:p>
      <w:pPr>
        <w:pStyle w:val="Compact"/>
        <w:numPr>
          <w:ilvl w:val="0"/>
          <w:numId w:val="1001"/>
        </w:numPr>
      </w:pPr>
      <w:r>
        <w:t xml:space="preserve">to quantify the relationship between each studied process parameter and the quality</w:t>
      </w:r>
      <w:r>
        <w:t xml:space="preserve"> </w:t>
      </w:r>
      <w:r>
        <w:t xml:space="preserve">attributes the step forms, across ranges wider than the intended operating ranges;</w:t>
      </w:r>
    </w:p>
    <w:p>
      <w:pPr>
        <w:pStyle w:val="Compact"/>
        <w:numPr>
          <w:ilvl w:val="0"/>
          <w:numId w:val="1001"/>
        </w:numPr>
      </w:pPr>
      <w:r>
        <w:t xml:space="preserve">to define a multivariate operating region over the well-controlled culture parameters</w:t>
      </w:r>
      <w:r>
        <w:t xml:space="preserve"> </w:t>
      </w:r>
      <w:r>
        <w:t xml:space="preserve">in which every attribute in scope remains within its acceptance criterion;</w:t>
      </w:r>
    </w:p>
    <w:p>
      <w:pPr>
        <w:pStyle w:val="Compact"/>
        <w:numPr>
          <w:ilvl w:val="0"/>
          <w:numId w:val="1001"/>
        </w:numPr>
      </w:pPr>
      <w:r>
        <w:t xml:space="preserve">to establish proven acceptable ranges for each parameter against each attribute it</w:t>
      </w:r>
      <w:r>
        <w:t xml:space="preserve"> </w:t>
      </w:r>
      <w:r>
        <w:t xml:space="preserve">governs, both at the set-point and under normal operating variation of the other</w:t>
      </w:r>
      <w:r>
        <w:t xml:space="preserve"> </w:t>
      </w:r>
      <w:r>
        <w:t xml:space="preserve">parameters;</w:t>
      </w:r>
    </w:p>
    <w:p>
      <w:pPr>
        <w:pStyle w:val="Compact"/>
        <w:numPr>
          <w:ilvl w:val="0"/>
          <w:numId w:val="1001"/>
        </w:numPr>
      </w:pPr>
      <w:r>
        <w:t xml:space="preserve">to classify every parameter carried into the study according to the decision logic of</w:t>
      </w:r>
      <w:r>
        <w:t xml:space="preserve"> </w:t>
      </w:r>
      <w:r>
        <w:t xml:space="preserve">SOP-4001, on the basis of the demonstrated effects and the risk of leaving the</w:t>
      </w:r>
      <w:r>
        <w:t xml:space="preserve"> </w:t>
      </w:r>
      <w:r>
        <w:t xml:space="preserve">operating region; and</w:t>
      </w:r>
    </w:p>
    <w:p>
      <w:pPr>
        <w:pStyle w:val="Compact"/>
        <w:numPr>
          <w:ilvl w:val="0"/>
          <w:numId w:val="1001"/>
        </w:numPr>
      </w:pPr>
      <w:r>
        <w:t xml:space="preserve">to justify the ranges and controls carried forward into Stage 2 and into the overall</w:t>
      </w:r>
      <w:r>
        <w:t xml:space="preserve"> </w:t>
      </w:r>
      <w:r>
        <w:t xml:space="preserve">control strategy consolidated in PCMR-001.</w:t>
      </w:r>
    </w:p>
    <w:bookmarkEnd w:id="15"/>
    <w:bookmarkStart w:id="16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The study is a Stage 1 process design activity in the sense of the lifecycle approach to</w:t>
      </w:r>
      <w:r>
        <w:t xml:space="preserve"> </w:t>
      </w:r>
      <w:r>
        <w:t xml:space="preserve">process validation</w:t>
      </w:r>
      <w:r>
        <w:t xml:space="preserve"> </w:t>
      </w:r>
      <w:r>
        <w:t xml:space="preserve">(U.S. Food and Drug Administration 2011)</w:t>
      </w:r>
      <w:r>
        <w:t xml:space="preserve">. It follows the enhanced development approach described in</w:t>
      </w:r>
      <w:r>
        <w:t xml:space="preserve"> </w:t>
      </w:r>
      <w:r>
        <w:t xml:space="preserve">ICH Q8 and ICH Q11, in which prior knowledge and a formal risk assessment direct the</w:t>
      </w:r>
      <w:r>
        <w:t xml:space="preserve"> </w:t>
      </w:r>
      <w:r>
        <w:t xml:space="preserve">experimental work, and the outcome is an operating region and a control strategy rather</w:t>
      </w:r>
      <w:r>
        <w:t xml:space="preserve"> </w:t>
      </w:r>
      <w:r>
        <w:t xml:space="preserve">than a set of fixed points</w:t>
      </w:r>
      <w:r>
        <w:t xml:space="preserve"> </w:t>
      </w:r>
      <w:r>
        <w:t xml:space="preserve">(International Council for Harmonisation 2009, 2012)</w:t>
      </w:r>
      <w:r>
        <w:t xml:space="preserve">. Criticality is treated as a continuum, as</w:t>
      </w:r>
      <w:r>
        <w:t xml:space="preserve"> </w:t>
      </w:r>
      <w:r>
        <w:t xml:space="preserve">described in ICH Q9 and applied throughout the A-Mab case study, so an attribute is</w:t>
      </w:r>
      <w:r>
        <w:t xml:space="preserve"> </w:t>
      </w:r>
      <w:r>
        <w:t xml:space="preserve">assigned a level from very low to very high and the attributes at high and very high</w:t>
      </w:r>
      <w:r>
        <w:t xml:space="preserve"> </w:t>
      </w:r>
      <w:r>
        <w:t xml:space="preserve">criticality are called critical</w:t>
      </w:r>
      <w:r>
        <w:t xml:space="preserve"> </w:t>
      </w:r>
      <w:r>
        <w:t xml:space="preserve">(International Council for Harmonisation 2023b; CMC Biotech Working Group 2009)</w:t>
      </w:r>
      <w:r>
        <w:t xml:space="preserve">.</w:t>
      </w:r>
    </w:p>
    <w:p>
      <w:pPr>
        <w:pStyle w:val="BodyText"/>
      </w:pPr>
      <w:r>
        <w:t xml:space="preserve">No viral clearance claim is made for this step. The viral safety evaluation is modular and</w:t>
      </w:r>
      <w:r>
        <w:t xml:space="preserve"> </w:t>
      </w:r>
      <w:r>
        <w:t xml:space="preserve">rests on the low-pH inactivation, anion exchange and virus filtration steps, and it is</w:t>
      </w:r>
      <w:r>
        <w:t xml:space="preserve"> </w:t>
      </w:r>
      <w:r>
        <w:t xml:space="preserve">assessed under ICH Q5A in PCR-006, PCR-008 and PCR-009</w:t>
      </w:r>
      <w:r>
        <w:t xml:space="preserve"> </w:t>
      </w:r>
      <w:r>
        <w:t xml:space="preserve">(International Council for Harmonisation 2023a)</w:t>
      </w:r>
      <w:r>
        <w:t xml:space="preserve">. Nothing in this report</w:t>
      </w:r>
      <w:r>
        <w:t xml:space="preserve"> </w:t>
      </w:r>
      <w:r>
        <w:t xml:space="preserve">contributes to that claim.</w:t>
      </w:r>
    </w:p>
    <w:bookmarkEnd w:id="16"/>
    <w:bookmarkStart w:id="18" w:name="related-documents"/>
    <w:p>
      <w:pPr>
        <w:pStyle w:val="Heading2"/>
      </w:pPr>
      <w:r>
        <w:t xml:space="preserve">1.4 Related documents</w:t>
      </w:r>
    </w:p>
    <w:p>
      <w:pPr>
        <w:pStyle w:val="FirstParagraph"/>
      </w:pPr>
      <w:hyperlink w:anchor="tbl-relate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the documents this report depends on and the document it rolls up into.</w:t>
      </w:r>
      <w:r>
        <w:t xml:space="preserve"> </w:t>
      </w:r>
      <w:r>
        <w:t xml:space="preserve">PCP-003 is the approved protocol for the work reported here, and the two documents are read</w:t>
      </w:r>
      <w:r>
        <w:t xml:space="preserve"> </w:t>
      </w:r>
      <w:r>
        <w:t xml:space="preserve">together.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Related documents in the A-Mab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(Production Bioreactor (Step 3))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7"/>
          <w:p/>
        </w:tc>
      </w:tr>
    </w:tbl>
    <w:bookmarkEnd w:id="18"/>
    <w:bookmarkEnd w:id="19"/>
    <w:bookmarkStart w:id="24" w:name="prior-knowledge-and-quality-risk-basis"/>
    <w:p>
      <w:pPr>
        <w:pStyle w:val="Heading1"/>
      </w:pPr>
      <w:r>
        <w:t xml:space="preserve">2. Prior knowledge and quality risk basis</w:t>
      </w:r>
    </w:p>
    <w:bookmarkStart w:id="20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The fed-batch platform used for A-Mab has an extensive performance history. It has</w:t>
      </w:r>
      <w:r>
        <w:t xml:space="preserve"> </w:t>
      </w:r>
      <w:r>
        <w:t xml:space="preserve">supported three previous humanized IgG1 antibodies (X-Mab, Y-Mab and Z-Mab) through</w:t>
      </w:r>
      <w:r>
        <w:t xml:space="preserve"> </w:t>
      </w:r>
      <w:r>
        <w:t xml:space="preserve">clinical supply and commercial manufacture, and the medium, feed strategy and control</w:t>
      </w:r>
      <w:r>
        <w:t xml:space="preserve"> </w:t>
      </w:r>
      <w:r>
        <w:t xml:space="preserve">scheme carried into A-Mab are the platform ones</w:t>
      </w:r>
      <w:r>
        <w:t xml:space="preserve"> </w:t>
      </w:r>
      <w:r>
        <w:t xml:space="preserve">(CMC Biotech Working Group 2009)</w:t>
      </w:r>
      <w:r>
        <w:t xml:space="preserve">. The consequence for this study</w:t>
      </w:r>
      <w:r>
        <w:t xml:space="preserve"> </w:t>
      </w:r>
      <w:r>
        <w:t xml:space="preserve">is that the characterization confirms and bounds mechanisms that are already understood,</w:t>
      </w:r>
      <w:r>
        <w:t xml:space="preserve"> </w:t>
      </w:r>
      <w:r>
        <w:t xml:space="preserve">instead of discovering them. The acceptance limits for aggregate and for host cell protein</w:t>
      </w:r>
      <w:r>
        <w:t xml:space="preserve"> </w:t>
      </w:r>
      <w:r>
        <w:t xml:space="preserve">are themselves set from prior clinical experience with X-Mab.</w:t>
      </w:r>
    </w:p>
    <w:p>
      <w:pPr>
        <w:pStyle w:val="BodyText"/>
      </w:pPr>
      <w:r>
        <w:t xml:space="preserve">The platform establishes what each culture parameter is expected to do. Culture pH sets the</w:t>
      </w:r>
      <w:r>
        <w:t xml:space="preserve"> </w:t>
      </w:r>
      <w:r>
        <w:t xml:space="preserve">intracellular and Golgi pH, which governs the activity of the glycosyltransferases and the</w:t>
      </w:r>
      <w:r>
        <w:t xml:space="preserve"> </w:t>
      </w:r>
      <w:r>
        <w:t xml:space="preserve">fucosyltransferase, so pH is expected to move afucosylation, galactosylation and high</w:t>
      </w:r>
      <w:r>
        <w:t xml:space="preserve"> </w:t>
      </w:r>
      <w:r>
        <w:t xml:space="preserve">mannose together. Culture temperature changes cell-specific productivity and the residence</w:t>
      </w:r>
      <w:r>
        <w:t xml:space="preserve"> </w:t>
      </w:r>
      <w:r>
        <w:t xml:space="preserve">time of the molecule in the secretory pathway, so a lower temperature is expected to raise</w:t>
      </w:r>
      <w:r>
        <w:t xml:space="preserve"> </w:t>
      </w:r>
      <w:r>
        <w:t xml:space="preserve">terminal galactosylation. Dissolved carbon dioxide acidifies the intracellular compartment</w:t>
      </w:r>
      <w:r>
        <w:t xml:space="preserve"> </w:t>
      </w:r>
      <w:r>
        <w:t xml:space="preserve">and is expected to suppress galactosylation and, through the same route, the deamidation</w:t>
      </w:r>
      <w:r>
        <w:t xml:space="preserve"> </w:t>
      </w:r>
      <w:r>
        <w:t xml:space="preserve">that produces acidic charge variants. Osmolality acts on cell-specific productivity and on</w:t>
      </w:r>
      <w:r>
        <w:t xml:space="preserve"> </w:t>
      </w:r>
      <w:r>
        <w:t xml:space="preserve">the same enzymes, but more weakly. Culture duration acts through the decline in viability</w:t>
      </w:r>
      <w:r>
        <w:t xml:space="preserve"> </w:t>
      </w:r>
      <w:r>
        <w:t xml:space="preserve">that occurs late in a fed-batch culture, which releases intracellular enzymes and host cell</w:t>
      </w:r>
      <w:r>
        <w:t xml:space="preserve"> </w:t>
      </w:r>
      <w:r>
        <w:t xml:space="preserve">protein into the culture fluid and raises aggregate.</w:t>
      </w:r>
    </w:p>
    <w:p>
      <w:pPr>
        <w:pStyle w:val="BodyText"/>
      </w:pPr>
      <w:r>
        <w:t xml:space="preserve">Two of these expectations are not independent. pH and duration act on the same</w:t>
      </w:r>
      <w:r>
        <w:t xml:space="preserve"> </w:t>
      </w:r>
      <w:r>
        <w:t xml:space="preserve">glycosylation machinery at different points in the culture, so an interaction between them</w:t>
      </w:r>
      <w:r>
        <w:t xml:space="preserve"> </w:t>
      </w:r>
      <w:r>
        <w:t xml:space="preserve">was anticipated and was the main reason for taking the study beyond one factor at a time.</w:t>
      </w:r>
      <w:r>
        <w:t xml:space="preserve"> </w:t>
      </w:r>
      <w:r>
        <w:t xml:space="preserve">The study was designed to confirm or refute each of these expectations (§5.2), and §5.4</w:t>
      </w:r>
      <w:r>
        <w:t xml:space="preserve"> </w:t>
      </w:r>
      <w:r>
        <w:t xml:space="preserve">returns to them against the fitted models.</w:t>
      </w:r>
    </w:p>
    <w:bookmarkEnd w:id="20"/>
    <w:bookmarkStart w:id="22" w:name="quality-attributes-in-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The attributes this step sets are listed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with their acceptance criteria and</w:t>
      </w:r>
      <w:r>
        <w:t xml:space="preserve"> </w:t>
      </w:r>
      <w:r>
        <w:t xml:space="preserve">their assigned criticality. The Tool #1 score is the product of impact and uncertainty, and</w:t>
      </w:r>
      <w:r>
        <w:t xml:space="preserve"> </w:t>
      </w:r>
      <w:r>
        <w:t xml:space="preserve">the attributes scored high or very high are treated as critical</w:t>
      </w:r>
      <w:r>
        <w:t xml:space="preserve"> </w:t>
      </w:r>
      <w:r>
        <w:t xml:space="preserve">(CMC Biotech Working Group 2009)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set by the production bioreactor, with acceptance criteria and assigned criticality.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839"/>
              <w:gridCol w:w="1344"/>
              <w:gridCol w:w="1793"/>
              <w:gridCol w:w="1120"/>
              <w:gridCol w:w="8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High mannose carries the highest score in the table, because its impact on clearance and</w:t>
      </w:r>
      <w:r>
        <w:t xml:space="preserve"> </w:t>
      </w:r>
      <w:r>
        <w:t xml:space="preserve">its residual uncertainty are both high, and it is the only attribute of the seven at very</w:t>
      </w:r>
      <w:r>
        <w:t xml:space="preserve"> </w:t>
      </w:r>
      <w:r>
        <w:t xml:space="preserve">high criticality. Afucosylation and galactosylation follow, both linked to potency through</w:t>
      </w:r>
      <w:r>
        <w:t xml:space="preserve"> </w:t>
      </w:r>
      <w:r>
        <w:t xml:space="preserve">antibody dependent cellular cytotoxicity and complement dependent cytotoxicity. Aggregate</w:t>
      </w:r>
      <w:r>
        <w:t xml:space="preserve"> </w:t>
      </w:r>
      <w:r>
        <w:t xml:space="preserve">is critical on immunogenicity grounds. Acidic charge variants and residual DNA score low,</w:t>
      </w:r>
      <w:r>
        <w:t xml:space="preserve"> </w:t>
      </w:r>
      <w:r>
        <w:t xml:space="preserve">which reflects a well characterized structure-function relationship in the first case and a</w:t>
      </w:r>
      <w:r>
        <w:t xml:space="preserve"> </w:t>
      </w:r>
      <w:r>
        <w:t xml:space="preserve">very large clearance margin in the second. Host cell protein sits between the two groups.</w:t>
      </w:r>
    </w:p>
    <w:p>
      <w:pPr>
        <w:pStyle w:val="BodyText"/>
      </w:pPr>
      <w:r>
        <w:t xml:space="preserve">Three of the seven attributes are governed by more than one step. Aggregate leaving the</w:t>
      </w:r>
      <w:r>
        <w:t xml:space="preserve"> </w:t>
      </w:r>
      <w:r>
        <w:t xml:space="preserve">bioreactor is raised slightly during the low-pH hold and is then polished by cation</w:t>
      </w:r>
      <w:r>
        <w:t xml:space="preserve"> </w:t>
      </w:r>
      <w:r>
        <w:t xml:space="preserve">exchange, so the drug substance level reported in §8 is not attributable to culture</w:t>
      </w:r>
      <w:r>
        <w:t xml:space="preserve"> </w:t>
      </w:r>
      <w:r>
        <w:t xml:space="preserve">conditions alone (PCR-006, PCR-007). Host cell protein and residual DNA are generated in</w:t>
      </w:r>
      <w:r>
        <w:t xml:space="preserve"> </w:t>
      </w:r>
      <w:r>
        <w:t xml:space="preserve">the culture at levels several orders of magnitude above the drug substance criterion and</w:t>
      </w:r>
      <w:r>
        <w:t xml:space="preserve"> </w:t>
      </w:r>
      <w:r>
        <w:t xml:space="preserve">are cleared by Protein A, cation exchange and anion exchange (PCR-005, PCR-007, PCR-008).</w:t>
      </w:r>
      <w:r>
        <w:t xml:space="preserve"> </w:t>
      </w:r>
      <w:r>
        <w:t xml:space="preserve">This report characterizes the contribution the bioreactor makes to each of them, which is</w:t>
      </w:r>
      <w:r>
        <w:t xml:space="preserve"> </w:t>
      </w:r>
      <w:r>
        <w:t xml:space="preserve">the input level, and it makes no clearance claim.</w:t>
      </w:r>
    </w:p>
    <w:bookmarkEnd w:id="22"/>
    <w:bookmarkStart w:id="23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RA-001 assessed every parameter of this step before any characterization run was executed,</w:t>
      </w:r>
      <w:r>
        <w:t xml:space="preserve"> </w:t>
      </w:r>
      <w:r>
        <w:t xml:space="preserve">using the risk ranking and filtering method of the A-Mab case study. Each parameter was</w:t>
      </w:r>
      <w:r>
        <w:t xml:space="preserve"> </w:t>
      </w:r>
      <w:r>
        <w:t xml:space="preserve">scored on its potential impact on a quality attribute and on its potential to interact with</w:t>
      </w:r>
      <w:r>
        <w:t xml:space="preserve"> </w:t>
      </w:r>
      <w:r>
        <w:t xml:space="preserve">other parameters, and the score determined the type of study assigned to it</w:t>
      </w:r>
      <w:r>
        <w:t xml:space="preserve"> </w:t>
      </w:r>
      <w:r>
        <w:t xml:space="preserve">(CMC Biotech Working Group 2009; International Council for Harmonisation 2023b)</w:t>
      </w:r>
      <w:r>
        <w:t xml:space="preserve">. Parameters with a credible route to a quality attribute and a credible interaction</w:t>
      </w:r>
      <w:r>
        <w:t xml:space="preserve"> </w:t>
      </w:r>
      <w:r>
        <w:t xml:space="preserve">went into the multivariate design. Parameters whose expected effect is on process</w:t>
      </w:r>
      <w:r>
        <w:t xml:space="preserve"> </w:t>
      </w:r>
      <w:r>
        <w:t xml:space="preserve">performance and not on product quality were assigned to univariate study. No parameter</w:t>
      </w:r>
      <w:r>
        <w:t xml:space="preserve"> </w:t>
      </w:r>
      <w:r>
        <w:t xml:space="preserve">of this step was left unstudied.</w:t>
      </w:r>
    </w:p>
    <w:p>
      <w:pPr>
        <w:pStyle w:val="BodyText"/>
      </w:pPr>
      <w:r>
        <w:t xml:space="preserve">The assignment is reproduced in the classification table in §9, and the outcome was</w:t>
      </w:r>
      <w:r>
        <w:t xml:space="preserve"> </w:t>
      </w:r>
      <w:r>
        <w:t xml:space="preserve">5 multivariate parameters (culture pH, culture temperature, pCO₂,</w:t>
      </w:r>
      <w:r>
        <w:t xml:space="preserve"> </w:t>
      </w:r>
      <w:r>
        <w:t xml:space="preserve">osmolality and culture duration) and 4 univariate ones (dissolved oxygen,</w:t>
      </w:r>
      <w:r>
        <w:t xml:space="preserve"> </w:t>
      </w:r>
      <w:r>
        <w:t xml:space="preserve">initial viable cell concentration, basal medium concentration and nutrient feed-1 volume).</w:t>
      </w:r>
      <w:r>
        <w:t xml:space="preserve"> </w:t>
      </w:r>
      <w:r>
        <w:t xml:space="preserve">The five multivariate parameters are the ones the risk assessment linked to the glycan,</w:t>
      </w:r>
      <w:r>
        <w:t xml:space="preserve"> </w:t>
      </w:r>
      <w:r>
        <w:t xml:space="preserve">charge variant and aggregate attributes, and they are also the parameters for which prior</w:t>
      </w:r>
      <w:r>
        <w:t xml:space="preserve"> </w:t>
      </w:r>
      <w:r>
        <w:t xml:space="preserve">knowledge predicts interactions.</w:t>
      </w:r>
    </w:p>
    <w:p>
      <w:pPr>
        <w:pStyle w:val="BodyText"/>
      </w:pPr>
      <w:r>
        <w:t xml:space="preserve">The ranges studied are wider than the ranges the process will be run in. Each multivariate</w:t>
      </w:r>
      <w:r>
        <w:t xml:space="preserve"> </w:t>
      </w:r>
      <w:r>
        <w:t xml:space="preserve">characterization range is between 1.6 and</w:t>
      </w:r>
      <w:r>
        <w:t xml:space="preserve"> </w:t>
      </w:r>
      <w:r>
        <w:t xml:space="preserve">2.5 times the width of the corresponding normal operating range,</w:t>
      </w:r>
      <w:r>
        <w:t xml:space="preserve"> </w:t>
      </w:r>
      <w:r>
        <w:t xml:space="preserve">which follows the practice of carrying the study well beyond the control range so that the</w:t>
      </w:r>
      <w:r>
        <w:t xml:space="preserve"> </w:t>
      </w:r>
      <w:r>
        <w:t xml:space="preserve">edges of the region are probed and not assumed</w:t>
      </w:r>
      <w:r>
        <w:t xml:space="preserve"> </w:t>
      </w:r>
      <w:r>
        <w:t xml:space="preserve">(CMC Biotech Working Group 2009)</w:t>
      </w:r>
      <w:r>
        <w:t xml:space="preserve">. Two constraints</w:t>
      </w:r>
      <w:r>
        <w:t xml:space="preserve"> </w:t>
      </w:r>
      <w:r>
        <w:t xml:space="preserve">bounded the expansion. The low pH edge was set where the platform cell line begins to lose</w:t>
      </w:r>
      <w:r>
        <w:t xml:space="preserve"> </w:t>
      </w:r>
      <w:r>
        <w:t xml:space="preserve">viability late in culture, and the high duration edge was set by the harvest criteria in</w:t>
      </w:r>
      <w:r>
        <w:t xml:space="preserve"> </w:t>
      </w:r>
      <w:r>
        <w:t xml:space="preserve">SOP-2003, since a culture cannot be held past the point at which viability falls below the</w:t>
      </w:r>
      <w:r>
        <w:t xml:space="preserve"> </w:t>
      </w:r>
      <w:r>
        <w:t xml:space="preserve">harvest limit. The resulting ranges are the knowledge space for this step, and they are</w:t>
      </w:r>
      <w:r>
        <w:t xml:space="preserve"> </w:t>
      </w:r>
      <w:r>
        <w:t xml:space="preserve">listed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.</w:t>
      </w:r>
    </w:p>
    <w:bookmarkEnd w:id="23"/>
    <w:bookmarkEnd w:id="24"/>
    <w:bookmarkStart w:id="35" w:name="materials-and-methods"/>
    <w:p>
      <w:pPr>
        <w:pStyle w:val="Heading1"/>
      </w:pPr>
      <w:r>
        <w:t xml:space="preserve">3. Materials and methods</w:t>
      </w:r>
    </w:p>
    <w:bookmarkStart w:id="25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All characterization runs were executed on a qualified scale-down model of the commercial</w:t>
      </w:r>
      <w:r>
        <w:t xml:space="preserve"> </w:t>
      </w:r>
      <w:r>
        <w:t xml:space="preserve">bioreactor, and the warrant for applying the results to commercial scale rests on that</w:t>
      </w:r>
      <w:r>
        <w:t xml:space="preserve"> </w:t>
      </w:r>
      <w:r>
        <w:t xml:space="preserve">qualification. The scale-down system is a stirred-tank bioreactor of the same geometry and</w:t>
      </w:r>
      <w:r>
        <w:t xml:space="preserve"> </w:t>
      </w:r>
      <w:r>
        <w:t xml:space="preserve">with the same control capability as the commercial vessel, covering pH, dissolved oxygen,</w:t>
      </w:r>
      <w:r>
        <w:t xml:space="preserve"> </w:t>
      </w:r>
      <w:r>
        <w:t xml:space="preserve">temperature, agitation and nutrient addition. The scale-independent parameters (pH,</w:t>
      </w:r>
      <w:r>
        <w:t xml:space="preserve"> </w:t>
      </w:r>
      <w:r>
        <w:t xml:space="preserve">temperature, dissolved oxygen, initial viable cell concentration and culture duration) were</w:t>
      </w:r>
      <w:r>
        <w:t xml:space="preserve"> </w:t>
      </w:r>
      <w:r>
        <w:t xml:space="preserve">operated at the values proposed for commercial operation. The scale-dependent parameters</w:t>
      </w:r>
      <w:r>
        <w:t xml:space="preserve"> </w:t>
      </w:r>
      <w:r>
        <w:t xml:space="preserve">(agitation rate, gas flow rates, headspace pressure and working volume) were set so that</w:t>
      </w:r>
      <w:r>
        <w:t xml:space="preserve"> </w:t>
      </w:r>
      <w:r>
        <w:t xml:space="preserve">the scale-down system matched commercial-scale performance and not commercial-scale</w:t>
      </w:r>
      <w:r>
        <w:t xml:space="preserve"> </w:t>
      </w:r>
      <w:r>
        <w:t xml:space="preserve">settings, which is the standard approach for a stirred-tank culture and is the approach</w:t>
      </w:r>
      <w:r>
        <w:t xml:space="preserve"> </w:t>
      </w:r>
      <w:r>
        <w:t xml:space="preserve">described in the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Qualification followed SOP-1001. Replicate set-point runs on the scale-down system were</w:t>
      </w:r>
      <w:r>
        <w:t xml:space="preserve"> </w:t>
      </w:r>
      <w:r>
        <w:t xml:space="preserve">compared against commercial-scale engineering batches on the process performance</w:t>
      </w:r>
      <w:r>
        <w:t xml:space="preserve"> </w:t>
      </w:r>
      <w:r>
        <w:t xml:space="preserve">measures (peak viable cell density, harvest viability, titre) and on the full quality</w:t>
      </w:r>
      <w:r>
        <w:t xml:space="preserve"> </w:t>
      </w:r>
      <w:r>
        <w:t xml:space="preserve">panel, and the comparison and its acceptance criteria are reported in PCP-003. The model is</w:t>
      </w:r>
      <w:r>
        <w:t xml:space="preserve"> </w:t>
      </w:r>
      <w:r>
        <w:t xml:space="preserve">qualified for the ranges characterized here and for the cell line and medium used here. It</w:t>
      </w:r>
      <w:r>
        <w:t xml:space="preserve"> </w:t>
      </w:r>
      <w:r>
        <w:t xml:space="preserve">is not qualified for a change of medium platform, and any such change would require the</w:t>
      </w:r>
      <w:r>
        <w:t xml:space="preserve"> </w:t>
      </w:r>
      <w:r>
        <w:t xml:space="preserve">comparison to be repeated.</w:t>
      </w:r>
    </w:p>
    <w:p>
      <w:pPr>
        <w:pStyle w:val="BodyText"/>
      </w:pPr>
      <w:r>
        <w:t xml:space="preserve">The centre-point replicates executed within each design serve a second purpose. They give</w:t>
      </w:r>
      <w:r>
        <w:t xml:space="preserve"> </w:t>
      </w:r>
      <w:r>
        <w:t xml:space="preserve">an estimate of pure error that is independent of the fitted model, which is what makes the</w:t>
      </w:r>
      <w:r>
        <w:t xml:space="preserve"> </w:t>
      </w:r>
      <w:r>
        <w:t xml:space="preserve">lack-of-fit test in §5.3 a real test and not a restatement of the residual variance.</w:t>
      </w:r>
      <w:r>
        <w:t xml:space="preserve"> </w:t>
      </w:r>
      <w:r>
        <w:t xml:space="preserve">Their reproducibility is reported in §5.1.</w:t>
      </w:r>
    </w:p>
    <w:bookmarkEnd w:id="25"/>
    <w:bookmarkStart w:id="30" w:name="cell-line-media-and-culture-operation"/>
    <w:p>
      <w:pPr>
        <w:pStyle w:val="Heading2"/>
      </w:pPr>
      <w:r>
        <w:t xml:space="preserve">3.2 Cell line, media and culture operation</w:t>
      </w:r>
    </w:p>
    <w:p>
      <w:pPr>
        <w:pStyle w:val="FirstParagraph"/>
      </w:pPr>
      <w:r>
        <w:t xml:space="preserve">The production culture was operated per SOP-2003. Cells were expanded through the seed</w:t>
      </w:r>
      <w:r>
        <w:t xml:space="preserve"> </w:t>
      </w:r>
      <w:r>
        <w:t xml:space="preserve">train, inoculated into the production vessel at the target initial viable cell</w:t>
      </w:r>
      <w:r>
        <w:t xml:space="preserve"> </w:t>
      </w:r>
      <w:r>
        <w:t xml:space="preserve">concentration, and cultured in fed-batch mode with nutrient feed-1 delivered on the</w:t>
      </w:r>
      <w:r>
        <w:t xml:space="preserve"> </w:t>
      </w:r>
      <w:r>
        <w:t xml:space="preserve">platform schedule. Basal medium and feed were prepared per SOP-2004 from released lots.</w:t>
      </w:r>
      <w:r>
        <w:t xml:space="preserve"> </w:t>
      </w:r>
      <w:r>
        <w:t xml:space="preserve">Culture pH was controlled by carbon dioxide sparge and base addition, temperature by the</w:t>
      </w:r>
      <w:r>
        <w:t xml:space="preserve"> </w:t>
      </w:r>
      <w:r>
        <w:t xml:space="preserve">vessel jacket, and dissolved oxygen by a gas cascade (SOP-2003). Harvest was triggered by the culture</w:t>
      </w:r>
      <w:r>
        <w:t xml:space="preserve"> </w:t>
      </w:r>
      <w:r>
        <w:t xml:space="preserve">duration under study, subject to the viability floor in SOP-2003.</w:t>
      </w:r>
    </w:p>
    <w:p>
      <w:pPr>
        <w:pStyle w:val="BodyText"/>
      </w:pPr>
      <w:r>
        <w:t xml:space="preserve">Inputs that are controlled to a platform specification were not characterized here. The</w:t>
      </w:r>
      <w:r>
        <w:t xml:space="preserve"> </w:t>
      </w:r>
      <w:r>
        <w:t xml:space="preserve">working cell bank, the basal medium formulation, the feed formulation and the gas supplies</w:t>
      </w:r>
      <w:r>
        <w:t xml:space="preserve"> </w:t>
      </w:r>
      <w:r>
        <w:t xml:space="preserve">are identity tested and released against their specifications, and their control is a</w:t>
      </w:r>
      <w:r>
        <w:t xml:space="preserve"> </w:t>
      </w:r>
      <w:r>
        <w:t xml:space="preserve">control on materials and not a process parameter. The nominal fed-batch profile at the</w:t>
      </w:r>
      <w:r>
        <w:t xml:space="preserve"> </w:t>
      </w:r>
      <w:r>
        <w:t xml:space="preserve">set-point is shown in</w:t>
      </w:r>
      <w:r>
        <w:t xml:space="preserve"> </w:t>
      </w:r>
      <w:hyperlink w:anchor="fig-timecourse">
        <w:r>
          <w:rPr>
            <w:rStyle w:val="Hyperlink"/>
          </w:rPr>
          <w:t xml:space="preserve">Figure 1</w:t>
        </w:r>
      </w:hyperlink>
      <w:r>
        <w:t xml:space="preserve">, and it is the reference against which each designed</w:t>
      </w:r>
      <w:r>
        <w:t xml:space="preserve"> </w:t>
      </w:r>
      <w:r>
        <w:t xml:space="preserve">run was assessed for normal culture behaviour.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timecourse"/>
          <w:p>
            <w:pPr>
              <w:pStyle w:val="Compact"/>
              <w:jc w:val="center"/>
            </w:pPr>
            <w:r>
              <w:drawing>
                <wp:inline>
                  <wp:extent cx="5334000" cy="1538514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bioreactor_timecours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5385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Nominal production-bioreactor profile at the set-point: viable cell density, culture viability and product titre over the fed-batch culture.</w:t>
            </w:r>
          </w:p>
          <w:bookmarkEnd w:id="29"/>
        </w:tc>
      </w:tr>
    </w:tbl>
    <w:bookmarkEnd w:id="30"/>
    <w:bookmarkStart w:id="32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Every attribute reported here was measured by a validated method.</w:t>
      </w:r>
      <w:r>
        <w:t xml:space="preserve"> </w:t>
      </w:r>
      <w:hyperlink w:anchor="tbl-method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procedures and method validation reports that apply to this step.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Controlled procedures and validated analytical methods applied to the production bioreactor characterization.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The three glycan attributes were measured on a single released N-glycan map by 2-AB</w:t>
      </w:r>
      <w:r>
        <w:t xml:space="preserve"> </w:t>
      </w:r>
      <w:r>
        <w:t xml:space="preserve">labelled HILIC-UPLC (SOP-3010, AMV-3010), which reports afucosylation, galactosylation and</w:t>
      </w:r>
      <w:r>
        <w:t xml:space="preserve"> </w:t>
      </w:r>
      <w:r>
        <w:t xml:space="preserve">high mannose from one injection. Size variants were measured by SEC-HPLC (SOP-3011,</w:t>
      </w:r>
      <w:r>
        <w:t xml:space="preserve"> </w:t>
      </w:r>
      <w:r>
        <w:t xml:space="preserve">AMV-3011) and are reported as percent high molecular weight. Charge variants were measured</w:t>
      </w:r>
      <w:r>
        <w:t xml:space="preserve"> </w:t>
      </w:r>
      <w:r>
        <w:t xml:space="preserve">by icIEF (SOP-3013, AMV-3013) and are reported as the summed acidic peak area. Host cell</w:t>
      </w:r>
      <w:r>
        <w:t xml:space="preserve"> </w:t>
      </w:r>
      <w:r>
        <w:t xml:space="preserve">protein was measured by a platform ELISA (SOP-3012, AMV-3012) and residual DNA by qPCR</w:t>
      </w:r>
      <w:r>
        <w:t xml:space="preserve"> </w:t>
      </w:r>
      <w:r>
        <w:t xml:space="preserve">(SOP-3014, AMV-3014). Method performance is summarized in Appendix D, and the full</w:t>
      </w:r>
      <w:r>
        <w:t xml:space="preserve"> </w:t>
      </w:r>
      <w:r>
        <w:t xml:space="preserve">validation data are in the AMV reports.</w:t>
      </w:r>
    </w:p>
    <w:p>
      <w:pPr>
        <w:pStyle w:val="BodyText"/>
      </w:pPr>
      <w:r>
        <w:t xml:space="preserve">Assay precision matters to the interpretation of the smaller effects. The glycan map has a</w:t>
      </w:r>
      <w:r>
        <w:t xml:space="preserve"> </w:t>
      </w:r>
      <w:r>
        <w:t xml:space="preserve">precision of 2.5 % RSD and the host cell protein ELISA a</w:t>
      </w:r>
      <w:r>
        <w:t xml:space="preserve"> </w:t>
      </w:r>
      <w:r>
        <w:t xml:space="preserve">precision of 9.5 % RSD, so the assay resolves a fraction</w:t>
      </w:r>
      <w:r>
        <w:t xml:space="preserve"> </w:t>
      </w:r>
      <w:r>
        <w:t xml:space="preserve">of a percentage point on any of the three glycan attributes at the levels they are reported</w:t>
      </w:r>
      <w:r>
        <w:t xml:space="preserve"> </w:t>
      </w:r>
      <w:r>
        <w:t xml:space="preserve">at. Reproducibility between runs is the wider quantity, since it carries the biological</w:t>
      </w:r>
      <w:r>
        <w:t xml:space="preserve"> </w:t>
      </w:r>
      <w:r>
        <w:t xml:space="preserve">variation of the culture as well as the analytical variation. A shift of about one</w:t>
      </w:r>
      <w:r>
        <w:t xml:space="preserve"> </w:t>
      </w:r>
      <w:r>
        <w:t xml:space="preserve">percentage point in a glycan attribute therefore becomes interpretable through replication</w:t>
      </w:r>
      <w:r>
        <w:t xml:space="preserve"> </w:t>
      </w:r>
      <w:r>
        <w:t xml:space="preserve">or through a fitted model, and not from a single determination. §5.1 separates the</w:t>
      </w:r>
      <w:r>
        <w:t xml:space="preserve"> </w:t>
      </w:r>
      <w:r>
        <w:t xml:space="preserve">analytical contribution from the process contribution using the centre-point replicates.</w:t>
      </w:r>
    </w:p>
    <w:bookmarkEnd w:id="32"/>
    <w:bookmarkStart w:id="33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Each designed run was sampled daily for viable cell density, viability, metabolites and</w:t>
      </w:r>
      <w:r>
        <w:t xml:space="preserve"> </w:t>
      </w:r>
      <w:r>
        <w:t xml:space="preserve">titre, which supports the assessment of normal culture behaviour but is not part of the</w:t>
      </w:r>
      <w:r>
        <w:t xml:space="preserve"> </w:t>
      </w:r>
      <w:r>
        <w:t xml:space="preserve">designed analysis. The characterization responses were measured on the harvested culture</w:t>
      </w:r>
      <w:r>
        <w:t xml:space="preserve"> </w:t>
      </w:r>
      <w:r>
        <w:t xml:space="preserve">fluid of each run, taken at the culture duration assigned to that run and clarified before</w:t>
      </w:r>
      <w:r>
        <w:t xml:space="preserve"> </w:t>
      </w:r>
      <w:r>
        <w:t xml:space="preserve">analysis. One harvest sample per run was tested against the full panel, so each run</w:t>
      </w:r>
      <w:r>
        <w:t xml:space="preserve"> </w:t>
      </w:r>
      <w:r>
        <w:t xml:space="preserve">contributes one observation per response.</w:t>
      </w:r>
    </w:p>
    <w:p>
      <w:pPr>
        <w:pStyle w:val="BodyText"/>
      </w:pPr>
      <w:r>
        <w:t xml:space="preserve">Centre-point runs were replicated within each design. The screening design carried</w:t>
      </w:r>
      <w:r>
        <w:t xml:space="preserve"> </w:t>
      </w:r>
      <w:r>
        <w:t xml:space="preserve">3 centre points and the response-surface design carried</w:t>
      </w:r>
      <w:r>
        <w:t xml:space="preserve"> </w:t>
      </w:r>
      <w:r>
        <w:t xml:space="preserve">4, all executed at the set-point of every factor. Replicating at the centre</w:t>
      </w:r>
      <w:r>
        <w:t xml:space="preserve"> </w:t>
      </w:r>
      <w:r>
        <w:t xml:space="preserve">instead of at a corner keeps the pure-error estimate at the condition the process will</w:t>
      </w:r>
      <w:r>
        <w:t xml:space="preserve"> </w:t>
      </w:r>
      <w:r>
        <w:t xml:space="preserve">actually run at, and it is the condition for which prior process history gives an</w:t>
      </w:r>
      <w:r>
        <w:t xml:space="preserve"> </w:t>
      </w:r>
      <w:r>
        <w:t xml:space="preserve">independent expectation.</w:t>
      </w:r>
    </w:p>
    <w:bookmarkEnd w:id="33"/>
    <w:bookmarkStart w:id="34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All factors were analysed on a coded scale, in which the set-point of a factor is zero and</w:t>
      </w:r>
      <w:r>
        <w:t xml:space="preserve"> </w:t>
      </w:r>
      <w:r>
        <w:t xml:space="preserve">the edges of its characterization range are minus one and plus one. Coding puts the</w:t>
      </w:r>
      <w:r>
        <w:t xml:space="preserve"> </w:t>
      </w:r>
      <w:r>
        <w:t xml:space="preserve">estimates on a common footing, so that an effect is the change in the response across the</w:t>
      </w:r>
      <w:r>
        <w:t xml:space="preserve"> </w:t>
      </w:r>
      <w:r>
        <w:t xml:space="preserve">full characterization range of that factor and effects can be compared between parameters</w:t>
      </w:r>
      <w:r>
        <w:t xml:space="preserve"> </w:t>
      </w:r>
      <w:r>
        <w:t xml:space="preserve">with different units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The two designs answer different questions and are analysed differently. The screening</w:t>
      </w:r>
      <w:r>
        <w:t xml:space="preserve"> </w:t>
      </w:r>
      <w:r>
        <w:t xml:space="preserve">design was analysed by ordinary least squares with all main effects and all two-factor</w:t>
      </w:r>
      <w:r>
        <w:t xml:space="preserve"> </w:t>
      </w:r>
      <w:r>
        <w:t xml:space="preserve">interactions, and an effect is reported as twice the fitted coefficient on the coded</w:t>
      </w:r>
      <w:r>
        <w:t xml:space="preserve"> </w:t>
      </w:r>
      <w:r>
        <w:t xml:space="preserve">factor. Its purpose is to identify which factors are active. The response-surface design</w:t>
      </w:r>
      <w:r>
        <w:t xml:space="preserve"> </w:t>
      </w:r>
      <w:r>
        <w:t xml:space="preserve">was analysed with a full quadratic model in the factors carried forward, which adds the</w:t>
      </w:r>
      <w:r>
        <w:t xml:space="preserve"> </w:t>
      </w:r>
      <w:r>
        <w:t xml:space="preserve">squared terms needed to describe curvature, and it is the model used for prediction, for</w:t>
      </w:r>
      <w:r>
        <w:t xml:space="preserve"> </w:t>
      </w:r>
      <w:r>
        <w:t xml:space="preserve">the design space and for the proven acceptable ranges. A significance level of α = 0.05 was</w:t>
      </w:r>
      <w:r>
        <w:t xml:space="preserve"> </w:t>
      </w:r>
      <w:r>
        <w:t xml:space="preserve">used throughout.</w:t>
      </w:r>
    </w:p>
    <w:p>
      <w:pPr>
        <w:pStyle w:val="BodyText"/>
      </w:pPr>
      <w:r>
        <w:t xml:space="preserve">Model adequacy was assessed on four measures (SOP-1002). R² and adjusted R² describe how much of the</w:t>
      </w:r>
      <w:r>
        <w:t xml:space="preserve"> </w:t>
      </w:r>
      <w:r>
        <w:t xml:space="preserve">observed variation the model accounts for, with the adjustment penalising terms that do not</w:t>
      </w:r>
      <w:r>
        <w:t xml:space="preserve"> </w:t>
      </w:r>
      <w:r>
        <w:t xml:space="preserve">earn their degrees of freedom. Predicted R², computed from the PRESS statistic by leaving</w:t>
      </w:r>
      <w:r>
        <w:t xml:space="preserve"> </w:t>
      </w:r>
      <w:r>
        <w:t xml:space="preserve">each run out in turn, describes how the model performs on data it has not seen. The overall</w:t>
      </w:r>
      <w:r>
        <w:t xml:space="preserve"> </w:t>
      </w:r>
      <w:r>
        <w:t xml:space="preserve">F test asks whether the model as a whole explains more than noise. Finally, the residual</w:t>
      </w:r>
      <w:r>
        <w:t xml:space="preserve"> </w:t>
      </w:r>
      <w:r>
        <w:t xml:space="preserve">variance was partitioned into lack of fit and pure error using the centre-point replicates,</w:t>
      </w:r>
      <w:r>
        <w:t xml:space="preserve"> </w:t>
      </w:r>
      <w:r>
        <w:t xml:space="preserve">and a significant lack of fit would mean the model form is wrong even where its coefficients</w:t>
      </w:r>
      <w:r>
        <w:t xml:space="preserve"> </w:t>
      </w:r>
      <w:r>
        <w:t xml:space="preserve">are well estimated. A factor with no significant term for a given response is treated as</w:t>
      </w:r>
      <w:r>
        <w:t xml:space="preserve"> </w:t>
      </w:r>
      <w:r>
        <w:t xml:space="preserve">having no demonstrated effect on that response over the range studied.</w:t>
      </w:r>
    </w:p>
    <w:p>
      <w:pPr>
        <w:pStyle w:val="BodyText"/>
      </w:pPr>
      <w:r>
        <w:t xml:space="preserve">Commercial-scale capability was estimated by Monte-Carlo simulation of</w:t>
      </w:r>
      <w:r>
        <w:t xml:space="preserve"> </w:t>
      </w:r>
      <w:r>
        <w:t xml:space="preserve">2,000 batches, with every parameter drawn independently</w:t>
      </w:r>
      <w:r>
        <w:t xml:space="preserve"> </w:t>
      </w:r>
      <w:r>
        <w:t xml:space="preserve">within its normal operating range and the fitted models used to predict each attribute. The</w:t>
      </w:r>
      <w:r>
        <w:t xml:space="preserve"> </w:t>
      </w:r>
      <w:r>
        <w:t xml:space="preserve">capability index is one sided and is reported against the binding acceptance limit for each</w:t>
      </w:r>
      <w:r>
        <w:t xml:space="preserve"> </w:t>
      </w:r>
      <w:r>
        <w:t xml:space="preserve">attribute.</w:t>
      </w:r>
    </w:p>
    <w:p>
      <w:pPr>
        <w:pStyle w:val="BodyText"/>
      </w:pPr>
      <w:r>
        <w:t xml:space="preserve">Proven acceptable ranges were computed for each attribute against each response-surface</w:t>
      </w:r>
      <w:r>
        <w:t xml:space="preserve"> </w:t>
      </w:r>
      <w:r>
        <w:t xml:space="preserve">factor, under two analyses. The first holds the other factors at their set-points and</w:t>
      </w:r>
      <w:r>
        <w:t xml:space="preserve"> </w:t>
      </w:r>
      <w:r>
        <w:t xml:space="preserve">evaluates the fitted model across the parameter’s characterization range. The second varies</w:t>
      </w:r>
      <w:r>
        <w:t xml:space="preserve"> </w:t>
      </w:r>
      <w:r>
        <w:t xml:space="preserve">the other factors within their normal operating ranges by Monte-Carlo of the same model,</w:t>
      </w:r>
      <w:r>
        <w:t xml:space="preserve"> </w:t>
      </w:r>
      <w:r>
        <w:t xml:space="preserve">and requires the 95 % predictive interval of the attribute to stay within acceptance, so it</w:t>
      </w:r>
      <w:r>
        <w:t xml:space="preserve"> </w:t>
      </w:r>
      <w:r>
        <w:t xml:space="preserve">is the more demanding of the two. Both are reported in §7.</w:t>
      </w:r>
    </w:p>
    <w:bookmarkEnd w:id="34"/>
    <w:bookmarkEnd w:id="35"/>
    <w:bookmarkStart w:id="42" w:name="study-design"/>
    <w:p>
      <w:pPr>
        <w:pStyle w:val="Heading1"/>
      </w:pPr>
      <w:r>
        <w:t xml:space="preserve">4. Study design</w:t>
      </w:r>
    </w:p>
    <w:bookmarkStart w:id="38" w:name="factors-ranges-and-the-knowledge-space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r>
        <w:t xml:space="preserve">The design covers 9 parameters, and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gives the set-point,</w:t>
      </w:r>
      <w:r>
        <w:t xml:space="preserve"> </w:t>
      </w:r>
      <w:r>
        <w:t xml:space="preserve">normal operating range, characterization range, study type and final classification of</w:t>
      </w:r>
      <w:r>
        <w:t xml:space="preserve"> </w:t>
      </w:r>
      <w:r>
        <w:t xml:space="preserve">each. The classification column is an outcome of this study and is argued parameter by</w:t>
      </w:r>
      <w:r>
        <w:t xml:space="preserve"> </w:t>
      </w:r>
      <w:r>
        <w:t xml:space="preserve">parameter in §9. The characterization range is the range over which the parameter was</w:t>
      </w:r>
      <w:r>
        <w:t xml:space="preserve"> </w:t>
      </w:r>
      <w:r>
        <w:t xml:space="preserve">actually varied, and it is the edge of the knowledge space, not a proven acceptable range.</w:t>
      </w:r>
      <w:r>
        <w:t xml:space="preserve"> </w:t>
      </w:r>
      <w:r>
        <w:t xml:space="preserve">The proven acceptable ranges are computed quantities and are given in §7.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Production-bioreactor parameters, ranges, study type and final classification.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53"/>
              <w:gridCol w:w="999"/>
              <w:gridCol w:w="999"/>
              <w:gridCol w:w="845"/>
              <w:gridCol w:w="1153"/>
              <w:gridCol w:w="692"/>
              <w:gridCol w:w="10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6.75–6.95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34.5–35.5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70–130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375–425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360–440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16–18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sat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30–70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e6 cells/mL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WV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6"/>
          <w:p/>
        </w:tc>
      </w:tr>
    </w:tbl>
    <w:p>
      <w:pPr>
        <w:pStyle w:val="BodyText"/>
      </w:pPr>
      <w:r>
        <w:t xml:space="preserve">The five multivariate factors are coded A to E for the analysis, and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gives the</w:t>
      </w:r>
      <w:r>
        <w:t xml:space="preserve"> </w:t>
      </w:r>
      <w:r>
        <w:t xml:space="preserve">mapping together with the design each factor appears in.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Coded factor legend for the production-bioreactor designs.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Each range was set from prior knowledge and not by a fixed multiple. The pH range of</w:t>
      </w:r>
      <w:r>
        <w:t xml:space="preserve"> </w:t>
      </w:r>
      <w:r>
        <w:t xml:space="preserve">6.6 to 7.1 spans the region in</w:t>
      </w:r>
      <w:r>
        <w:t xml:space="preserve"> </w:t>
      </w:r>
      <w:r>
        <w:t xml:space="preserve">which the platform cell line grows and produces normally, and it is the widest range the</w:t>
      </w:r>
      <w:r>
        <w:t xml:space="preserve"> </w:t>
      </w:r>
      <w:r>
        <w:t xml:space="preserve">harvest viability criterion allows. The temperature range of</w:t>
      </w:r>
      <w:r>
        <w:t xml:space="preserve"> </w:t>
      </w:r>
      <w:r>
        <w:t xml:space="preserve">34 to 36 °C</w:t>
      </w:r>
      <w:r>
        <w:t xml:space="preserve"> </w:t>
      </w:r>
      <w:r>
        <w:t xml:space="preserve">is set by the control capability of the commercial vessel, which holds the culture well</w:t>
      </w:r>
      <w:r>
        <w:t xml:space="preserve"> </w:t>
      </w:r>
      <w:r>
        <w:t xml:space="preserve">inside that band and makes a wider excursion implausible. The pCO₂ range of</w:t>
      </w:r>
      <w:r>
        <w:t xml:space="preserve"> </w:t>
      </w:r>
      <w:r>
        <w:t xml:space="preserve">40 to 160 mmHg covers the</w:t>
      </w:r>
      <w:r>
        <w:t xml:space="preserve"> </w:t>
      </w:r>
      <w:r>
        <w:t xml:space="preserve">accumulation observed at commercial scale, where sparge efficiency falls with vessel size</w:t>
      </w:r>
      <w:r>
        <w:t xml:space="preserve"> </w:t>
      </w:r>
      <w:r>
        <w:t xml:space="preserve">and the upper part of the range is the realistic one. The osmolality range of</w:t>
      </w:r>
      <w:r>
        <w:t xml:space="preserve"> </w:t>
      </w:r>
      <w:r>
        <w:t xml:space="preserve">360 to 440 mOsm</w:t>
      </w:r>
      <w:r>
        <w:t xml:space="preserve"> </w:t>
      </w:r>
      <w:r>
        <w:t xml:space="preserve">covers the drift produced by feeding and base addition over a full culture. The duration</w:t>
      </w:r>
      <w:r>
        <w:t xml:space="preserve"> </w:t>
      </w:r>
      <w:r>
        <w:t xml:space="preserve">range of 15 to</w:t>
      </w:r>
      <w:r>
        <w:t xml:space="preserve"> </w:t>
      </w:r>
      <w:r>
        <w:t xml:space="preserve">19 days brackets the harvest window either side of the</w:t>
      </w:r>
      <w:r>
        <w:t xml:space="preserve"> </w:t>
      </w:r>
      <w:r>
        <w:t xml:space="preserve">set-point.</w:t>
      </w:r>
    </w:p>
    <w:bookmarkEnd w:id="38"/>
    <w:bookmarkStart w:id="39" w:name="screening-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The screening study was a two-level design in the 5 multivariate factors,</w:t>
      </w:r>
      <w:r>
        <w:t xml:space="preserve"> </w:t>
      </w:r>
      <w:r>
        <w:t xml:space="preserve">executed as a half fraction of resolution V with 3 centre points, for</w:t>
      </w:r>
      <w:r>
        <w:t xml:space="preserve"> </w:t>
      </w:r>
      <w:r>
        <w:t xml:space="preserve">19 runs in total. The generator sets culture duration as the product of the</w:t>
      </w:r>
      <w:r>
        <w:t xml:space="preserve"> </w:t>
      </w:r>
      <w:r>
        <w:t xml:space="preserve">other four factors, so the defining relation involves all five. At that resolution the main</w:t>
      </w:r>
      <w:r>
        <w:t xml:space="preserve"> </w:t>
      </w:r>
      <w:r>
        <w:t xml:space="preserve">effects are aliased only with four-factor interactions and the two-factor interactions only</w:t>
      </w:r>
      <w:r>
        <w:t xml:space="preserve"> </w:t>
      </w:r>
      <w:r>
        <w:t xml:space="preserve">with three-factor interactions, and effects of that order are not credible for a culture</w:t>
      </w:r>
      <w:r>
        <w:t xml:space="preserve"> </w:t>
      </w:r>
      <w:r>
        <w:t xml:space="preserve">process. The design therefore estimates all 5 main effects and all ten</w:t>
      </w:r>
      <w:r>
        <w:t xml:space="preserve"> </w:t>
      </w:r>
      <w:r>
        <w:t xml:space="preserve">two-factor interactions clear of one another. The runs were randomised in execution order (SOP-1002).</w:t>
      </w:r>
      <w:r>
        <w:t xml:space="preserve"> </w:t>
      </w:r>
      <w:r>
        <w:t xml:space="preserve">The full design matrix with responses is given in Appendix A.</w:t>
      </w:r>
    </w:p>
    <w:p>
      <w:pPr>
        <w:pStyle w:val="BodyText"/>
      </w:pPr>
      <w:r>
        <w:t xml:space="preserve">The 16 factorial runs support a model of 16 terms, so</w:t>
      </w:r>
      <w:r>
        <w:t xml:space="preserve"> </w:t>
      </w:r>
      <w:r>
        <w:t xml:space="preserve">the residual degrees of freedom come from the centre points alone. This is a deliberate</w:t>
      </w:r>
      <w:r>
        <w:t xml:space="preserve"> </w:t>
      </w:r>
      <w:r>
        <w:t xml:space="preserve">property of a screening design and it is the reason the screening fit is not used for</w:t>
      </w:r>
      <w:r>
        <w:t xml:space="preserve"> </w:t>
      </w:r>
      <w:r>
        <w:t xml:space="preserve">prediction. §5.2 reports what it does establish.</w:t>
      </w:r>
    </w:p>
    <w:bookmarkEnd w:id="39"/>
    <w:bookmarkStart w:id="40" w:name="response-surface-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The response-surface study was a face-centred central composite design in the</w:t>
      </w:r>
      <w:r>
        <w:t xml:space="preserve"> </w:t>
      </w:r>
      <w:r>
        <w:t xml:space="preserve">4 factors carried forward from screening (culture pH, culture temperature,</w:t>
      </w:r>
      <w:r>
        <w:t xml:space="preserve"> </w:t>
      </w:r>
      <w:r>
        <w:t xml:space="preserve">culture duration and pCO₂), with 4 centre points, for 28 runs</w:t>
      </w:r>
      <w:r>
        <w:t xml:space="preserve"> </w:t>
      </w:r>
      <w:r>
        <w:t xml:space="preserve">in total. The face-centred form places the axial runs on the faces of the cube and not</w:t>
      </w:r>
      <w:r>
        <w:t xml:space="preserve"> </w:t>
      </w:r>
      <w:r>
        <w:t xml:space="preserve">outside it, so no run is executed beyond the characterization range of any factor. That</w:t>
      </w:r>
      <w:r>
        <w:t xml:space="preserve"> </w:t>
      </w:r>
      <w:r>
        <w:t xml:space="preserve">choice keeps every prediction inside the region actually run, at the cost of a less precise</w:t>
      </w:r>
      <w:r>
        <w:t xml:space="preserve"> </w:t>
      </w:r>
      <w:r>
        <w:t xml:space="preserve">estimate of the pure quadratic terms.</w:t>
      </w:r>
    </w:p>
    <w:p>
      <w:pPr>
        <w:pStyle w:val="BodyText"/>
      </w:pPr>
      <w:r>
        <w:t xml:space="preserve">Osmolality was not carried into the response-surface design. Its screening main effect is</w:t>
      </w:r>
      <w:r>
        <w:t xml:space="preserve"> </w:t>
      </w:r>
      <w:r>
        <w:t xml:space="preserve">the smallest of the five on galactosylation and on high mannose, which are the two</w:t>
      </w:r>
      <w:r>
        <w:t xml:space="preserve"> </w:t>
      </w:r>
      <w:r>
        <w:t xml:space="preserve">responses that drive the design space and the capability claim, and osmolality is held</w:t>
      </w:r>
      <w:r>
        <w:t xml:space="preserve"> </w:t>
      </w:r>
      <w:r>
        <w:t xml:space="preserve">close to its set-point in routine operation by the feed and base strategy. It was operated</w:t>
      </w:r>
      <w:r>
        <w:t xml:space="preserve"> </w:t>
      </w:r>
      <w:r>
        <w:t xml:space="preserve">at its set-point in every response-surface run, so the response-surface model, the design</w:t>
      </w:r>
      <w:r>
        <w:t xml:space="preserve"> </w:t>
      </w:r>
      <w:r>
        <w:t xml:space="preserve">space in §6 and the proven acceptable ranges in §7 all apply at osmolality within its</w:t>
      </w:r>
      <w:r>
        <w:t xml:space="preserve"> </w:t>
      </w:r>
      <w:r>
        <w:t xml:space="preserve">normal operating range. The parameter does appear in three significant galactosylation</w:t>
      </w:r>
      <w:r>
        <w:t xml:space="preserve"> </w:t>
      </w:r>
      <w:r>
        <w:t xml:space="preserve">interactions in the screening study, the largest of which is the interaction with culture</w:t>
      </w:r>
      <w:r>
        <w:t xml:space="preserve"> </w:t>
      </w:r>
      <w:r>
        <w:t xml:space="preserve">temperature at +3.70 percentage points. That term</w:t>
      </w:r>
      <w:r>
        <w:t xml:space="preserve"> </w:t>
      </w:r>
      <w:r>
        <w:t xml:space="preserve">is bounded by the screening estimate and by holding osmolality within its normal operating</w:t>
      </w:r>
      <w:r>
        <w:t xml:space="preserve"> </w:t>
      </w:r>
      <w:r>
        <w:t xml:space="preserve">range, and §9 classifies the parameter on that basis. The full response-surface matrix with</w:t>
      </w:r>
      <w:r>
        <w:t xml:space="preserve"> </w:t>
      </w:r>
      <w:r>
        <w:t xml:space="preserve">responses is given in Appendix B.</w:t>
      </w:r>
    </w:p>
    <w:bookmarkEnd w:id="40"/>
    <w:bookmarkStart w:id="41" w:name="univariate-assessment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Four parameters were assessed one at a time: dissolved oxygen, initial viable cell</w:t>
      </w:r>
      <w:r>
        <w:t xml:space="preserve"> </w:t>
      </w:r>
      <w:r>
        <w:t xml:space="preserve">concentration, basal medium concentration and nutrient feed-1 volume. RA-001 ranked each of</w:t>
      </w:r>
      <w:r>
        <w:t xml:space="preserve"> </w:t>
      </w:r>
      <w:r>
        <w:t xml:space="preserve">them against process performance and not against a quality attribute, which is what</w:t>
      </w:r>
      <w:r>
        <w:t xml:space="preserve"> </w:t>
      </w:r>
      <w:r>
        <w:t xml:space="preserve">assigned them to single-factor study instead of the designed experiment. Each was operated</w:t>
      </w:r>
      <w:r>
        <w:t xml:space="preserve"> </w:t>
      </w:r>
      <w:r>
        <w:t xml:space="preserve">across its characterization range with all other parameters at their set-points, and the</w:t>
      </w:r>
      <w:r>
        <w:t xml:space="preserve"> </w:t>
      </w:r>
      <w:r>
        <w:t xml:space="preserve">harvest material was released against the same analytical panel.</w:t>
      </w:r>
    </w:p>
    <w:p>
      <w:pPr>
        <w:pStyle w:val="BodyText"/>
      </w:pPr>
      <w:r>
        <w:t xml:space="preserve">The univariate work supports the operating ranges of those four parameters for process</w:t>
      </w:r>
      <w:r>
        <w:t xml:space="preserve"> </w:t>
      </w:r>
      <w:r>
        <w:t xml:space="preserve">performance. The results of the individual runs are held in the study record referenced by</w:t>
      </w:r>
      <w:r>
        <w:t xml:space="preserve"> </w:t>
      </w:r>
      <w:r>
        <w:t xml:space="preserve">PCP-003 and are not reproduced here, since no effect on a quality attribute was</w:t>
      </w:r>
      <w:r>
        <w:t xml:space="preserve"> </w:t>
      </w:r>
      <w:r>
        <w:t xml:space="preserve">demonstrated for any of the four over the range studied. The univariate work does not</w:t>
      </w:r>
      <w:r>
        <w:t xml:space="preserve"> </w:t>
      </w:r>
      <w:r>
        <w:t xml:space="preserve">extend the quality design space, which rests entirely on the multivariate studies, and it</w:t>
      </w:r>
      <w:r>
        <w:t xml:space="preserve"> </w:t>
      </w:r>
      <w:r>
        <w:t xml:space="preserve">is not used in §6 or §7.</w:t>
      </w:r>
      <w:r>
        <w:t xml:space="preserve"> </w:t>
      </w:r>
      <w:r>
        <w:t xml:space="preserve">The classifications that follow from it are given in §9.</w:t>
      </w:r>
    </w:p>
    <w:bookmarkEnd w:id="41"/>
    <w:bookmarkEnd w:id="42"/>
    <w:bookmarkStart w:id="67" w:name="results"/>
    <w:p>
      <w:pPr>
        <w:pStyle w:val="Heading1"/>
      </w:pPr>
      <w:r>
        <w:t xml:space="preserve">5. Results</w:t>
      </w:r>
    </w:p>
    <w:bookmarkStart w:id="44" w:name="Xa1d357a057988a4668963a3d4bd6b4df2b4673e"/>
    <w:p>
      <w:pPr>
        <w:pStyle w:val="Heading2"/>
      </w:pPr>
      <w:r>
        <w:t xml:space="preserve">5.1 Centre-point performance and reproducibility</w:t>
      </w:r>
    </w:p>
    <w:p>
      <w:pPr>
        <w:pStyle w:val="FirstParagraph"/>
      </w:pPr>
      <w:r>
        <w:t xml:space="preserve">Reproducibility at the centre point is good for three of the five responses and moderate</w:t>
      </w:r>
      <w:r>
        <w:t xml:space="preserve"> </w:t>
      </w:r>
      <w:r>
        <w:t xml:space="preserve">for galactosylation and high mannose.</w:t>
      </w:r>
      <w:r>
        <w:t xml:space="preserve"> </w:t>
      </w:r>
      <w:hyperlink w:anchor="tbl-cp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gives the mean, standard deviation and</w:t>
      </w:r>
      <w:r>
        <w:t xml:space="preserve"> </w:t>
      </w:r>
      <w:r>
        <w:t xml:space="preserve">coefficient of variation of the</w:t>
      </w:r>
      <w:r>
        <w:t xml:space="preserve"> </w:t>
      </w:r>
      <w:r>
        <w:t xml:space="preserve">4 response-surface centre points, which are the pure-error basis for the</w:t>
      </w:r>
      <w:r>
        <w:t xml:space="preserve"> </w:t>
      </w:r>
      <w:r>
        <w:t xml:space="preserve">lack-of-fit tests in §5.3.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Centre-point reproducibility of the response-surface design (n = 4 replicates at the set-point of every factor).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6.53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High mannose is the least reproducible response, at</w:t>
      </w:r>
      <w:r>
        <w:t xml:space="preserve"> </w:t>
      </w:r>
      <w:r>
        <w:t xml:space="preserve">9.9 % CV, and acidic variants the most</w:t>
      </w:r>
      <w:r>
        <w:t xml:space="preserve"> </w:t>
      </w:r>
      <w:r>
        <w:t xml:space="preserve">reproducible, at 4.1 %. Galactosylation follows</w:t>
      </w:r>
      <w:r>
        <w:t xml:space="preserve"> </w:t>
      </w:r>
      <w:r>
        <w:t xml:space="preserve">close behind at 9.0 %, and that spread is the pure error the</w:t>
      </w:r>
      <w:r>
        <w:t xml:space="preserve"> </w:t>
      </w:r>
      <w:r>
        <w:t xml:space="preserve">galactosylation lack-of-fit test uses. Galactosylation is the response that defines the</w:t>
      </w:r>
      <w:r>
        <w:t xml:space="preserve"> </w:t>
      </w:r>
      <w:r>
        <w:t xml:space="preserve">design space, so its variation at the centre point is the term that test finally rests on.</w:t>
      </w:r>
      <w:r>
        <w:t xml:space="preserve"> </w:t>
      </w:r>
      <w:r>
        <w:t xml:space="preserve">The glycan map contributes</w:t>
      </w:r>
      <w:r>
        <w:t xml:space="preserve"> </w:t>
      </w:r>
      <w:r>
        <w:t xml:space="preserve">2.5 % RSD of that variation (§3.3), so most of the spread</w:t>
      </w:r>
      <w:r>
        <w:t xml:space="preserve"> </w:t>
      </w:r>
      <w:r>
        <w:t xml:space="preserve">in high mannose is biological in origin and not analytical. This matters for the interpretation</w:t>
      </w:r>
      <w:r>
        <w:t xml:space="preserve"> </w:t>
      </w:r>
      <w:r>
        <w:t xml:space="preserve">of the smaller effects, and it is the reason a shift of about one percentage point in a</w:t>
      </w:r>
      <w:r>
        <w:t xml:space="preserve"> </w:t>
      </w:r>
      <w:r>
        <w:t xml:space="preserve">glycan attribute is reported here as an effect only when the fitted model resolves it.</w:t>
      </w:r>
    </w:p>
    <w:p>
      <w:pPr>
        <w:pStyle w:val="BodyText"/>
      </w:pPr>
      <w:r>
        <w:t xml:space="preserve">In the screening centre points, executed earlier in the campaign, the least reproducible</w:t>
      </w:r>
      <w:r>
        <w:t xml:space="preserve"> </w:t>
      </w:r>
      <w:r>
        <w:t xml:space="preserve">response is again high mannose, at</w:t>
      </w:r>
      <w:r>
        <w:t xml:space="preserve"> </w:t>
      </w:r>
      <w:r>
        <w:t xml:space="preserve">11.5 % CV. The ordering of the other four differs.</w:t>
      </w:r>
      <w:r>
        <w:t xml:space="preserve"> </w:t>
      </w:r>
      <w:r>
        <w:t xml:space="preserve">Galactosylation is the most reproducible response in that set, at</w:t>
      </w:r>
      <w:r>
        <w:t xml:space="preserve"> </w:t>
      </w:r>
      <w:r>
        <w:t xml:space="preserve">1.8 %, against 9.0 % at the</w:t>
      </w:r>
      <w:r>
        <w:t xml:space="preserve"> </w:t>
      </w:r>
      <w:r>
        <w:t xml:space="preserve">response-surface centre points. Each figure rests on a handful of replicates, so the</w:t>
      </w:r>
      <w:r>
        <w:t xml:space="preserve"> </w:t>
      </w:r>
      <w:r>
        <w:t xml:space="preserve">difference belongs to the two replicate sets and not to the assay, and the lack-of-fit</w:t>
      </w:r>
      <w:r>
        <w:t xml:space="preserve"> </w:t>
      </w:r>
      <w:r>
        <w:t xml:space="preserve">tests that support the design space use the response-surface set.</w:t>
      </w:r>
    </w:p>
    <w:bookmarkEnd w:id="44"/>
    <w:bookmarkStart w:id="47" w:name="screening-factor-effects"/>
    <w:p>
      <w:pPr>
        <w:pStyle w:val="Heading2"/>
      </w:pPr>
      <w:r>
        <w:t xml:space="preserve">5.2 Screening: factor effects</w:t>
      </w:r>
    </w:p>
    <w:p>
      <w:pPr>
        <w:pStyle w:val="FirstParagraph"/>
      </w:pPr>
      <w:r>
        <w:t xml:space="preserve">The screening design separates the active factors from the inactive ones, and it does so</w:t>
      </w:r>
      <w:r>
        <w:t xml:space="preserve"> </w:t>
      </w:r>
      <w:r>
        <w:t xml:space="preserve">with different force from one response to another.</w:t>
      </w:r>
      <w:r>
        <w:t xml:space="preserve"> </w:t>
      </w:r>
      <w:hyperlink w:anchor="tbl-scrfit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summarizes the fitted</w:t>
      </w:r>
      <w:r>
        <w:t xml:space="preserve"> </w:t>
      </w:r>
      <w:r>
        <w:t xml:space="preserve">screening models.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scr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Screening model summary. The high R² values reflect a near-saturated design; predicted R² is negative for every response, which is why these models are not used for prediction.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82"/>
              <w:gridCol w:w="495"/>
              <w:gridCol w:w="693"/>
              <w:gridCol w:w="1089"/>
              <w:gridCol w:w="1188"/>
              <w:gridCol w:w="792"/>
              <w:gridCol w:w="1089"/>
              <w:gridCol w:w="7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0.0829</w:t>
                  </w: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The screening models fit the executed runs closely, and they have almost no predictive</w:t>
      </w:r>
      <w:r>
        <w:t xml:space="preserve"> </w:t>
      </w:r>
      <w:r>
        <w:t xml:space="preserve">latitude. Each model estimates 16 terms from 19 runs, which</w:t>
      </w:r>
      <w:r>
        <w:t xml:space="preserve"> </w:t>
      </w:r>
      <w:r>
        <w:t xml:space="preserve">leaves 3 residual degrees of freedom, and predicted R² is negative for</w:t>
      </w:r>
      <w:r>
        <w:t xml:space="preserve"> </w:t>
      </w:r>
      <w:r>
        <w:t xml:space="preserve">all 5 responses (the highest value is</w:t>
      </w:r>
      <w:r>
        <w:t xml:space="preserve"> </w:t>
      </w:r>
      <w:r>
        <w:t xml:space="preserve">-0.44). A negative predicted R² means the model predicts a</w:t>
      </w:r>
      <w:r>
        <w:t xml:space="preserve"> </w:t>
      </w:r>
      <w:r>
        <w:t xml:space="preserve">held-out run worse than the response mean would. The overall F test divides the panel as</w:t>
      </w:r>
      <w:r>
        <w:t xml:space="preserve"> </w:t>
      </w:r>
      <w:r>
        <w:t xml:space="preserve">well. It is significant for galactosylation, acidic variants and aggregates, and it does not reach significance for</w:t>
      </w:r>
      <w:r>
        <w:t xml:space="preserve"> </w:t>
      </w:r>
      <w:r>
        <w:t xml:space="preserve">afucosylation and high mannose, so the individual terms of those models are read as indicative and are</w:t>
      </w:r>
      <w:r>
        <w:t xml:space="preserve"> </w:t>
      </w:r>
      <w:r>
        <w:t xml:space="preserve">confirmed against the response-surface design in §5.3. The screening design identifies which</w:t>
      </w:r>
      <w:r>
        <w:t xml:space="preserve"> </w:t>
      </w:r>
      <w:r>
        <w:t xml:space="preserve">factors matter. The response-surface model is the predictive model and the basis of the</w:t>
      </w:r>
      <w:r>
        <w:t xml:space="preserve"> </w:t>
      </w:r>
      <w:r>
        <w:t xml:space="preserve">design space, and the effect magnitudes reported below are refined by it in §5.3.</w:t>
      </w:r>
    </w:p>
    <w:p>
      <w:pPr>
        <w:pStyle w:val="BodyText"/>
      </w:pPr>
      <w:hyperlink w:anchor="tbl-screff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lists every screening term significant at α = 0.05, by response.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screff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Screening terms significant at α = 0.05, by response. An effect is the change in the response across the full characterization range of the factor. Factor codes are given in</w:t>
            </w:r>
            <w:r>
              <w:t xml:space="preserve"> </w:t>
            </w:r>
            <w:hyperlink w:anchor="tbl-legend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0.000441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0.0424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Galactosylation is the most responsive attribute in the panel and the most heavily</w:t>
      </w:r>
      <w:r>
        <w:t xml:space="preserve"> </w:t>
      </w:r>
      <w:r>
        <w:t xml:space="preserve">interacting. Culture duration carries the largest single effect,</w:t>
      </w:r>
      <w:r>
        <w:t xml:space="preserve"> </w:t>
      </w:r>
      <w:r>
        <w:t xml:space="preserve">-7.8 percentage points across its</w:t>
      </w:r>
      <w:r>
        <w:t xml:space="preserve"> </w:t>
      </w:r>
      <w:r>
        <w:t xml:space="preserve">characterization range, and the pH by duration interaction is almost as large at</w:t>
      </w:r>
      <w:r>
        <w:t xml:space="preserve"> </w:t>
      </w:r>
      <w:r>
        <w:t xml:space="preserve">+6.9. pCO₂ and culture pH follow, at</w:t>
      </w:r>
      <w:r>
        <w:t xml:space="preserve"> </w:t>
      </w:r>
      <w:r>
        <w:t xml:space="preserve">-5.8 and</w:t>
      </w:r>
      <w:r>
        <w:t xml:space="preserve"> </w:t>
      </w:r>
      <w:r>
        <w:t xml:space="preserve">-4.6. Of the 15 estimable</w:t>
      </w:r>
      <w:r>
        <w:t xml:space="preserve"> </w:t>
      </w:r>
      <w:r>
        <w:t xml:space="preserve">terms, 12 are significant, which is the clearest evidence in</w:t>
      </w:r>
      <w:r>
        <w:t xml:space="preserve"> </w:t>
      </w:r>
      <w:r>
        <w:t xml:space="preserve">the study that a one-factor-at-a-time treatment of this attribute would be misleading.</w:t>
      </w:r>
    </w:p>
    <w:p>
      <w:pPr>
        <w:pStyle w:val="BodyText"/>
      </w:pPr>
      <w:r>
        <w:t xml:space="preserve">Acidic charge variants are governed mainly by pCO₂, whose effect of</w:t>
      </w:r>
      <w:r>
        <w:t xml:space="preserve"> </w:t>
      </w:r>
      <w:r>
        <w:t xml:space="preserve">-8.2 percentage points is the largest single</w:t>
      </w:r>
      <w:r>
        <w:t xml:space="preserve"> </w:t>
      </w:r>
      <w:r>
        <w:t xml:space="preserve">effect anywhere in the screening study. Culture pH and culture temperature follow at</w:t>
      </w:r>
      <w:r>
        <w:t xml:space="preserve"> </w:t>
      </w:r>
      <w:r>
        <w:t xml:space="preserve">-4.2 and</w:t>
      </w:r>
      <w:r>
        <w:t xml:space="preserve"> </w:t>
      </w:r>
      <w:r>
        <w:t xml:space="preserve">+3.0, and osmolality contributes</w:t>
      </w:r>
      <w:r>
        <w:t xml:space="preserve"> </w:t>
      </w:r>
      <w:r>
        <w:t xml:space="preserve">-2.6. The pCO₂ direction is the one §2.1</w:t>
      </w:r>
      <w:r>
        <w:t xml:space="preserve"> </w:t>
      </w:r>
      <w:r>
        <w:t xml:space="preserve">predicted, and the effect is negative as expected. §2.1 sets no direction for pH,</w:t>
      </w:r>
      <w:r>
        <w:t xml:space="preserve"> </w:t>
      </w:r>
      <w:r>
        <w:t xml:space="preserve">temperature or osmolality on this attribute, and the fitted pH direction is not the one</w:t>
      </w:r>
      <w:r>
        <w:t xml:space="preserve"> </w:t>
      </w:r>
      <w:r>
        <w:t xml:space="preserve">deamidation chemistry gives on its own (§5.4). The attribute is of very low criticality and</w:t>
      </w:r>
      <w:r>
        <w:t xml:space="preserve"> </w:t>
      </w:r>
      <w:r>
        <w:t xml:space="preserve">its acceptance range is wide, so these are large effects on a response that has room to</w:t>
      </w:r>
      <w:r>
        <w:t xml:space="preserve"> </w:t>
      </w:r>
      <w:r>
        <w:t xml:space="preserve">absorb them.</w:t>
      </w:r>
    </w:p>
    <w:p>
      <w:pPr>
        <w:pStyle w:val="BodyText"/>
      </w:pPr>
      <w:r>
        <w:t xml:space="preserve">Afucosylation behaves differently, and the difference is informative. Only three of its</w:t>
      </w:r>
      <w:r>
        <w:t xml:space="preserve"> </w:t>
      </w:r>
      <w:r>
        <w:t xml:space="preserve">terms are significant, and the largest of them is the pH by duration interaction at</w:t>
      </w:r>
      <w:r>
        <w:t xml:space="preserve"> </w:t>
      </w:r>
      <w:r>
        <w:t xml:space="preserve">+2.5 percentage points, followed by culture</w:t>
      </w:r>
      <w:r>
        <w:t xml:space="preserve"> </w:t>
      </w:r>
      <w:r>
        <w:t xml:space="preserve">duration at -2.4. The main effect of pH is not</w:t>
      </w:r>
      <w:r>
        <w:t xml:space="preserve"> </w:t>
      </w:r>
      <w:r>
        <w:t xml:space="preserve">significant at α = 0.05 (p = 0.060), yet pH</w:t>
      </w:r>
      <w:r>
        <w:t xml:space="preserve"> </w:t>
      </w:r>
      <w:r>
        <w:t xml:space="preserve">appears in two of the three significant terms. The effect of pH on afucosylation depends on</w:t>
      </w:r>
      <w:r>
        <w:t xml:space="preserve"> </w:t>
      </w:r>
      <w:r>
        <w:t xml:space="preserve">how long the culture is held, so the main effect on its own understates it. Aggregate is</w:t>
      </w:r>
      <w:r>
        <w:t xml:space="preserve"> </w:t>
      </w:r>
      <w:r>
        <w:t xml:space="preserve">the most straightforward of the five mechanistically, with culture pH at</w:t>
      </w:r>
      <w:r>
        <w:t xml:space="preserve"> </w:t>
      </w:r>
      <w:r>
        <w:t xml:space="preserve">+0.83 percentage points and culture duration at</w:t>
      </w:r>
      <w:r>
        <w:t xml:space="preserve"> </w:t>
      </w:r>
      <w:r>
        <w:t xml:space="preserve">+0.58 against an acceptance limit of</w:t>
      </w:r>
      <w:r>
        <w:t xml:space="preserve"> </w:t>
      </w:r>
      <w:r>
        <w:t xml:space="preserve">5 %. The duration effect is</w:t>
      </w:r>
      <w:r>
        <w:t xml:space="preserve"> </w:t>
      </w:r>
      <w:r>
        <w:t xml:space="preserve">positive, which is the direction §2.1 expected from the decline in viability late in</w:t>
      </w:r>
      <w:r>
        <w:t xml:space="preserve"> </w:t>
      </w:r>
      <w:r>
        <w:t xml:space="preserve">culture.</w:t>
      </w:r>
    </w:p>
    <w:p>
      <w:pPr>
        <w:pStyle w:val="BodyText"/>
      </w:pPr>
      <w:r>
        <w:t xml:space="preserve">High mannose is the sparsest response, and the null results are as useful as the</w:t>
      </w:r>
      <w:r>
        <w:t xml:space="preserve"> </w:t>
      </w:r>
      <w:r>
        <w:t xml:space="preserve">significant ones. Only culture pH and culture temperature have a significant effect, at</w:t>
      </w:r>
      <w:r>
        <w:t xml:space="preserve"> </w:t>
      </w:r>
      <w:r>
        <w:t xml:space="preserve">+1.5 and</w:t>
      </w:r>
      <w:r>
        <w:t xml:space="preserve"> </w:t>
      </w:r>
      <w:r>
        <w:t xml:space="preserve">-1.4 percentage points. pCO₂, osmolality and culture</w:t>
      </w:r>
      <w:r>
        <w:t xml:space="preserve"> </w:t>
      </w:r>
      <w:r>
        <w:t xml:space="preserve">duration show no significant effect on high mannose over the ranges screened, and no</w:t>
      </w:r>
      <w:r>
        <w:t xml:space="preserve"> </w:t>
      </w:r>
      <w:r>
        <w:t xml:space="preserve">interaction involving them is significant either. The screening model for this response</w:t>
      </w:r>
      <w:r>
        <w:t xml:space="preserve"> </w:t>
      </w:r>
      <w:r>
        <w:t xml:space="preserve">does not reach significance overall, so those null results are carried into the</w:t>
      </w:r>
      <w:r>
        <w:t xml:space="preserve"> </w:t>
      </w:r>
      <w:r>
        <w:t xml:space="preserve">response-surface design for confirmation before they are relied on. pCO₂ and culture</w:t>
      </w:r>
      <w:r>
        <w:t xml:space="preserve"> </w:t>
      </w:r>
      <w:r>
        <w:t xml:space="preserve">duration are retained in the knowledge space and are classified in §9 on the evidence from</w:t>
      </w:r>
      <w:r>
        <w:t xml:space="preserve"> </w:t>
      </w:r>
      <w:r>
        <w:t xml:space="preserve">both designs. Osmolality was not carried into the response-surface design, so its null</w:t>
      </w:r>
      <w:r>
        <w:t xml:space="preserve"> </w:t>
      </w:r>
      <w:r>
        <w:t xml:space="preserve">result on this attribute rests on the screening study alone (§4.3). High mannose is the</w:t>
      </w:r>
      <w:r>
        <w:t xml:space="preserve"> </w:t>
      </w:r>
      <w:r>
        <w:t xml:space="preserve">only attribute of very high criticality at this step, which is why §5.3 examines its</w:t>
      </w:r>
      <w:r>
        <w:t xml:space="preserve"> </w:t>
      </w:r>
      <w:r>
        <w:t xml:space="preserve">response surface in full.</w:t>
      </w:r>
    </w:p>
    <w:p>
      <w:pPr>
        <w:pStyle w:val="BodyText"/>
      </w:pPr>
      <w:r>
        <w:t xml:space="preserve">Dissolved oxygen was held at its set-point throughout the designed runs and was not varied.</w:t>
      </w:r>
      <w:r>
        <w:t xml:space="preserve"> </w:t>
      </w:r>
      <w:r>
        <w:t xml:space="preserve">Platform manufacturing experience has established that dissolved oxygen does not influence</w:t>
      </w:r>
      <w:r>
        <w:t xml:space="preserve"> </w:t>
      </w:r>
      <w:r>
        <w:t xml:space="preserve">the glycan profile at any scale, so the factor was not carried into the multivariate work</w:t>
      </w:r>
      <w:r>
        <w:t xml:space="preserve"> </w:t>
      </w:r>
      <w:r>
        <w:t xml:space="preserve">and no further study of it is required.</w:t>
      </w:r>
    </w:p>
    <w:p>
      <w:pPr>
        <w:pStyle w:val="BodyText"/>
      </w:pPr>
      <w:r>
        <w:t xml:space="preserve">Taken together, the 19 screening runs establish the multivariate design space</w:t>
      </w:r>
      <w:r>
        <w:t xml:space="preserve"> </w:t>
      </w:r>
      <w:r>
        <w:t xml:space="preserve">for the well-controlled culture parameters, and they confirm that the estimated effects hold</w:t>
      </w:r>
      <w:r>
        <w:t xml:space="preserve"> </w:t>
      </w:r>
      <w:r>
        <w:t xml:space="preserve">across the operating combinations the design did not itself execute.</w:t>
      </w:r>
    </w:p>
    <w:bookmarkEnd w:id="47"/>
    <w:bookmarkStart w:id="65" w:name="response-surface-models"/>
    <w:p>
      <w:pPr>
        <w:pStyle w:val="Heading2"/>
      </w:pPr>
      <w:r>
        <w:t xml:space="preserve">5.3 Response-surface models</w:t>
      </w:r>
    </w:p>
    <w:p>
      <w:pPr>
        <w:pStyle w:val="FirstParagraph"/>
      </w:pPr>
      <w:r>
        <w:t xml:space="preserve">A full quadratic model was fitted to each of the 5 responses over the four</w:t>
      </w:r>
      <w:r>
        <w:t xml:space="preserve"> </w:t>
      </w:r>
      <w:r>
        <w:t xml:space="preserve">factors carried into the response-surface design.</w:t>
      </w:r>
      <w:r>
        <w:t xml:space="preserve"> </w:t>
      </w:r>
      <w:hyperlink w:anchor="tbl-rsmfit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summarizes model adequacy.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rsm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Response-surface model summary. Each model carries 15 terms fitted to 28 runs.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04"/>
              <w:gridCol w:w="501"/>
              <w:gridCol w:w="701"/>
              <w:gridCol w:w="1102"/>
              <w:gridCol w:w="1203"/>
              <w:gridCol w:w="701"/>
              <w:gridCol w:w="1102"/>
              <w:gridCol w:w="80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5.05e-07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1.27e-05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1.58e-07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0.0985</w:t>
                  </w:r>
                </w:p>
              </w:tc>
            </w:tr>
          </w:tbl>
          <w:bookmarkEnd w:id="48"/>
          <w:p/>
        </w:tc>
      </w:tr>
    </w:tbl>
    <w:p>
      <w:pPr>
        <w:pStyle w:val="BodyText"/>
      </w:pPr>
      <w:r>
        <w:t xml:space="preserve">The models are adequate for all five responses and each of them retains predictive value on</w:t>
      </w:r>
      <w:r>
        <w:t xml:space="preserve"> </w:t>
      </w:r>
      <w:r>
        <w:t xml:space="preserve">runs it has not seen. R² ranges from 0.91 to</w:t>
      </w:r>
      <w:r>
        <w:t xml:space="preserve"> </w:t>
      </w:r>
      <w:r>
        <w:t xml:space="preserve">0.97, adjusted R² does not fall below</w:t>
      </w:r>
      <w:r>
        <w:t xml:space="preserve"> </w:t>
      </w:r>
      <w:r>
        <w:t xml:space="preserve">0.81 (high mannose), and predicted R² does not</w:t>
      </w:r>
      <w:r>
        <w:t xml:space="preserve"> </w:t>
      </w:r>
      <w:r>
        <w:t xml:space="preserve">fall below 0.60 (acidic variants), against a</w:t>
      </w:r>
      <w:r>
        <w:t xml:space="preserve"> </w:t>
      </w:r>
      <w:r>
        <w:t xml:space="preserve">highest value of 0.92. The response-surface</w:t>
      </w:r>
      <w:r>
        <w:t xml:space="preserve"> </w:t>
      </w:r>
      <w:r>
        <w:t xml:space="preserve">model is the predictive model and the basis of the design space, and it supersedes the</w:t>
      </w:r>
      <w:r>
        <w:t xml:space="preserve"> </w:t>
      </w:r>
      <w:r>
        <w:t xml:space="preserve">screening estimates wherever the two differ. Its predictions are mean levels, so a</w:t>
      </w:r>
      <w:r>
        <w:t xml:space="preserve"> </w:t>
      </w:r>
      <w:r>
        <w:t xml:space="preserve">prediction at the edge of the region carries about a one in two chance of falling on either</w:t>
      </w:r>
      <w:r>
        <w:t xml:space="preserve"> </w:t>
      </w:r>
      <w:r>
        <w:t xml:space="preserve">side of the predicted value if the variability around the mean is symmetric</w:t>
      </w:r>
      <w:r>
        <w:t xml:space="preserve"> </w:t>
      </w:r>
      <w:r>
        <w:t xml:space="preserve">(CMC Biotech Working Group 2009)</w:t>
      </w:r>
      <w:r>
        <w:t xml:space="preserve">.</w:t>
      </w:r>
      <w:r>
        <w:t xml:space="preserve"> </w:t>
      </w:r>
      <w:r>
        <w:t xml:space="preserve">The design space in §6 is therefore not offered as an assurance statement on its own, and</w:t>
      </w:r>
      <w:r>
        <w:t xml:space="preserve"> </w:t>
      </w:r>
      <w:r>
        <w:t xml:space="preserve">the assurance that a batch meets its criteria comes from the capability analysis in §8.</w:t>
      </w:r>
    </w:p>
    <w:p>
      <w:pPr>
        <w:pStyle w:val="BodyText"/>
      </w:pPr>
      <w:r>
        <w:t xml:space="preserve">Lack of fit is not significant for any response. The residual variance was partitioned</w:t>
      </w:r>
      <w:r>
        <w:t xml:space="preserve"> </w:t>
      </w:r>
      <w:r>
        <w:t xml:space="preserve">against the 3 pure-error degrees of freedom from the centre points, and</w:t>
      </w:r>
      <w:r>
        <w:t xml:space="preserve"> </w:t>
      </w:r>
      <w:r>
        <w:t xml:space="preserve">the smallest lack-of-fit p-value across the five responses is</w:t>
      </w:r>
      <w:r>
        <w:t xml:space="preserve"> </w:t>
      </w:r>
      <w:r>
        <w:t xml:space="preserve">0.15 (acidic variants), well above α = 0.05.</w:t>
      </w:r>
      <w:r>
        <w:t xml:space="preserve"> </w:t>
      </w:r>
      <w:r>
        <w:t xml:space="preserve">The quadratic form is therefore sufficient to describe the surfaces over the ranges run,</w:t>
      </w:r>
      <w:r>
        <w:t xml:space="preserve"> </w:t>
      </w:r>
      <w:r>
        <w:t xml:space="preserve">and no evidence was found that a higher-order model is needed.</w:t>
      </w:r>
      <w:r>
        <w:t xml:space="preserve"> </w:t>
      </w:r>
      <w:hyperlink w:anchor="tbl-anova-gal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and</w:t>
      </w:r>
      <w:r>
        <w:t xml:space="preserve"> </w:t>
      </w:r>
      <w:hyperlink w:anchor="tbl-anova-hm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give the partition for the two responses that drive the design space and the</w:t>
      </w:r>
      <w:r>
        <w:t xml:space="preserve"> </w:t>
      </w:r>
      <w:r>
        <w:t xml:space="preserve">capability claim.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anova-g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Analysis of variance with lack-of-fit partition, galactosylation response-surface model.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1.06e-07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4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anova-h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Analysis of variance with lack-of-fit partition, high mannose response-surface model.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50"/>
          <w:p/>
        </w:tc>
      </w:tr>
    </w:tbl>
    <w:p>
      <w:pPr>
        <w:pStyle w:val="BodyText"/>
      </w:pPr>
      <w:r>
        <w:t xml:space="preserve">The coefficient tables for the same two responses are given in</w:t>
      </w:r>
      <w:r>
        <w:t xml:space="preserve"> </w:t>
      </w:r>
      <w:hyperlink w:anchor="tbl-coef-gal">
        <w:r>
          <w:rPr>
            <w:rStyle w:val="Hyperlink"/>
          </w:rPr>
          <w:t xml:space="preserve">Table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bl-coef-hm">
        <w:r>
          <w:rPr>
            <w:rStyle w:val="Hyperlink"/>
          </w:rPr>
          <w:t xml:space="preserve">Table 15</w:t>
        </w:r>
      </w:hyperlink>
      <w:r>
        <w:t xml:space="preserve">, and the remaining three are in Appendix C. For galactosylation, the four main</w:t>
      </w:r>
      <w:r>
        <w:t xml:space="preserve"> </w:t>
      </w:r>
      <w:r>
        <w:t xml:space="preserve">effects, the pH by temperature, pH by duration and pH by pCO₂ interactions are all</w:t>
      </w:r>
      <w:r>
        <w:t xml:space="preserve"> </w:t>
      </w:r>
      <w:r>
        <w:t xml:space="preserve">significant, and none of the quadratic terms is. The surface is close to a plane with</w:t>
      </w:r>
      <w:r>
        <w:t xml:space="preserve"> </w:t>
      </w:r>
      <w:r>
        <w:t xml:space="preserve">strong twist, and the twist is what excludes the corner identified in §6. For high mannose</w:t>
      </w:r>
      <w:r>
        <w:t xml:space="preserve"> </w:t>
      </w:r>
      <w:r>
        <w:t xml:space="preserve">the picture is much simpler, with significant terms for culture pH, culture temperature and</w:t>
      </w:r>
      <w:r>
        <w:t xml:space="preserve"> </w:t>
      </w:r>
      <w:r>
        <w:t xml:space="preserve">two pH interactions, and no significant curvature.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coef-g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Response-surface coefficients on coded factors, galactosylation.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9.11e-17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7.13e-06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2.27e-08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4.11e-06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0.000279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5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coef-h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Response-surface coefficients on coded factors, high mannose.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2.06e-14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2.36e-07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52"/>
          <w:p/>
        </w:tc>
      </w:tr>
    </w:tbl>
    <w:p>
      <w:pPr>
        <w:pStyle w:val="BodyText"/>
      </w:pPr>
      <w:hyperlink w:anchor="fig-contour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fitted surfaces over the two factors that carry the largest</w:t>
      </w:r>
      <w:r>
        <w:t xml:space="preserve"> </w:t>
      </w:r>
      <w:r>
        <w:t xml:space="preserve">interaction, with the other two held at their set-points. The pH by duration twist is</w:t>
      </w:r>
      <w:r>
        <w:t xml:space="preserve"> </w:t>
      </w:r>
      <w:r>
        <w:t xml:space="preserve">visible in the afucosylation and galactosylation panels, where the direction of the pH</w:t>
      </w:r>
      <w:r>
        <w:t xml:space="preserve"> </w:t>
      </w:r>
      <w:r>
        <w:t xml:space="preserve">effect changes with culture duration. High mannose rises monotonically with pH and is</w:t>
      </w:r>
      <w:r>
        <w:t xml:space="preserve"> </w:t>
      </w:r>
      <w:r>
        <w:t xml:space="preserve">almost flat in duration, which is the graphical form of the null result reported in §5.2.</w:t>
      </w:r>
      <w:r>
        <w:t xml:space="preserve"> </w:t>
      </w:r>
      <w:r>
        <w:t xml:space="preserve">Aggregate rises with both factors and stays far below its limit throughout.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contours"/>
          <w:p>
            <w:pPr>
              <w:pStyle w:val="Compact"/>
              <w:jc w:val="center"/>
            </w:pPr>
            <w:r>
              <w:drawing>
                <wp:inline>
                  <wp:extent cx="5334000" cy="3196308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contours-output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963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Fitted response surfaces for the five measured attributes over culture pH and culture duration, with culture temperature and pCO₂ held at their set-points.</w:t>
            </w:r>
          </w:p>
          <w:bookmarkEnd w:id="56"/>
        </w:tc>
      </w:tr>
    </w:tbl>
    <w:p>
      <w:pPr>
        <w:pStyle w:val="BodyText"/>
      </w:pPr>
      <w:r>
        <w:t xml:space="preserve">Model diagnostics for the two responses that carry the argument are given in</w:t>
      </w:r>
      <w:r>
        <w:t xml:space="preserve"> </w:t>
      </w:r>
      <w:hyperlink w:anchor="fig-diag-g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and</w:t>
      </w:r>
      <w:r>
        <w:t xml:space="preserve"> </w:t>
      </w:r>
      <w:hyperlink w:anchor="fig-diag-hm">
        <w:r>
          <w:rPr>
            <w:rStyle w:val="Hyperlink"/>
          </w:rPr>
          <w:t xml:space="preserve">Figure 4</w:t>
        </w:r>
      </w:hyperlink>
      <w:r>
        <w:t xml:space="preserve">. In both cases the standardized residuals scatter without structure about</w:t>
      </w:r>
      <w:r>
        <w:t xml:space="preserve"> </w:t>
      </w:r>
      <w:r>
        <w:t xml:space="preserve">zero across the fitted range, the normal quantile plot is close to a straight line, and the</w:t>
      </w:r>
      <w:r>
        <w:t xml:space="preserve"> </w:t>
      </w:r>
      <w:r>
        <w:t xml:space="preserve">actual against predicted plot lies on the identity line. Nothing in the diagnostics</w:t>
      </w:r>
      <w:r>
        <w:t xml:space="preserve"> </w:t>
      </w:r>
      <w:r>
        <w:t xml:space="preserve">suggests a missing term, a variance that changes with the level of the response, or an</w:t>
      </w:r>
      <w:r>
        <w:t xml:space="preserve"> </w:t>
      </w:r>
      <w:r>
        <w:t xml:space="preserve">influential run. Diagnostics for the remaining three responses were reviewed to the same</w:t>
      </w:r>
      <w:r>
        <w:t xml:space="preserve"> </w:t>
      </w:r>
      <w:r>
        <w:t xml:space="preserve">standard and are held in the study record referenced by PCP-003.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iag-gal"/>
          <w:p>
            <w:pPr>
              <w:pStyle w:val="Compact"/>
              <w:jc w:val="center"/>
            </w:pPr>
            <w:r>
              <w:drawing>
                <wp:inline>
                  <wp:extent cx="5334000" cy="1671388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diag-gal-outpu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713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Response-surface model diagnostics for galactosylation: standardized residuals against predicted values, normal quantile plot, and actual against predicted.</w:t>
            </w:r>
          </w:p>
          <w:bookmarkEnd w:id="6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diag-hm"/>
          <w:p>
            <w:pPr>
              <w:pStyle w:val="Compact"/>
              <w:jc w:val="center"/>
            </w:pPr>
            <w:r>
              <w:drawing>
                <wp:inline>
                  <wp:extent cx="5334000" cy="1671388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diag-hm-outpu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713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Response-surface model diagnostics for high mannose: standardized residuals against predicted values, normal quantile plot, and actual against predicted.</w:t>
            </w:r>
          </w:p>
          <w:bookmarkEnd w:id="64"/>
        </w:tc>
      </w:tr>
    </w:tbl>
    <w:bookmarkEnd w:id="65"/>
    <w:bookmarkStart w:id="66" w:name="mechanistic-interpretation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The fitted surfaces follow the mechanisms set out in §2.1 in most respects, and they depart</w:t>
      </w:r>
      <w:r>
        <w:t xml:space="preserve"> </w:t>
      </w:r>
      <w:r>
        <w:t xml:space="preserve">from them in two. Culture temperature raises galactosylation, where §2.1 expected a lower</w:t>
      </w:r>
      <w:r>
        <w:t xml:space="preserve"> </w:t>
      </w:r>
      <w:r>
        <w:t xml:space="preserve">temperature to raise it, and culture pH lowers acidic charge variants, where deamidation</w:t>
      </w:r>
      <w:r>
        <w:t xml:space="preserve"> </w:t>
      </w:r>
      <w:r>
        <w:t xml:space="preserve">chemistry gives the opposite sign. Both are set out below with the coefficients that carry</w:t>
      </w:r>
      <w:r>
        <w:t xml:space="preserve"> </w:t>
      </w:r>
      <w:r>
        <w:t xml:space="preserve">them. The dominant effect on galactosylation is</w:t>
      </w:r>
      <w:r>
        <w:t xml:space="preserve"> </w:t>
      </w:r>
      <w:r>
        <w:t xml:space="preserve">culture duration, at -3.82 per coded unit, and it</w:t>
      </w:r>
      <w:r>
        <w:t xml:space="preserve"> </w:t>
      </w:r>
      <w:r>
        <w:t xml:space="preserve">is negative. Terminal galactosylation is added late in the secretory pathway by</w:t>
      </w:r>
      <w:r>
        <w:t xml:space="preserve"> </w:t>
      </w:r>
      <w:r>
        <w:t xml:space="preserve">galactosyltransferase, whose activity falls as the culture ages and the intracellular</w:t>
      </w:r>
      <w:r>
        <w:t xml:space="preserve"> </w:t>
      </w:r>
      <w:r>
        <w:t xml:space="preserve">environment acidifies, so material made in the last days of a long culture carries less</w:t>
      </w:r>
      <w:r>
        <w:t xml:space="preserve"> </w:t>
      </w:r>
      <w:r>
        <w:t xml:space="preserve">galactose. The negative pCO₂ coefficient of</w:t>
      </w:r>
      <w:r>
        <w:t xml:space="preserve"> </w:t>
      </w:r>
      <w:r>
        <w:t xml:space="preserve">-2.43 has the same root, since dissolved carbon</w:t>
      </w:r>
      <w:r>
        <w:t xml:space="preserve"> </w:t>
      </w:r>
      <w:r>
        <w:t xml:space="preserve">dioxide lowers intracellular pH and moves the Golgi away from the optimum for that enzyme.</w:t>
      </w:r>
      <w:r>
        <w:t xml:space="preserve"> </w:t>
      </w:r>
      <w:r>
        <w:t xml:space="preserve">Culture temperature acts the other way, at</w:t>
      </w:r>
      <w:r>
        <w:t xml:space="preserve"> </w:t>
      </w:r>
      <w:r>
        <w:t xml:space="preserve">+2.30 per coded unit, so a warmer culture carries</w:t>
      </w:r>
      <w:r>
        <w:t xml:space="preserve"> </w:t>
      </w:r>
      <w:r>
        <w:t xml:space="preserve">more galactose. That is the reverse of the expectation in §2.1, which took the longer</w:t>
      </w:r>
      <w:r>
        <w:t xml:space="preserve"> </w:t>
      </w:r>
      <w:r>
        <w:t xml:space="preserve">secretory residence time of a cooler culture to be the dominant route. The fitted sign says</w:t>
      </w:r>
      <w:r>
        <w:t xml:space="preserve"> </w:t>
      </w:r>
      <w:r>
        <w:t xml:space="preserve">that over the range studied the temperature dependence of the transferase itself outweighs</w:t>
      </w:r>
      <w:r>
        <w:t xml:space="preserve"> </w:t>
      </w:r>
      <w:r>
        <w:t xml:space="preserve">the residence time, and the screening estimate of</w:t>
      </w:r>
      <w:r>
        <w:t xml:space="preserve"> </w:t>
      </w:r>
      <w:r>
        <w:t xml:space="preserve">+3.5 percentage points across the range agrees</w:t>
      </w:r>
      <w:r>
        <w:t xml:space="preserve"> </w:t>
      </w:r>
      <w:r>
        <w:t xml:space="preserve">with the response-surface one.</w:t>
      </w:r>
    </w:p>
    <w:p>
      <w:pPr>
        <w:pStyle w:val="BodyText"/>
      </w:pPr>
      <w:r>
        <w:t xml:space="preserve">The pH by duration interaction is the term that forces a multivariate treatment. For both</w:t>
      </w:r>
      <w:r>
        <w:t xml:space="preserve"> </w:t>
      </w:r>
      <w:r>
        <w:t xml:space="preserve">afucosylation and galactosylation it is large and positive</w:t>
      </w:r>
      <w:r>
        <w:t xml:space="preserve"> </w:t>
      </w:r>
      <w:r>
        <w:t xml:space="preserve">(+1.32 and</w:t>
      </w:r>
      <w:r>
        <w:t xml:space="preserve"> </w:t>
      </w:r>
      <w:r>
        <w:t xml:space="preserve">+2.72 per coded unit), which means the effect of</w:t>
      </w:r>
      <w:r>
        <w:t xml:space="preserve"> </w:t>
      </w:r>
      <w:r>
        <w:t xml:space="preserve">raising pH depends on how long the culture is run and can change sign across the duration</w:t>
      </w:r>
      <w:r>
        <w:t xml:space="preserve"> </w:t>
      </w:r>
      <w:r>
        <w:t xml:space="preserve">range. A univariate range for pH, established at one duration, would not hold at another.</w:t>
      </w:r>
      <w:r>
        <w:t xml:space="preserve"> </w:t>
      </w:r>
      <w:r>
        <w:t xml:space="preserve">This is the quantitative reason the operating region for this step is stated as a</w:t>
      </w:r>
      <w:r>
        <w:t xml:space="preserve"> </w:t>
      </w:r>
      <w:r>
        <w:t xml:space="preserve">multivariate region in §6 and not as a set of independent ranges.</w:t>
      </w:r>
    </w:p>
    <w:p>
      <w:pPr>
        <w:pStyle w:val="BodyText"/>
      </w:pPr>
      <w:r>
        <w:t xml:space="preserve">High mannose behaves as a simpler system. Its dominant term is culture pH at</w:t>
      </w:r>
      <w:r>
        <w:t xml:space="preserve"> </w:t>
      </w:r>
      <w:r>
        <w:t xml:space="preserve">+1.09 per coded unit, with culture temperature at</w:t>
      </w:r>
      <w:r>
        <w:t xml:space="preserve"> </w:t>
      </w:r>
      <w:r>
        <w:t xml:space="preserve">-0.42. High mannose species are the ones that escape</w:t>
      </w:r>
      <w:r>
        <w:t xml:space="preserve"> </w:t>
      </w:r>
      <w:r>
        <w:t xml:space="preserve">processing by the mannosidases in the early Golgi, so they accumulate when processing</w:t>
      </w:r>
      <w:r>
        <w:t xml:space="preserve"> </w:t>
      </w:r>
      <w:r>
        <w:t xml:space="preserve">capacity is limiting relative to secretion flux. Raising pH and lowering temperature both</w:t>
      </w:r>
      <w:r>
        <w:t xml:space="preserve"> </w:t>
      </w:r>
      <w:r>
        <w:t xml:space="preserve">raise the specific secretion rate relative to that capacity, which is the expected</w:t>
      </w:r>
      <w:r>
        <w:t xml:space="preserve"> </w:t>
      </w:r>
      <w:r>
        <w:t xml:space="preserve">direction and is what the model shows. Neither pCO₂ nor culture duration has a significant</w:t>
      </w:r>
      <w:r>
        <w:t xml:space="preserve"> </w:t>
      </w:r>
      <w:r>
        <w:t xml:space="preserve">main effect on this response. Both interact significantly with culture pH, at</w:t>
      </w:r>
      <w:r>
        <w:t xml:space="preserve"> </w:t>
      </w:r>
      <w:r>
        <w:t xml:space="preserve">+0.29 and</w:t>
      </w:r>
      <w:r>
        <w:t xml:space="preserve"> </w:t>
      </w:r>
      <w:r>
        <w:t xml:space="preserve">-0.29 per coded unit (</w:t>
      </w:r>
      <w:hyperlink w:anchor="tbl-coef-hm">
        <w:r>
          <w:rPr>
            <w:rStyle w:val="Hyperlink"/>
          </w:rPr>
          <w:t xml:space="preserve">Table 15</w:t>
        </w:r>
      </w:hyperlink>
      <w:r>
        <w:t xml:space="preserve">), so their</w:t>
      </w:r>
      <w:r>
        <w:t xml:space="preserve"> </w:t>
      </w:r>
      <w:r>
        <w:t xml:space="preserve">influence is conditional on pH and is small beside the pH main effect. That pattern is</w:t>
      </w:r>
      <w:r>
        <w:t xml:space="preserve"> </w:t>
      </w:r>
      <w:r>
        <w:t xml:space="preserve">consistent with a limitation set early in the pathway, in the compartment pH acts on rather</w:t>
      </w:r>
      <w:r>
        <w:t xml:space="preserve"> </w:t>
      </w:r>
      <w:r>
        <w:t xml:space="preserve">than in the later ones.</w:t>
      </w:r>
    </w:p>
    <w:p>
      <w:pPr>
        <w:pStyle w:val="BodyText"/>
      </w:pPr>
      <w:r>
        <w:t xml:space="preserve">Acidic charge variants are dominated by pCO₂ at</w:t>
      </w:r>
      <w:r>
        <w:t xml:space="preserve"> </w:t>
      </w:r>
      <w:r>
        <w:t xml:space="preserve">-4.09 per coded unit. Deamidation of asparagine</w:t>
      </w:r>
      <w:r>
        <w:t xml:space="preserve"> </w:t>
      </w:r>
      <w:r>
        <w:t xml:space="preserve">residues is base catalysed, and dissolved carbon dioxide lowers the pH of the culture fluid</w:t>
      </w:r>
      <w:r>
        <w:t xml:space="preserve"> </w:t>
      </w:r>
      <w:r>
        <w:t xml:space="preserve">in which secreted antibody accumulates, so a higher pCO₂ suppresses the reaction. The pH</w:t>
      </w:r>
      <w:r>
        <w:t xml:space="preserve"> </w:t>
      </w:r>
      <w:r>
        <w:t xml:space="preserve">main effect does not follow that logic. Culture pH enters the same model at</w:t>
      </w:r>
      <w:r>
        <w:t xml:space="preserve"> </w:t>
      </w:r>
      <w:r>
        <w:t xml:space="preserve">-2.01 per coded unit, so a higher controlled pH</w:t>
      </w:r>
      <w:r>
        <w:t xml:space="preserve"> </w:t>
      </w:r>
      <w:r>
        <w:t xml:space="preserve">gives fewer acidic variants, where base catalysis on its own would give more. The icIEF</w:t>
      </w:r>
      <w:r>
        <w:t xml:space="preserve"> </w:t>
      </w:r>
      <w:r>
        <w:t xml:space="preserve">acidic peak sums species formed by more than one route, and the fitted sign is a property</w:t>
      </w:r>
      <w:r>
        <w:t xml:space="preserve"> </w:t>
      </w:r>
      <w:r>
        <w:t xml:space="preserve">of that summed measurement and not of deamidation alone. The attribute is of very low</w:t>
      </w:r>
      <w:r>
        <w:t xml:space="preserve"> </w:t>
      </w:r>
      <w:r>
        <w:t xml:space="preserve">criticality and the predicted levels stay well inside acceptance across the whole region</w:t>
      </w:r>
      <w:r>
        <w:t xml:space="preserve"> </w:t>
      </w:r>
      <w:r>
        <w:t xml:space="preserve">(§6), so the departure is recorded here and is not carried further. Aggregate</w:t>
      </w:r>
      <w:r>
        <w:t xml:space="preserve"> </w:t>
      </w:r>
      <w:r>
        <w:t xml:space="preserve">rises with pH and with duration</w:t>
      </w:r>
      <w:r>
        <w:t xml:space="preserve"> </w:t>
      </w:r>
      <w:r>
        <w:t xml:space="preserve">(+0.37 and</w:t>
      </w:r>
      <w:r>
        <w:t xml:space="preserve"> </w:t>
      </w:r>
      <w:r>
        <w:t xml:space="preserve">+0.28 per coded unit), which is consistent with the</w:t>
      </w:r>
      <w:r>
        <w:t xml:space="preserve"> </w:t>
      </w:r>
      <w:r>
        <w:t xml:space="preserve">release of intracellular material as viability declines and with the reduced colloidal</w:t>
      </w:r>
      <w:r>
        <w:t xml:space="preserve"> </w:t>
      </w:r>
      <w:r>
        <w:t xml:space="preserve">stability of the molecule at the upper end of the pH range. Neither effect is large enough</w:t>
      </w:r>
      <w:r>
        <w:t xml:space="preserve"> </w:t>
      </w:r>
      <w:r>
        <w:t xml:space="preserve">to threaten the aggregate limit within the region studied, and cation exchange provides the</w:t>
      </w:r>
      <w:r>
        <w:t xml:space="preserve"> </w:t>
      </w:r>
      <w:r>
        <w:t xml:space="preserve">polishing step for this attribute in any case (PCR-007).</w:t>
      </w:r>
    </w:p>
    <w:bookmarkEnd w:id="66"/>
    <w:bookmarkEnd w:id="67"/>
    <w:bookmarkStart w:id="73" w:name="design-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design space for the production bioreactor is a multivariate region in culture pH,</w:t>
      </w:r>
      <w:r>
        <w:t xml:space="preserve"> </w:t>
      </w:r>
      <w:r>
        <w:t xml:space="preserve">culture temperature, culture duration and pCO₂, with osmolality at its normal operating</w:t>
      </w:r>
      <w:r>
        <w:t xml:space="preserve"> </w:t>
      </w:r>
      <w:r>
        <w:t xml:space="preserve">range, over which every attribute the step sets remains within its acceptance criterion. It</w:t>
      </w:r>
      <w:r>
        <w:t xml:space="preserve"> </w:t>
      </w:r>
      <w:r>
        <w:t xml:space="preserve">is the characterized region of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with one corner removed, and that single</w:t>
      </w:r>
      <w:r>
        <w:t xml:space="preserve"> </w:t>
      </w:r>
      <w:r>
        <w:t xml:space="preserve">exclusion bounds everything else in this section.</w:t>
      </w:r>
    </w:p>
    <w:p>
      <w:pPr>
        <w:pStyle w:val="BodyText"/>
      </w:pPr>
      <w:r>
        <w:t xml:space="preserve">One corner of the characterized region fails. With culture pH at</w:t>
      </w:r>
      <w:r>
        <w:t xml:space="preserve"> </w:t>
      </w:r>
      <w:r>
        <w:t xml:space="preserve">6.6, culture duration at 15 days and</w:t>
      </w:r>
      <w:r>
        <w:t xml:space="preserve"> </w:t>
      </w:r>
      <w:r>
        <w:t xml:space="preserve">pCO₂ at 40 mmHg, all three at their low edges, and culture</w:t>
      </w:r>
      <w:r>
        <w:t xml:space="preserve"> </w:t>
      </w:r>
      <w:r>
        <w:t xml:space="preserve">temperature at 36 °C at its high edge, the fitted model</w:t>
      </w:r>
      <w:r>
        <w:t xml:space="preserve"> </w:t>
      </w:r>
      <w:r>
        <w:t xml:space="preserve">predicts galactosylation of 40.27 % against an upper limit</w:t>
      </w:r>
      <w:r>
        <w:t xml:space="preserve"> </w:t>
      </w:r>
      <w:r>
        <w:t xml:space="preserve">of 40 %. The exceedance is 0.27 percentage</w:t>
      </w:r>
      <w:r>
        <w:t xml:space="preserve"> </w:t>
      </w:r>
      <w:r>
        <w:t xml:space="preserve">points, and it is an edge of failure in the sense of the case study: a boundary the ranges</w:t>
      </w:r>
      <w:r>
        <w:t xml:space="preserve"> </w:t>
      </w:r>
      <w:r>
        <w:t xml:space="preserve">were deliberately wide enough to find</w:t>
      </w:r>
      <w:r>
        <w:t xml:space="preserve"> </w:t>
      </w:r>
      <w:r>
        <w:t xml:space="preserve">(CMC Biotech Working Group 2009)</w:t>
      </w:r>
      <w:r>
        <w:t xml:space="preserve">. The mechanism is the pH by duration</w:t>
      </w:r>
      <w:r>
        <w:t xml:space="preserve"> </w:t>
      </w:r>
      <w:r>
        <w:t xml:space="preserve">interaction described in §5.4, reinforced by the low pCO₂ and high temperature edges, each</w:t>
      </w:r>
      <w:r>
        <w:t xml:space="preserve"> </w:t>
      </w:r>
      <w:r>
        <w:t xml:space="preserve">of which raises galactosylation on its own.</w:t>
      </w:r>
    </w:p>
    <w:p>
      <w:pPr>
        <w:pStyle w:val="BodyText"/>
      </w:pPr>
      <w:r>
        <w:t xml:space="preserve">The exclusion is small and it is remote from the operating point. Across a grid of</w:t>
      </w:r>
      <w:r>
        <w:t xml:space="preserve"> </w:t>
      </w:r>
      <w:r>
        <w:t xml:space="preserve">21 levels in each of the four response-surface factors, which is</w:t>
      </w:r>
      <w:r>
        <w:t xml:space="preserve"> </w:t>
      </w:r>
      <w:r>
        <w:t xml:space="preserve">194,481 combinations, the models place all five attributes inside their</w:t>
      </w:r>
      <w:r>
        <w:t xml:space="preserve"> </w:t>
      </w:r>
      <w:r>
        <w:t xml:space="preserve">acceptance criteria at all but 3 points. Every one of those points fails on</w:t>
      </w:r>
      <w:r>
        <w:t xml:space="preserve"> </w:t>
      </w:r>
      <w:r>
        <w:t xml:space="preserve">galactosylation, and no other response fails anywhere in the region.</w:t>
      </w:r>
      <w:r>
        <w:t xml:space="preserve"> </w:t>
      </w:r>
      <w:hyperlink w:anchor="tbl-nor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evaluates the same models at the 16 corners of the normal operating</w:t>
      </w:r>
      <w:r>
        <w:t xml:space="preserve"> </w:t>
      </w:r>
      <w:r>
        <w:t xml:space="preserve">ranges, which is the box the process is actually controlled within.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n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Predicted attribute levels at the 16 corners of the normal operating ranges, against the acceptance criterion for each response.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32"/>
              <w:gridCol w:w="1192"/>
              <w:gridCol w:w="1107"/>
              <w:gridCol w:w="2043"/>
              <w:gridCol w:w="204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 over NOR corners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 over NOR corners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 sided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 sided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 sided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1.81</w:t>
                  </w:r>
                </w:p>
              </w:tc>
            </w:tr>
          </w:tbl>
          <w:bookmarkEnd w:id="68"/>
          <w:p/>
        </w:tc>
      </w:tr>
    </w:tbl>
    <w:p>
      <w:pPr>
        <w:pStyle w:val="BodyText"/>
      </w:pPr>
      <w:r>
        <w:t xml:space="preserve">Every attribute stays within its criterion at every corner of the normal operating ranges,</w:t>
      </w:r>
      <w:r>
        <w:t xml:space="preserve"> </w:t>
      </w:r>
      <w:r>
        <w:t xml:space="preserve">with margin. The criterion column of</w:t>
      </w:r>
      <w:r>
        <w:t xml:space="preserve"> </w:t>
      </w:r>
      <w:hyperlink w:anchor="tbl-nor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states how each limit applies. Acidic charge</w:t>
      </w:r>
      <w:r>
        <w:t xml:space="preserve"> </w:t>
      </w:r>
      <w:r>
        <w:t xml:space="preserve">variants are judged against their upper limit alone, so the lower figure of the range stated</w:t>
      </w:r>
      <w:r>
        <w:t xml:space="preserve"> </w:t>
      </w:r>
      <w:r>
        <w:t xml:space="preserve">for them is a range of experience and not an acceptance limit. The highest predicted galactosylation at any corner is</w:t>
      </w:r>
      <w:r>
        <w:t xml:space="preserve"> </w:t>
      </w:r>
      <w:r>
        <w:t xml:space="preserve">31.8 %, leaving 8.2 percentage</w:t>
      </w:r>
      <w:r>
        <w:t xml:space="preserve"> </w:t>
      </w:r>
      <w:r>
        <w:t xml:space="preserve">points to the limit, and the worst-case corner of the design space is</w:t>
      </w:r>
      <w:r>
        <w:t xml:space="preserve"> </w:t>
      </w:r>
      <w:r>
        <w:t xml:space="preserve">8.5 percentage points further out again. The three</w:t>
      </w:r>
      <w:r>
        <w:t xml:space="preserve"> </w:t>
      </w:r>
      <w:r>
        <w:t xml:space="preserve">nested regions are therefore the normal operating ranges inside the design space inside the</w:t>
      </w:r>
      <w:r>
        <w:t xml:space="preserve"> </w:t>
      </w:r>
      <w:r>
        <w:t xml:space="preserve">knowledge space, which is the nesting described in the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The plane that carries the dominant interaction is drawn in</w:t>
      </w:r>
      <w:r>
        <w:t xml:space="preserve"> </w:t>
      </w:r>
      <w:hyperlink w:anchor="fig-designspace">
        <w:r>
          <w:rPr>
            <w:rStyle w:val="Hyperlink"/>
          </w:rPr>
          <w:t xml:space="preserve">Figure 5</w:t>
        </w:r>
      </w:hyperlink>
      <w:r>
        <w:t xml:space="preserve">, with culture</w:t>
      </w:r>
      <w:r>
        <w:t xml:space="preserve"> </w:t>
      </w:r>
      <w:r>
        <w:t xml:space="preserve">temperature and pCO₂ at their set-points. No part of the excluded corner appears there,</w:t>
      </w:r>
      <w:r>
        <w:t xml:space="preserve"> </w:t>
      </w:r>
      <w:r>
        <w:t xml:space="preserve">since the exclusion needs culture temperature at its high edge and pCO₂ at its low edge at</w:t>
      </w:r>
      <w:r>
        <w:t xml:space="preserve"> </w:t>
      </w:r>
      <w:r>
        <w:t xml:space="preserve">the same time. The figure is the plane through the operating point and not the worst-case</w:t>
      </w:r>
      <w:r>
        <w:t xml:space="preserve"> </w:t>
      </w:r>
      <w:r>
        <w:t xml:space="preserve">plane, and every point in it satisfies all five criteria.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designspace"/>
          <w:p>
            <w:pPr>
              <w:pStyle w:val="Compact"/>
              <w:jc w:val="center"/>
            </w:pPr>
            <w:r>
              <w:drawing>
                <wp:inline>
                  <wp:extent cx="5334000" cy="4339149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bioreactor_designspac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91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Production-bioreactor design space in the culture pH by culture duration plane, with culture temperature and pCO₂ at their set-points. The shaded region satisfies all five attribute criteria simultaneously, the contours are afucosylation, the dotted rectangle is the normal operating range and the marker is the set-point. Acceptance boundaries are drawn as dashed lines, and none falls inside this plane.</w:t>
            </w:r>
          </w:p>
          <w:bookmarkEnd w:id="72"/>
        </w:tc>
      </w:tr>
    </w:tbl>
    <w:p>
      <w:pPr>
        <w:pStyle w:val="BodyText"/>
      </w:pPr>
      <w:r>
        <w:t xml:space="preserve">Movement within the design space is not a change from a regulatory filing perspective, as</w:t>
      </w:r>
      <w:r>
        <w:t xml:space="preserve"> </w:t>
      </w:r>
      <w:r>
        <w:t xml:space="preserve">stated in ICH Q8</w:t>
      </w:r>
      <w:r>
        <w:t xml:space="preserve"> </w:t>
      </w:r>
      <w:r>
        <w:t xml:space="preserve">(International Council for Harmonisation 2009)</w:t>
      </w:r>
      <w:r>
        <w:t xml:space="preserve">. It remains subject to the pharmaceutical quality system, so a</w:t>
      </w:r>
      <w:r>
        <w:t xml:space="preserve"> </w:t>
      </w:r>
      <w:r>
        <w:t xml:space="preserve">planned move within the region is assessed prospectively under change control before it is</w:t>
      </w:r>
      <w:r>
        <w:t xml:space="preserve"> </w:t>
      </w:r>
      <w:r>
        <w:t xml:space="preserve">made</w:t>
      </w:r>
      <w:r>
        <w:t xml:space="preserve"> </w:t>
      </w:r>
      <w:r>
        <w:t xml:space="preserve">(International Council for Harmonisation 2008)</w:t>
      </w:r>
      <w:r>
        <w:t xml:space="preserve">. Movement outside the region, including any operation in the excluded</w:t>
      </w:r>
      <w:r>
        <w:t xml:space="preserve"> </w:t>
      </w:r>
      <w:r>
        <w:t xml:space="preserve">corner, is a change and requires prior approval.</w:t>
      </w:r>
    </w:p>
    <w:p>
      <w:pPr>
        <w:pStyle w:val="BodyText"/>
      </w:pPr>
      <w:r>
        <w:t xml:space="preserve">Three bounds apply to this claim. First, the region is defined only over the ranges</w:t>
      </w:r>
      <w:r>
        <w:t xml:space="preserve"> </w:t>
      </w:r>
      <w:r>
        <w:t xml:space="preserve">characterized, and no statement is made about conditions outside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. Second, the</w:t>
      </w:r>
      <w:r>
        <w:t xml:space="preserve"> </w:t>
      </w:r>
      <w:r>
        <w:t xml:space="preserve">response-surface model</w:t>
      </w:r>
      <w:r>
        <w:t xml:space="preserve"> </w:t>
      </w:r>
      <w:r>
        <w:t xml:space="preserve">predicts mean levels of each attribute, so the boundary of the region is a mean-level</w:t>
      </w:r>
      <w:r>
        <w:t xml:space="preserve"> </w:t>
      </w:r>
      <w:r>
        <w:t xml:space="preserve">boundary and the assurance that a batch meets its criterion comes from the capability</w:t>
      </w:r>
      <w:r>
        <w:t xml:space="preserve"> </w:t>
      </w:r>
      <w:r>
        <w:t xml:space="preserve">analysis in §8, not from the boundary itself. Third, the region rests on a scale-down model</w:t>
      </w:r>
      <w:r>
        <w:t xml:space="preserve"> </w:t>
      </w:r>
      <w:r>
        <w:t xml:space="preserve">qualified for this cell line, this medium platform and these ranges, and it has not been</w:t>
      </w:r>
      <w:r>
        <w:t xml:space="preserve"> </w:t>
      </w:r>
      <w:r>
        <w:t xml:space="preserve">confirmed at commercial scale at its edges. Confirmation at the set-point and within the</w:t>
      </w:r>
      <w:r>
        <w:t xml:space="preserve"> </w:t>
      </w:r>
      <w:r>
        <w:t xml:space="preserve">normal operating ranges is the object of the process performance qualification.</w:t>
      </w:r>
    </w:p>
    <w:bookmarkEnd w:id="73"/>
    <w:bookmarkStart w:id="95" w:name="proven-acceptable-ranges"/>
    <w:p>
      <w:pPr>
        <w:pStyle w:val="Heading1"/>
      </w:pPr>
      <w:r>
        <w:t xml:space="preserve">7. Proven acceptable ranges</w:t>
      </w:r>
    </w:p>
    <w:p>
      <w:pPr>
        <w:pStyle w:val="FirstParagraph"/>
      </w:pPr>
      <w:r>
        <w:t xml:space="preserve">The proven acceptable ranges complement the design space. Where the design space is the</w:t>
      </w:r>
      <w:r>
        <w:t xml:space="preserve"> </w:t>
      </w:r>
      <w:r>
        <w:t xml:space="preserve">multivariate region, a proven acceptable range is the range of one parameter over which one</w:t>
      </w:r>
      <w:r>
        <w:t xml:space="preserve"> </w:t>
      </w:r>
      <w:r>
        <w:t xml:space="preserve">attribute stays within acceptance, and the two answer different questions. The acceptance</w:t>
      </w:r>
      <w:r>
        <w:t xml:space="preserve"> </w:t>
      </w:r>
      <w:r>
        <w:t xml:space="preserve">criteria used are the drug-substance criteria of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, which for the five measured</w:t>
      </w:r>
      <w:r>
        <w:t xml:space="preserve"> </w:t>
      </w:r>
      <w:r>
        <w:t xml:space="preserve">attributes are the study-provided specifications and require no back-calculation. No viral</w:t>
      </w:r>
      <w:r>
        <w:t xml:space="preserve"> </w:t>
      </w:r>
      <w:r>
        <w:t xml:space="preserve">clearance attribute is in scope at this step, so no step-level floor had to be derived.</w:t>
      </w:r>
    </w:p>
    <w:p>
      <w:pPr>
        <w:pStyle w:val="BodyText"/>
      </w:pPr>
      <w:hyperlink w:anchor="tbl-par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gives, for each governed attribute and each response-surface factor, the</w:t>
      </w:r>
      <w:r>
        <w:t xml:space="preserve"> </w:t>
      </w:r>
      <w:r>
        <w:t xml:space="preserve">characterization range and both analyses described in §3.5.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p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Proven acceptable ranges by attribute and parameter. The set-point analysis holds the other factors at their set-points; the NOR analysis varies them within their normal operating ranges by Monte-Carlo of the fitted model.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00"/>
              <w:gridCol w:w="1834"/>
              <w:gridCol w:w="1250"/>
              <w:gridCol w:w="666"/>
              <w:gridCol w:w="1584"/>
              <w:gridCol w:w="108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(set-point)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(NOR)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</w:tr>
          </w:tbl>
          <w:bookmarkEnd w:id="74"/>
          <w:p/>
        </w:tc>
      </w:tr>
    </w:tbl>
    <w:p>
      <w:pPr>
        <w:pStyle w:val="BodyText"/>
      </w:pPr>
      <w:r>
        <w:t xml:space="preserve">Every proven acceptable range in the table spans the full characterization range of its</w:t>
      </w:r>
      <w:r>
        <w:t xml:space="preserve"> </w:t>
      </w:r>
      <w:r>
        <w:t xml:space="preserve">parameter, under both analyses. No single parameter, moved alone across the whole range</w:t>
      </w:r>
      <w:r>
        <w:t xml:space="preserve"> </w:t>
      </w:r>
      <w:r>
        <w:t xml:space="preserve">studied, takes any attribute out of specification, and that remains true when the other</w:t>
      </w:r>
      <w:r>
        <w:t xml:space="preserve"> </w:t>
      </w:r>
      <w:r>
        <w:t xml:space="preserve">three parameters vary randomly within their normal operating ranges. It does not mean that</w:t>
      </w:r>
      <w:r>
        <w:t xml:space="preserve"> </w:t>
      </w:r>
      <w:r>
        <w:t xml:space="preserve">every combination of parameters is acceptable, and §6 shows one combination that is not.</w:t>
      </w:r>
      <w:r>
        <w:t xml:space="preserve"> </w:t>
      </w:r>
      <w:r>
        <w:t xml:space="preserve">The binding</w:t>
      </w:r>
      <w:r>
        <w:t xml:space="preserve"> </w:t>
      </w:r>
      <w:r>
        <w:t xml:space="preserve">constraint on the operating region at this step is the multivariate corner, not any</w:t>
      </w:r>
      <w:r>
        <w:t xml:space="preserve"> </w:t>
      </w:r>
      <w:r>
        <w:t xml:space="preserve">univariate proven acceptable range.</w:t>
      </w:r>
    </w:p>
    <w:p>
      <w:pPr>
        <w:pStyle w:val="BodyText"/>
      </w:pPr>
      <w:r>
        <w:t xml:space="preserve">The reason the two columns agree is that the effects are moderate relative to the width of</w:t>
      </w:r>
      <w:r>
        <w:t xml:space="preserve"> </w:t>
      </w:r>
      <w:r>
        <w:t xml:space="preserve">the acceptance criteria and the normal operating ranges are narrow. Propagating normal</w:t>
      </w:r>
      <w:r>
        <w:t xml:space="preserve"> </w:t>
      </w:r>
      <w:r>
        <w:t xml:space="preserve">operating variation in the other three factors widens the predictive interval of each</w:t>
      </w:r>
      <w:r>
        <w:t xml:space="preserve"> </w:t>
      </w:r>
      <w:r>
        <w:t xml:space="preserve">attribute, but not far enough to reach a limit anywhere along the scanned range. The one</w:t>
      </w:r>
      <w:r>
        <w:t xml:space="preserve"> </w:t>
      </w:r>
      <w:r>
        <w:t xml:space="preserve">attribute where the two analyses would be expected to separate first is</w:t>
      </w:r>
      <w:r>
        <w:t xml:space="preserve"> </w:t>
      </w:r>
      <w:r>
        <w:t xml:space="preserve">galactosylation, since it has both the largest effects and the interaction that</w:t>
      </w:r>
      <w:r>
        <w:t xml:space="preserve"> </w:t>
      </w:r>
      <w:r>
        <w:t xml:space="preserve">produces the excluded corner, and even there the propagated interval stays inside the</w:t>
      </w:r>
      <w:r>
        <w:t xml:space="preserve"> </w:t>
      </w:r>
      <w:r>
        <w:t xml:space="preserve">criterion.</w:t>
      </w:r>
    </w:p>
    <w:p>
      <w:pPr>
        <w:pStyle w:val="BodyText"/>
      </w:pPr>
      <w:hyperlink w:anchor="fig-par-afu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to</w:t>
      </w:r>
      <w:r>
        <w:t xml:space="preserve"> </w:t>
      </w:r>
      <w:hyperlink w:anchor="fig-par-agg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give the analysis for each governed attribute against its</w:t>
      </w:r>
      <w:r>
        <w:t xml:space="preserve"> </w:t>
      </w:r>
      <w:r>
        <w:t xml:space="preserve">governing parameter, which is the parameter with the largest fitted main effect on that</w:t>
      </w:r>
      <w:r>
        <w:t xml:space="preserve"> </w:t>
      </w:r>
      <w:r>
        <w:t xml:space="preserve">attribute.</w:t>
      </w:r>
      <w:r>
        <w:t xml:space="preserve"> </w:t>
      </w:r>
      <w:r>
        <w:t xml:space="preserve">The acceptable region is shaded, the acceptance limits are drawn, and the set-point and</w:t>
      </w:r>
      <w:r>
        <w:t xml:space="preserve"> </w:t>
      </w:r>
      <w:r>
        <w:t xml:space="preserve">normal operating range are marked. The left panel of each figure is the set-point analysis</w:t>
      </w:r>
      <w:r>
        <w:t xml:space="preserve"> </w:t>
      </w:r>
      <w:r>
        <w:t xml:space="preserve">and the right panel the Monte-Carlo analysis, with its 95 % predictive interval.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par-afu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par-afu-outpu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Proven acceptable range for afucosylation against its governing parameter, at the set-point of the other factors (left) and with the other factors varying within their normal operating ranges (right).</w:t>
            </w:r>
          </w:p>
          <w:bookmarkEnd w:id="78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par-gal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par-gal-outpu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Proven acceptable range for galactosylation against its governing parameter, at the set-point of the other factors (left) and with the other factors varying within their normal operating ranges (right).</w:t>
            </w:r>
          </w:p>
          <w:bookmarkEnd w:id="82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ar-hm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par-hm-output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Proven acceptable range for high mannose against its governing parameter, at the set-point of the other factors (left) and with the other factors varying within their normal operating ranges (right).</w:t>
            </w:r>
          </w:p>
          <w:bookmarkEnd w:id="8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ar-acid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par-acid-output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Proven acceptable range for acidic charge variants against its governing parameter, at the set-point of the other factors (left) and with the other factors varying within their normal operating ranges (right).</w:t>
            </w:r>
          </w:p>
          <w:bookmarkEnd w:id="9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par-agg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par-agg-output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Proven acceptable range for high molecular weight aggregate against its governing parameter, at the set-point of the other factors (left) and with the other factors varying within their normal operating ranges (right).</w:t>
            </w:r>
          </w:p>
          <w:bookmarkEnd w:id="94"/>
        </w:tc>
      </w:tr>
    </w:tbl>
    <w:p>
      <w:pPr>
        <w:pStyle w:val="BodyText"/>
      </w:pPr>
      <w:r>
        <w:t xml:space="preserve">Two bounds apply. The ranges are proven over the characterization ranges of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against the fitted response-surface model, so they are supported by data only where data</w:t>
      </w:r>
      <w:r>
        <w:t xml:space="preserve"> </w:t>
      </w:r>
      <w:r>
        <w:t xml:space="preserve">were taken. They are also computed at osmolality within its normal operating range, since</w:t>
      </w:r>
      <w:r>
        <w:t xml:space="preserve"> </w:t>
      </w:r>
      <w:r>
        <w:t xml:space="preserve">osmolality was not a response-surface factor (§4.3).</w:t>
      </w:r>
    </w:p>
    <w:bookmarkEnd w:id="95"/>
    <w:bookmarkStart w:id="97" w:name="process-capability-and-robustness"/>
    <w:p>
      <w:pPr>
        <w:pStyle w:val="Heading1"/>
      </w:pPr>
      <w:r>
        <w:t xml:space="preserve">8. Process capability and robustness</w:t>
      </w:r>
    </w:p>
    <w:p>
      <w:pPr>
        <w:pStyle w:val="FirstParagraph"/>
      </w:pPr>
      <w:r>
        <w:t xml:space="preserve">Commercial-scale capability was estimated by Monte-Carlo simulation of</w:t>
      </w:r>
      <w:r>
        <w:t xml:space="preserve"> </w:t>
      </w:r>
      <w:r>
        <w:t xml:space="preserve">2,000 batches, each with every parameter drawn independently</w:t>
      </w:r>
      <w:r>
        <w:t xml:space="preserve"> </w:t>
      </w:r>
      <w:r>
        <w:t xml:space="preserve">within its normal operating range and each attribute predicted from the fitted models with</w:t>
      </w:r>
      <w:r>
        <w:t xml:space="preserve"> </w:t>
      </w:r>
      <w:r>
        <w:t xml:space="preserve">their residual variability.</w:t>
      </w:r>
      <w:r>
        <w:t xml:space="preserve"> </w:t>
      </w:r>
      <w:hyperlink w:anchor="tbl-cap">
        <w:r>
          <w:rPr>
            <w:rStyle w:val="Hyperlink"/>
          </w:rPr>
          <w:t xml:space="preserve">Table 18</w:t>
        </w:r>
      </w:hyperlink>
      <w:r>
        <w:t xml:space="preserve"> </w:t>
      </w:r>
      <w:r>
        <w:t xml:space="preserve">gives the outcome for the seven attributes the step</w:t>
      </w:r>
      <w:r>
        <w:t xml:space="preserve"> </w:t>
      </w:r>
      <w:r>
        <w:t xml:space="preserve">sets.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Predicted commercial-scale capability for the attributes set by the production bioreactor, from 2,000 simulated batches with all parameters inside their normal operating ranges.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01"/>
              <w:gridCol w:w="758"/>
              <w:gridCol w:w="926"/>
              <w:gridCol w:w="1179"/>
              <w:gridCol w:w="1263"/>
              <w:gridCol w:w="5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7.98 ± 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 ± 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5.99 ± 0.51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22.3 ± 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</w:t>
                  </w:r>
                </w:p>
              </w:tc>
            </w:tr>
          </w:tbl>
          <w:bookmarkEnd w:id="96"/>
          <w:p/>
        </w:tc>
      </w:tr>
    </w:tbl>
    <w:p>
      <w:pPr>
        <w:pStyle w:val="BodyText"/>
      </w:pPr>
      <w:r>
        <w:t xml:space="preserve">Every attribute meets its acceptance criterion, and the tightest capability is comfortable.</w:t>
      </w:r>
      <w:r>
        <w:t xml:space="preserve"> </w:t>
      </w:r>
      <w:r>
        <w:t xml:space="preserve">High Mannose is the binding attribute with a one-sided Cpk of</w:t>
      </w:r>
      <w:r>
        <w:t xml:space="preserve"> </w:t>
      </w:r>
      <w:r>
        <w:t xml:space="preserve">1.94. Its predicted mean is</w:t>
      </w:r>
      <w:r>
        <w:t xml:space="preserve"> </w:t>
      </w:r>
      <w:r>
        <w:t xml:space="preserve">5.99 % of glycans, which sits</w:t>
      </w:r>
      <w:r>
        <w:t xml:space="preserve"> </w:t>
      </w:r>
      <w:r>
        <w:t xml:space="preserve">2.99 percentage points above the lower limit and</w:t>
      </w:r>
      <w:r>
        <w:t xml:space="preserve"> </w:t>
      </w:r>
      <w:r>
        <w:t xml:space="preserve">4.01 percentage points below the other one. That this is the</w:t>
      </w:r>
      <w:r>
        <w:t xml:space="preserve"> </w:t>
      </w:r>
      <w:r>
        <w:t xml:space="preserve">tightest of the seven follows from the attribute and not from the process, since high</w:t>
      </w:r>
      <w:r>
        <w:t xml:space="preserve"> </w:t>
      </w:r>
      <w:r>
        <w:t xml:space="preserve">mannose has the narrowest acceptance range of the glycan attributes and the largest relative</w:t>
      </w:r>
      <w:r>
        <w:t xml:space="preserve"> </w:t>
      </w:r>
      <w:r>
        <w:t xml:space="preserve">variability at the centre point (§5.1). The other two glycan attributes follow at</w:t>
      </w:r>
      <w:r>
        <w:t xml:space="preserve"> </w:t>
      </w:r>
      <w:r>
        <w:t xml:space="preserve">Cpk values close to 2.9.</w:t>
      </w:r>
    </w:p>
    <w:p>
      <w:pPr>
        <w:pStyle w:val="BodyText"/>
      </w:pPr>
      <w:r>
        <w:t xml:space="preserve">Three of the seven attributes carry capability that is not this step’s alone.</w:t>
      </w:r>
      <w:r>
        <w:t xml:space="preserve"> </w:t>
      </w:r>
      <w:r>
        <w:t xml:space="preserve">Aggregates (HMW) shows the highest index in the table at</w:t>
      </w:r>
      <w:r>
        <w:t xml:space="preserve"> </w:t>
      </w:r>
      <w:r>
        <w:t xml:space="preserve">16, which reflects the cation exchange polish and not the</w:t>
      </w:r>
      <w:r>
        <w:t xml:space="preserve"> </w:t>
      </w:r>
      <w:r>
        <w:t xml:space="preserve">culture (PCR-007). The bioreactor delivers aggregate at the level shown at the centre point</w:t>
      </w:r>
      <w:r>
        <w:t xml:space="preserve"> </w:t>
      </w:r>
      <w:r>
        <w:t xml:space="preserve">in</w:t>
      </w:r>
      <w:r>
        <w:t xml:space="preserve"> </w:t>
      </w:r>
      <w:hyperlink w:anchor="tbl-cp">
        <w:r>
          <w:rPr>
            <w:rStyle w:val="Hyperlink"/>
          </w:rPr>
          <w:t xml:space="preserve">Table 8</w:t>
        </w:r>
      </w:hyperlink>
      <w:r>
        <w:t xml:space="preserve">, and the drug-substance mean is lower than that by a factor of</w:t>
      </w:r>
      <w:r>
        <w:t xml:space="preserve"> </w:t>
      </w:r>
      <w:r>
        <w:t xml:space="preserve">2.0. Host cell</w:t>
      </w:r>
      <w:r>
        <w:t xml:space="preserve"> </w:t>
      </w:r>
      <w:r>
        <w:t xml:space="preserve">protein and residual DNA are generated in the culture at levels orders of magnitude above</w:t>
      </w:r>
      <w:r>
        <w:t xml:space="preserve"> </w:t>
      </w:r>
      <w:r>
        <w:t xml:space="preserve">their drug substance criteria, and the indices shown here are the product of clearance at</w:t>
      </w:r>
      <w:r>
        <w:t xml:space="preserve"> </w:t>
      </w:r>
      <w:r>
        <w:t xml:space="preserve">Protein A, cation exchange and anion exchange (PCR-005, PCR-007, PCR-008). For those three</w:t>
      </w:r>
      <w:r>
        <w:t xml:space="preserve"> </w:t>
      </w:r>
      <w:r>
        <w:t xml:space="preserve">attributes the contribution of this step is the input level to the purification train, and</w:t>
      </w:r>
      <w:r>
        <w:t xml:space="preserve"> </w:t>
      </w:r>
      <w:r>
        <w:t xml:space="preserve">that input level is what the culture parameters control.</w:t>
      </w:r>
    </w:p>
    <w:p>
      <w:pPr>
        <w:pStyle w:val="BodyText"/>
      </w:pPr>
      <w:r>
        <w:t xml:space="preserve">The capability estimate is bounded in two ways. It assumes every parameter stays inside its</w:t>
      </w:r>
      <w:r>
        <w:t xml:space="preserve"> </w:t>
      </w:r>
      <w:r>
        <w:t xml:space="preserve">normal operating range, which is what the control system delivers and what the parameter</w:t>
      </w:r>
      <w:r>
        <w:t xml:space="preserve"> </w:t>
      </w:r>
      <w:r>
        <w:t xml:space="preserve">classifications in §9 commit to. It also rests on the qualified scale-down model, since the</w:t>
      </w:r>
      <w:r>
        <w:t xml:space="preserve"> </w:t>
      </w:r>
      <w:r>
        <w:t xml:space="preserve">underlying models were fitted to scale-down data. Confirmation at commercial scale is the</w:t>
      </w:r>
      <w:r>
        <w:t xml:space="preserve"> </w:t>
      </w:r>
      <w:r>
        <w:t xml:space="preserve">object of the process performance qualification and is not claimed here.</w:t>
      </w:r>
    </w:p>
    <w:bookmarkEnd w:id="97"/>
    <w:bookmarkStart w:id="99" w:name="parameter-classification"/>
    <w:p>
      <w:pPr>
        <w:pStyle w:val="Heading1"/>
      </w:pPr>
      <w:r>
        <w:t xml:space="preserve">9. Parameter classification</w:t>
      </w:r>
    </w:p>
    <w:p>
      <w:pPr>
        <w:pStyle w:val="FirstParagraph"/>
      </w:pPr>
      <w:r>
        <w:t xml:space="preserve">Each parameter was classified per SOP-4001 from the effects demonstrated in this study and</w:t>
      </w:r>
      <w:r>
        <w:t xml:space="preserve"> </w:t>
      </w:r>
      <w:r>
        <w:t xml:space="preserve">from the risk of the parameter leaving the design space in routine operation. A parameter</w:t>
      </w:r>
      <w:r>
        <w:t xml:space="preserve"> </w:t>
      </w:r>
      <w:r>
        <w:t xml:space="preserve">whose variability affects a critical quality attribute is a critical process parameter, and</w:t>
      </w:r>
      <w:r>
        <w:t xml:space="preserve"> </w:t>
      </w:r>
      <w:r>
        <w:t xml:space="preserve">it is called well controlled when the equipment and the control scheme make an excursion</w:t>
      </w:r>
      <w:r>
        <w:t xml:space="preserve"> </w:t>
      </w:r>
      <w:r>
        <w:t xml:space="preserve">outside the design space unlikely</w:t>
      </w:r>
      <w:r>
        <w:t xml:space="preserve"> </w:t>
      </w:r>
      <w:r>
        <w:t xml:space="preserve">(CMC Biotech Working Group 2009)</w:t>
      </w:r>
      <w:r>
        <w:t xml:space="preserve">. The classifications are given in</w:t>
      </w:r>
      <w:r>
        <w:t xml:space="preserve"> </w:t>
      </w:r>
      <w:hyperlink w:anchor="tbl-class">
        <w:r>
          <w:rPr>
            <w:rStyle w:val="Hyperlink"/>
          </w:rPr>
          <w:t xml:space="preserve">Table 19</w:t>
        </w:r>
      </w:hyperlink>
      <w:r>
        <w:t xml:space="preserve"> </w:t>
      </w:r>
      <w:r>
        <w:t xml:space="preserve">and the reasoning follows.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clas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Final classification of every production-bioreactor parameter, with the ranges that support it.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53"/>
              <w:gridCol w:w="999"/>
              <w:gridCol w:w="999"/>
              <w:gridCol w:w="845"/>
              <w:gridCol w:w="1153"/>
              <w:gridCol w:w="1076"/>
              <w:gridCol w:w="6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6.75–6.95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34.5–35.5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70–130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375–425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360–440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16–18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sat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30–70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e6 cells/mL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WV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</w:tr>
          </w:tbl>
          <w:bookmarkEnd w:id="98"/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Culture pH is a WC-CPP. It has a significant effect on four of the five measured</w:t>
      </w:r>
      <w:r>
        <w:t xml:space="preserve"> </w:t>
      </w:r>
      <w:r>
        <w:t xml:space="preserve">attributes and it is the governing parameter for high mannose and for aggregate. It is</w:t>
      </w:r>
      <w:r>
        <w:t xml:space="preserve"> </w:t>
      </w:r>
      <w:r>
        <w:t xml:space="preserve">held by closed-loop control with redundant calibrated probes, and the normal operating</w:t>
      </w:r>
      <w:r>
        <w:t xml:space="preserve"> </w:t>
      </w:r>
      <w:r>
        <w:t xml:space="preserve">range is a fraction of the characterized range, so the risk of leaving the design space is</w:t>
      </w:r>
      <w:r>
        <w:t xml:space="preserve"> </w:t>
      </w:r>
      <w:r>
        <w:t xml:space="preserve">low.</w:t>
      </w:r>
    </w:p>
    <w:p>
      <w:pPr>
        <w:pStyle w:val="Compact"/>
        <w:numPr>
          <w:ilvl w:val="0"/>
          <w:numId w:val="1002"/>
        </w:numPr>
      </w:pPr>
      <w:r>
        <w:t xml:space="preserve">Culture temperature is a WC-CPP. It affects galactosylation, high mannose and acidic</w:t>
      </w:r>
      <w:r>
        <w:t xml:space="preserve"> </w:t>
      </w:r>
      <w:r>
        <w:t xml:space="preserve">variants, and it interacts with pH. Jacket control holds the culture well within the</w:t>
      </w:r>
      <w:r>
        <w:t xml:space="preserve"> </w:t>
      </w:r>
      <w:r>
        <w:t xml:space="preserve">normal operating range and an excursion would be detected within minutes.</w:t>
      </w:r>
    </w:p>
    <w:p>
      <w:pPr>
        <w:pStyle w:val="Compact"/>
        <w:numPr>
          <w:ilvl w:val="0"/>
          <w:numId w:val="1002"/>
        </w:numPr>
      </w:pPr>
      <w:r>
        <w:t xml:space="preserve">pCO₂ is a WC-CPP. It carries the largest single effect in the screening study, on acidic</w:t>
      </w:r>
      <w:r>
        <w:t xml:space="preserve"> </w:t>
      </w:r>
      <w:r>
        <w:t xml:space="preserve">charge variants, and a substantial effect on galactosylation. It is the least tightly</w:t>
      </w:r>
      <w:r>
        <w:t xml:space="preserve"> </w:t>
      </w:r>
      <w:r>
        <w:t xml:space="preserve">controlled of the five multivariate parameters, since it depends on sparge efficiency and</w:t>
      </w:r>
      <w:r>
        <w:t xml:space="preserve"> </w:t>
      </w:r>
      <w:r>
        <w:t xml:space="preserve">on vessel scale, which is why the characterized range is wide. The classification is well</w:t>
      </w:r>
      <w:r>
        <w:t xml:space="preserve"> </w:t>
      </w:r>
      <w:r>
        <w:t xml:space="preserve">controlled and not critical because the proven acceptable range for this parameter spans</w:t>
      </w:r>
      <w:r>
        <w:t xml:space="preserve"> </w:t>
      </w:r>
      <w:r>
        <w:t xml:space="preserve">its full characterized range under both analyses (§7), and an excursion beyond that range</w:t>
      </w:r>
      <w:r>
        <w:t xml:space="preserve"> </w:t>
      </w:r>
      <w:r>
        <w:t xml:space="preserve">is not physically plausible in the commercial vessel.</w:t>
      </w:r>
    </w:p>
    <w:p>
      <w:pPr>
        <w:pStyle w:val="Compact"/>
        <w:numPr>
          <w:ilvl w:val="0"/>
          <w:numId w:val="1002"/>
        </w:numPr>
      </w:pPr>
      <w:r>
        <w:t xml:space="preserve">Osmolality is a WC-CPP. It has significant effects on galactosylation and on acidic</w:t>
      </w:r>
      <w:r>
        <w:t xml:space="preserve"> </w:t>
      </w:r>
      <w:r>
        <w:t xml:space="preserve">variants in the screening study, and it was not carried into the response-surface design</w:t>
      </w:r>
      <w:r>
        <w:t xml:space="preserve"> </w:t>
      </w:r>
      <w:r>
        <w:t xml:space="preserve">(§4.3). It is classified from the screening result and is controlled by the feed and base</w:t>
      </w:r>
      <w:r>
        <w:t xml:space="preserve"> </w:t>
      </w:r>
      <w:r>
        <w:t xml:space="preserve">strategy, with at-line monitoring through the culture.</w:t>
      </w:r>
    </w:p>
    <w:p>
      <w:pPr>
        <w:pStyle w:val="Compact"/>
        <w:numPr>
          <w:ilvl w:val="0"/>
          <w:numId w:val="1002"/>
        </w:numPr>
      </w:pPr>
      <w:r>
        <w:t xml:space="preserve">Culture duration is a WC-CPP. It carries the largest effect on galactosylation and the</w:t>
      </w:r>
      <w:r>
        <w:t xml:space="preserve"> </w:t>
      </w:r>
      <w:r>
        <w:t xml:space="preserve">largest main effect on afucosylation, and it is one of the two parameters in the dominant</w:t>
      </w:r>
      <w:r>
        <w:t xml:space="preserve"> </w:t>
      </w:r>
      <w:r>
        <w:t xml:space="preserve">interaction. It is set by the harvest</w:t>
      </w:r>
      <w:r>
        <w:t xml:space="preserve"> </w:t>
      </w:r>
      <w:r>
        <w:t xml:space="preserve">decision and not by a controller, and the harvest criteria in SOP-2003 bound it</w:t>
      </w:r>
      <w:r>
        <w:t xml:space="preserve"> </w:t>
      </w:r>
      <w:r>
        <w:t xml:space="preserve">directly, so the risk of operating outside the range is low.</w:t>
      </w:r>
    </w:p>
    <w:p>
      <w:pPr>
        <w:pStyle w:val="Compact"/>
        <w:numPr>
          <w:ilvl w:val="0"/>
          <w:numId w:val="1002"/>
        </w:numPr>
      </w:pPr>
      <w:r>
        <w:t xml:space="preserve">Dissolved oxygen is a KPP. It drives peak viable cell density and titre and no effect of</w:t>
      </w:r>
      <w:r>
        <w:t xml:space="preserve"> </w:t>
      </w:r>
      <w:r>
        <w:t xml:space="preserve">it on a quality attribute has been demonstrated. It is monitored and controlled because</w:t>
      </w:r>
      <w:r>
        <w:t xml:space="preserve"> </w:t>
      </w:r>
      <w:r>
        <w:t xml:space="preserve">process consistency depends on it, which is the purpose a key process parameter serves.</w:t>
      </w:r>
    </w:p>
    <w:p>
      <w:pPr>
        <w:pStyle w:val="Compact"/>
        <w:numPr>
          <w:ilvl w:val="0"/>
          <w:numId w:val="1002"/>
        </w:numPr>
      </w:pPr>
      <w:r>
        <w:t xml:space="preserve">Initial viable cell concentration is a KPP, on the same basis. It sets the growth</w:t>
      </w:r>
      <w:r>
        <w:t xml:space="preserve"> </w:t>
      </w:r>
      <w:r>
        <w:t xml:space="preserve">trajectory and the integral of viable cells, and therefore titre, without a demonstrated</w:t>
      </w:r>
      <w:r>
        <w:t xml:space="preserve"> </w:t>
      </w:r>
      <w:r>
        <w:t xml:space="preserve">quality effect.</w:t>
      </w:r>
    </w:p>
    <w:p>
      <w:pPr>
        <w:pStyle w:val="Compact"/>
        <w:numPr>
          <w:ilvl w:val="0"/>
          <w:numId w:val="1002"/>
        </w:numPr>
      </w:pPr>
      <w:r>
        <w:t xml:space="preserve">Basal medium concentration is a GPP. It affects titre, no effect of it on a quality</w:t>
      </w:r>
      <w:r>
        <w:t xml:space="preserve"> </w:t>
      </w:r>
      <w:r>
        <w:t xml:space="preserve">attribute was demonstrated over the range studied (§4.4), and it is controlled by the</w:t>
      </w:r>
      <w:r>
        <w:t xml:space="preserve"> </w:t>
      </w:r>
      <w:r>
        <w:t xml:space="preserve">media preparation procedure.</w:t>
      </w:r>
    </w:p>
    <w:p>
      <w:pPr>
        <w:pStyle w:val="Compact"/>
        <w:numPr>
          <w:ilvl w:val="0"/>
          <w:numId w:val="1002"/>
        </w:numPr>
      </w:pPr>
      <w:r>
        <w:t xml:space="preserve">Nutrient feed-1 volume is a KPP. It is critical to titre and is delivered gravimetrically</w:t>
      </w:r>
      <w:r>
        <w:t xml:space="preserve"> </w:t>
      </w:r>
      <w:r>
        <w:t xml:space="preserve">under the control described in §10, following the deviation reported in §13.2.</w:t>
      </w:r>
    </w:p>
    <w:p>
      <w:pPr>
        <w:pStyle w:val="FirstParagraph"/>
      </w:pPr>
      <w:r>
        <w:t xml:space="preserve">The step has 5 well-controlled critical process parameters,</w:t>
      </w:r>
      <w:r>
        <w:t xml:space="preserve"> </w:t>
      </w:r>
      <w:r>
        <w:t xml:space="preserve">3 key process parameters and 1 general process parameter. No</w:t>
      </w:r>
      <w:r>
        <w:t xml:space="preserve"> </w:t>
      </w:r>
      <w:r>
        <w:t xml:space="preserve">parameter of this step is classified as a critical process parameter. That outcome rests on</w:t>
      </w:r>
      <w:r>
        <w:t xml:space="preserve"> </w:t>
      </w:r>
      <w:r>
        <w:t xml:space="preserve">control capability rather than on the absence of effects, since four of the five</w:t>
      </w:r>
      <w:r>
        <w:t xml:space="preserve"> </w:t>
      </w:r>
      <w:r>
        <w:t xml:space="preserve">multivariate parameters have large demonstrated effects. The commercial vessel holds each</w:t>
      </w:r>
      <w:r>
        <w:t xml:space="preserve"> </w:t>
      </w:r>
      <w:r>
        <w:t xml:space="preserve">of them within a normal operating range that sits well inside the design space, and the</w:t>
      </w:r>
      <w:r>
        <w:t xml:space="preserve"> </w:t>
      </w:r>
      <w:r>
        <w:t xml:space="preserve">capability analysis in §8 quantifies what that containment delivers.</w:t>
      </w:r>
    </w:p>
    <w:bookmarkEnd w:id="99"/>
    <w:bookmarkStart w:id="100" w:name="contribution-to-the-control-strategy"/>
    <w:p>
      <w:pPr>
        <w:pStyle w:val="Heading1"/>
      </w:pPr>
      <w:r>
        <w:t xml:space="preserve">10. Contribution to the control strategy</w:t>
      </w:r>
    </w:p>
    <w:p>
      <w:pPr>
        <w:pStyle w:val="FirstParagraph"/>
      </w:pPr>
      <w:r>
        <w:t xml:space="preserve">This step contributes the elements of the control strategy that govern the formation of the</w:t>
      </w:r>
      <w:r>
        <w:t xml:space="preserve"> </w:t>
      </w:r>
      <w:r>
        <w:t xml:space="preserve">glycan, charge variant and aggregate attributes. They are as follows.</w:t>
      </w:r>
    </w:p>
    <w:p>
      <w:pPr>
        <w:pStyle w:val="Compact"/>
        <w:numPr>
          <w:ilvl w:val="0"/>
          <w:numId w:val="1003"/>
        </w:numPr>
      </w:pPr>
      <w:r>
        <w:t xml:space="preserve">The five multivariate parameters are controlled to the normal operating ranges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and the design space of §6 defines the region within which they may be moved</w:t>
      </w:r>
      <w:r>
        <w:t xml:space="preserve"> </w:t>
      </w:r>
      <w:r>
        <w:t xml:space="preserve">under the quality system.</w:t>
      </w:r>
    </w:p>
    <w:p>
      <w:pPr>
        <w:pStyle w:val="Compact"/>
        <w:numPr>
          <w:ilvl w:val="0"/>
          <w:numId w:val="1003"/>
        </w:numPr>
      </w:pPr>
      <w:r>
        <w:t xml:space="preserve">Culture pH, temperature, dissolved oxygen and pCO₂ are monitored continuously by</w:t>
      </w:r>
      <w:r>
        <w:t xml:space="preserve"> </w:t>
      </w:r>
      <w:r>
        <w:t xml:space="preserve">calibrated in-process instrumentation, and osmolality is monitored at line. Viable cell</w:t>
      </w:r>
      <w:r>
        <w:t xml:space="preserve"> </w:t>
      </w:r>
      <w:r>
        <w:t xml:space="preserve">density, viability and titre are trended daily against the platform profile given in</w:t>
      </w:r>
      <w:r>
        <w:t xml:space="preserve"> </w:t>
      </w:r>
      <w:r>
        <w:t xml:space="preserve">§3.2.</w:t>
      </w:r>
    </w:p>
    <w:p>
      <w:pPr>
        <w:pStyle w:val="Compact"/>
        <w:numPr>
          <w:ilvl w:val="0"/>
          <w:numId w:val="1003"/>
        </w:numPr>
      </w:pPr>
      <w:r>
        <w:t xml:space="preserve">Harvest is bounded by the criteria in SOP-2003, which controls culture duration directly</w:t>
      </w:r>
      <w:r>
        <w:t xml:space="preserve"> </w:t>
      </w:r>
      <w:r>
        <w:t xml:space="preserve">and is the control that keeps the aggregate and host cell protein input to the</w:t>
      </w:r>
      <w:r>
        <w:t xml:space="preserve"> </w:t>
      </w:r>
      <w:r>
        <w:t xml:space="preserve">purification train within the characterized range.</w:t>
      </w:r>
    </w:p>
    <w:p>
      <w:pPr>
        <w:pStyle w:val="Compact"/>
        <w:numPr>
          <w:ilvl w:val="0"/>
          <w:numId w:val="1003"/>
        </w:numPr>
      </w:pPr>
      <w:r>
        <w:t xml:space="preserve">Nutrient feed-1 is delivered gravimetrically with mass reconciliation after each addition,</w:t>
      </w:r>
      <w:r>
        <w:t xml:space="preserve"> </w:t>
      </w:r>
      <w:r>
        <w:t xml:space="preserve">and the feed pump is verified before each campaign. This control was strengthened after</w:t>
      </w:r>
      <w:r>
        <w:t xml:space="preserve"> </w:t>
      </w:r>
      <w:r>
        <w:t xml:space="preserve">DEV-003-02 (§13.2).</w:t>
      </w:r>
    </w:p>
    <w:p>
      <w:pPr>
        <w:pStyle w:val="Compact"/>
        <w:numPr>
          <w:ilvl w:val="0"/>
          <w:numId w:val="1003"/>
        </w:numPr>
      </w:pPr>
      <w:r>
        <w:t xml:space="preserve">Released N-glycan mapping, size variants, charge variants, host cell protein and residual</w:t>
      </w:r>
      <w:r>
        <w:t xml:space="preserve"> </w:t>
      </w:r>
      <w:r>
        <w:t xml:space="preserve">DNA are tested on the drug substance under the methods of</w:t>
      </w:r>
      <w:r>
        <w:t xml:space="preserve"> </w:t>
      </w:r>
      <w:hyperlink w:anchor="tbl-methods">
        <w:r>
          <w:rPr>
            <w:rStyle w:val="Hyperlink"/>
          </w:rPr>
          <w:t xml:space="preserve">Table 5</w:t>
        </w:r>
      </w:hyperlink>
      <w:r>
        <w:t xml:space="preserve">. Testing confirms</w:t>
      </w:r>
      <w:r>
        <w:t xml:space="preserve"> </w:t>
      </w:r>
      <w:r>
        <w:t xml:space="preserve">the outcome; it does not control it, and the control rests on the parameter ranges above.</w:t>
      </w:r>
    </w:p>
    <w:p>
      <w:pPr>
        <w:pStyle w:val="Compact"/>
        <w:numPr>
          <w:ilvl w:val="0"/>
          <w:numId w:val="1003"/>
        </w:numPr>
      </w:pPr>
      <w:r>
        <w:t xml:space="preserve">The scale-down model is maintained under SOP-1001 so that any future range change can be</w:t>
      </w:r>
      <w:r>
        <w:t xml:space="preserve"> </w:t>
      </w:r>
      <w:r>
        <w:t xml:space="preserve">assessed on a qualified system and not at scale.</w:t>
      </w:r>
    </w:p>
    <w:p>
      <w:pPr>
        <w:pStyle w:val="FirstParagraph"/>
      </w:pPr>
      <w:r>
        <w:t xml:space="preserve">The step does not deliver the drug substance specification for aggregate, host cell protein</w:t>
      </w:r>
      <w:r>
        <w:t xml:space="preserve"> </w:t>
      </w:r>
      <w:r>
        <w:t xml:space="preserve">or residual DNA on its own. What it delivers for those three attributes is a bounded input</w:t>
      </w:r>
      <w:r>
        <w:t xml:space="preserve"> </w:t>
      </w:r>
      <w:r>
        <w:t xml:space="preserve">to the purification train, and the clearance that turns that input into the drug substance</w:t>
      </w:r>
      <w:r>
        <w:t xml:space="preserve"> </w:t>
      </w:r>
      <w:r>
        <w:t xml:space="preserve">levels of</w:t>
      </w:r>
      <w:r>
        <w:t xml:space="preserve"> </w:t>
      </w:r>
      <w:hyperlink w:anchor="tbl-cap">
        <w:r>
          <w:rPr>
            <w:rStyle w:val="Hyperlink"/>
          </w:rPr>
          <w:t xml:space="preserve">Table 18</w:t>
        </w:r>
      </w:hyperlink>
      <w:r>
        <w:t xml:space="preserve"> </w:t>
      </w:r>
      <w:r>
        <w:t xml:space="preserve">is characterized in PCR-005, PCR-007 and PCR-008. The overall control</w:t>
      </w:r>
      <w:r>
        <w:t xml:space="preserve"> </w:t>
      </w:r>
      <w:r>
        <w:t xml:space="preserve">strategy, including how the elements of this step combine with the downstream ones, is</w:t>
      </w:r>
      <w:r>
        <w:t xml:space="preserve"> </w:t>
      </w:r>
      <w:r>
        <w:t xml:space="preserve">consolidated in PCMR-001.</w:t>
      </w:r>
    </w:p>
    <w:bookmarkEnd w:id="100"/>
    <w:bookmarkStart w:id="101" w:name="discussion"/>
    <w:p>
      <w:pPr>
        <w:pStyle w:val="Heading1"/>
      </w:pPr>
      <w:r>
        <w:t xml:space="preserve">11. Discussion</w:t>
      </w:r>
    </w:p>
    <w:p>
      <w:pPr>
        <w:pStyle w:val="FirstParagraph"/>
      </w:pPr>
      <w:r>
        <w:t xml:space="preserve">The step is well understood over the ranges characterized, and the understanding is</w:t>
      </w:r>
      <w:r>
        <w:t xml:space="preserve"> </w:t>
      </w:r>
      <w:r>
        <w:t xml:space="preserve">mechanistic and not merely empirical. Most of the significant main effects in</w:t>
      </w:r>
      <w:r>
        <w:t xml:space="preserve"> </w:t>
      </w:r>
      <w:hyperlink w:anchor="tbl-screff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run through a route in the secretory pathway or in culture chemistry that was set out</w:t>
      </w:r>
      <w:r>
        <w:t xml:space="preserve"> </w:t>
      </w:r>
      <w:r>
        <w:t xml:space="preserve">before the study was run (§2.1), and the fitted models reproduce those routes in direction.</w:t>
      </w:r>
      <w:r>
        <w:t xml:space="preserve"> </w:t>
      </w:r>
      <w:r>
        <w:t xml:space="preserve">Two main effects do not. Culture temperature raises galactosylation where a lower</w:t>
      </w:r>
      <w:r>
        <w:t xml:space="preserve"> </w:t>
      </w:r>
      <w:r>
        <w:t xml:space="preserve">temperature was expected to raise it, and culture pH lowers acidic charge variants where</w:t>
      </w:r>
      <w:r>
        <w:t xml:space="preserve"> </w:t>
      </w:r>
      <w:r>
        <w:t xml:space="preserve">deamidation chemistry gives the opposite sign, and §5.4 sets both out. The study also</w:t>
      </w:r>
      <w:r>
        <w:t xml:space="preserve"> </w:t>
      </w:r>
      <w:r>
        <w:t xml:space="preserve">returned significant interactions that §2.1 did not anticipate, since prior knowledge</w:t>
      </w:r>
      <w:r>
        <w:t xml:space="preserve"> </w:t>
      </w:r>
      <w:r>
        <w:t xml:space="preserve">carried the pH by duration term alone. What the study added there was the size of that</w:t>
      </w:r>
      <w:r>
        <w:t xml:space="preserve"> </w:t>
      </w:r>
      <w:r>
        <w:t xml:space="preserve">term, which is what makes a multivariate operating region necessary rather than convenient.</w:t>
      </w:r>
    </w:p>
    <w:p>
      <w:pPr>
        <w:pStyle w:val="BodyText"/>
      </w:pPr>
      <w:r>
        <w:t xml:space="preserve">The adverse finding of the study is the excluded corner. At the low edges of pH, duration</w:t>
      </w:r>
      <w:r>
        <w:t xml:space="preserve"> </w:t>
      </w:r>
      <w:r>
        <w:t xml:space="preserve">and pCO₂ with temperature high, galactosylation is predicted at</w:t>
      </w:r>
      <w:r>
        <w:t xml:space="preserve"> </w:t>
      </w:r>
      <w:r>
        <w:t xml:space="preserve">40.27 % against a limit of 40 %. That corner is</w:t>
      </w:r>
      <w:r>
        <w:t xml:space="preserve"> </w:t>
      </w:r>
      <w:r>
        <w:t xml:space="preserve">excluded from the design space, and no operation there is permitted without prior approval.</w:t>
      </w:r>
      <w:r>
        <w:t xml:space="preserve"> </w:t>
      </w:r>
      <w:r>
        <w:t xml:space="preserve">Two things bound its practical significance. It requires four parameters to sit</w:t>
      </w:r>
      <w:r>
        <w:t xml:space="preserve"> </w:t>
      </w:r>
      <w:r>
        <w:t xml:space="preserve">simultaneously at the edges of ranges that are between 2.0 and</w:t>
      </w:r>
      <w:r>
        <w:t xml:space="preserve"> </w:t>
      </w:r>
      <w:r>
        <w:t xml:space="preserve">2.5 times the width of their normal operating ranges, and the normal</w:t>
      </w:r>
      <w:r>
        <w:t xml:space="preserve"> </w:t>
      </w:r>
      <w:r>
        <w:t xml:space="preserve">operating ranges themselves leave 8.2 percentage</w:t>
      </w:r>
      <w:r>
        <w:t xml:space="preserve"> </w:t>
      </w:r>
      <w:r>
        <w:t xml:space="preserve">points of margin at their worst corner (</w:t>
      </w:r>
      <w:hyperlink w:anchor="tbl-nor">
        <w:r>
          <w:rPr>
            <w:rStyle w:val="Hyperlink"/>
          </w:rPr>
          <w:t xml:space="preserve">Table 16</w:t>
        </w:r>
      </w:hyperlink>
      <w:r>
        <w:t xml:space="preserve">). The finding does not weaken the design</w:t>
      </w:r>
      <w:r>
        <w:t xml:space="preserve"> </w:t>
      </w:r>
      <w:r>
        <w:t xml:space="preserve">space claim. It is the reason the claim can be stated as a region rather than as an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Confidence in the scale-down model is good but not unlimited. The model is geometrically</w:t>
      </w:r>
      <w:r>
        <w:t xml:space="preserve"> </w:t>
      </w:r>
      <w:r>
        <w:t xml:space="preserve">similar to the commercial vessel and matches it on the scale-independent parameters, and</w:t>
      </w:r>
      <w:r>
        <w:t xml:space="preserve"> </w:t>
      </w:r>
      <w:r>
        <w:t xml:space="preserve">the scale-dependent parameters were set on performance and not on setting (§3.1). Its</w:t>
      </w:r>
      <w:r>
        <w:t xml:space="preserve"> </w:t>
      </w:r>
      <w:r>
        <w:t xml:space="preserve">qualification covers this cell line, this medium platform and these ranges. Two known</w:t>
      </w:r>
      <w:r>
        <w:t xml:space="preserve"> </w:t>
      </w:r>
      <w:r>
        <w:t xml:space="preserve">differences remain. Carbon dioxide accumulates less readily at small scale than in a</w:t>
      </w:r>
      <w:r>
        <w:t xml:space="preserve"> </w:t>
      </w:r>
      <w:r>
        <w:t xml:space="preserve">commercial vessel, which is the reason the pCO₂ range was carried to</w:t>
      </w:r>
      <w:r>
        <w:t xml:space="preserve"> </w:t>
      </w:r>
      <w:r>
        <w:t xml:space="preserve">160 mmHg instead of stopping at the range seen at</w:t>
      </w:r>
      <w:r>
        <w:t xml:space="preserve"> </w:t>
      </w:r>
      <w:r>
        <w:t xml:space="preserve">laboratory scale. Mixing time also scales with vessel size, so gradients that are absent at</w:t>
      </w:r>
      <w:r>
        <w:t xml:space="preserve"> </w:t>
      </w:r>
      <w:r>
        <w:t xml:space="preserve">small scale can exist at commercial scale. Both are managed by the process performance</w:t>
      </w:r>
      <w:r>
        <w:t xml:space="preserve"> </w:t>
      </w:r>
      <w:r>
        <w:t xml:space="preserve">qualification, which measures the same attributes on commercial batches.</w:t>
      </w:r>
    </w:p>
    <w:p>
      <w:pPr>
        <w:pStyle w:val="BodyText"/>
      </w:pPr>
      <w:r>
        <w:t xml:space="preserve">Three further limitations should be read with the conclusions. The response-surface model</w:t>
      </w:r>
      <w:r>
        <w:t xml:space="preserve"> </w:t>
      </w:r>
      <w:r>
        <w:t xml:space="preserve">predicts mean levels and its edges carry no assurance statement on their own, which is why</w:t>
      </w:r>
      <w:r>
        <w:t xml:space="preserve"> </w:t>
      </w:r>
      <w:r>
        <w:t xml:space="preserve">the capability analysis exists (§5.3, §8). Osmolality was characterized in screening only,</w:t>
      </w:r>
      <w:r>
        <w:t xml:space="preserve"> </w:t>
      </w:r>
      <w:r>
        <w:t xml:space="preserve">so its contribution to the region is bounded by a two-level estimate and is not described</w:t>
      </w:r>
      <w:r>
        <w:t xml:space="preserve"> </w:t>
      </w:r>
      <w:r>
        <w:t xml:space="preserve">by a surface (§4.3). The univariate parameters were assessed against process performance,</w:t>
      </w:r>
      <w:r>
        <w:t xml:space="preserve"> </w:t>
      </w:r>
      <w:r>
        <w:t xml:space="preserve">so the quality claims of this report rest on the multivariate work alone (§4.4). None of</w:t>
      </w:r>
      <w:r>
        <w:t xml:space="preserve"> </w:t>
      </w:r>
      <w:r>
        <w:t xml:space="preserve">the three affects the classification of any parameter.</w:t>
      </w:r>
    </w:p>
    <w:p>
      <w:pPr>
        <w:pStyle w:val="BodyText"/>
      </w:pPr>
      <w:r>
        <w:t xml:space="preserve">Two deviations occurred during execution and both were retained. A pCO₂ probe drifted</w:t>
      </w:r>
      <w:r>
        <w:t xml:space="preserve"> </w:t>
      </w:r>
      <w:r>
        <w:t xml:space="preserve">between calibrations on one screening run, and one centre-point batch received less</w:t>
      </w:r>
      <w:r>
        <w:t xml:space="preserve"> </w:t>
      </w:r>
      <w:r>
        <w:t xml:space="preserve">nutrient feed than the schedule specifies. The magnitudes are small against the ranges</w:t>
      </w:r>
      <w:r>
        <w:t xml:space="preserve"> </w:t>
      </w:r>
      <w:r>
        <w:t xml:space="preserve">studied, the impact assessments are in §13, and neither changed an effect estimate, a</w:t>
      </w:r>
      <w:r>
        <w:t xml:space="preserve"> </w:t>
      </w:r>
      <w:r>
        <w:t xml:space="preserve">classification or the boundary of the operating region. No parameter of this step required</w:t>
      </w:r>
      <w:r>
        <w:t xml:space="preserve"> </w:t>
      </w:r>
      <w:r>
        <w:t xml:space="preserve">the most stringent level of control, and the argument for that is control capability rather</w:t>
      </w:r>
      <w:r>
        <w:t xml:space="preserve"> </w:t>
      </w:r>
      <w:r>
        <w:t xml:space="preserve">than an absence of effects (§9).</w:t>
      </w:r>
    </w:p>
    <w:bookmarkEnd w:id="101"/>
    <w:bookmarkStart w:id="102" w:name="conclusions"/>
    <w:p>
      <w:pPr>
        <w:pStyle w:val="Heading1"/>
      </w:pPr>
      <w:r>
        <w:t xml:space="preserve">12. Conclusions</w:t>
      </w:r>
    </w:p>
    <w:p>
      <w:pPr>
        <w:pStyle w:val="FirstParagraph"/>
      </w:pPr>
      <w:r>
        <w:t xml:space="preserve">The production bioreactor is characterized and the step is robust over the ranges studied.</w:t>
      </w:r>
      <w:r>
        <w:t xml:space="preserve"> </w:t>
      </w:r>
      <w:r>
        <w:t xml:space="preserve">A response-surface model over culture pH, culture temperature, culture duration and pCO₂</w:t>
      </w:r>
      <w:r>
        <w:t xml:space="preserve"> </w:t>
      </w:r>
      <w:r>
        <w:t xml:space="preserve">defines a multivariate design space in which the five measured attributes remain within</w:t>
      </w:r>
      <w:r>
        <w:t xml:space="preserve"> </w:t>
      </w:r>
      <w:r>
        <w:t xml:space="preserve">their acceptance criteria, with one corner of the characterized region excluded on</w:t>
      </w:r>
      <w:r>
        <w:t xml:space="preserve"> </w:t>
      </w:r>
      <w:r>
        <w:t xml:space="preserve">galactosylation. The normal operating ranges lie well inside that region, with</w:t>
      </w:r>
      <w:r>
        <w:t xml:space="preserve"> </w:t>
      </w:r>
      <w:r>
        <w:t xml:space="preserve">8.2 percentage points of margin on the binding attribute at</w:t>
      </w:r>
      <w:r>
        <w:t xml:space="preserve"> </w:t>
      </w:r>
      <w:r>
        <w:t xml:space="preserve">the worst corner of the operating box.</w:t>
      </w:r>
    </w:p>
    <w:p>
      <w:pPr>
        <w:pStyle w:val="BodyText"/>
      </w:pPr>
      <w:r>
        <w:t xml:space="preserve">Proven acceptable ranges span the full characterization range of every response-surface</w:t>
      </w:r>
      <w:r>
        <w:t xml:space="preserve"> </w:t>
      </w:r>
      <w:r>
        <w:t xml:space="preserve">parameter against every attribute it governs, under both the set-point and the</w:t>
      </w:r>
      <w:r>
        <w:t xml:space="preserve"> </w:t>
      </w:r>
      <w:r>
        <w:t xml:space="preserve">normal-operating-range analyses, so the</w:t>
      </w:r>
      <w:r>
        <w:t xml:space="preserve"> </w:t>
      </w:r>
      <w:r>
        <w:t xml:space="preserve">constraint that binds the operating region is the multivariate corner and not a univariate</w:t>
      </w:r>
      <w:r>
        <w:t xml:space="preserve"> </w:t>
      </w:r>
      <w:r>
        <w:t xml:space="preserve">range. Predicted commercial-scale capability meets acceptance for all seven attributes the</w:t>
      </w:r>
      <w:r>
        <w:t xml:space="preserve"> </w:t>
      </w:r>
      <w:r>
        <w:t xml:space="preserve">step sets, with High Mannose the tightest at a one-sided Cpk of</w:t>
      </w:r>
      <w:r>
        <w:t xml:space="preserve"> </w:t>
      </w:r>
      <w:r>
        <w:t xml:space="preserve">1.94 and 2.99 percentage points to</w:t>
      </w:r>
      <w:r>
        <w:t xml:space="preserve"> </w:t>
      </w:r>
      <w:r>
        <w:t xml:space="preserve">its binding limit. The study classified 9 parameters, 5 of</w:t>
      </w:r>
      <w:r>
        <w:t xml:space="preserve"> </w:t>
      </w:r>
      <w:r>
        <w:t xml:space="preserve">them as well-controlled critical process parameters and none as a critical process</w:t>
      </w:r>
      <w:r>
        <w:t xml:space="preserve"> </w:t>
      </w:r>
      <w:r>
        <w:t xml:space="preserve">parameter.</w:t>
      </w:r>
      <w:r>
        <w:t xml:space="preserve"> </w:t>
      </w:r>
      <w:r>
        <w:t xml:space="preserve">Two deviations were investigated and resolved without impact on any of these outcomes.</w:t>
      </w:r>
    </w:p>
    <w:p>
      <w:pPr>
        <w:pStyle w:val="BodyText"/>
      </w:pPr>
      <w:r>
        <w:t xml:space="preserve">Two claims are not made here. The design space has not been confirmed at commercial scale</w:t>
      </w:r>
      <w:r>
        <w:t xml:space="preserve"> </w:t>
      </w:r>
      <w:r>
        <w:t xml:space="preserve">at its edges, and confirmation within the normal operating ranges is the object of the</w:t>
      </w:r>
      <w:r>
        <w:t xml:space="preserve"> </w:t>
      </w:r>
      <w:r>
        <w:t xml:space="preserve">process performance qualification. The drug substance levels of aggregate, host cell</w:t>
      </w:r>
      <w:r>
        <w:t xml:space="preserve"> </w:t>
      </w:r>
      <w:r>
        <w:t xml:space="preserve">protein and residual DNA depend on downstream clearance as well as on culture conditions,</w:t>
      </w:r>
      <w:r>
        <w:t xml:space="preserve"> </w:t>
      </w:r>
      <w:r>
        <w:t xml:space="preserve">and the credit for that clearance belongs to PCR-005, PCR-007 and PCR-008. The outcomes of</w:t>
      </w:r>
      <w:r>
        <w:t xml:space="preserve"> </w:t>
      </w:r>
      <w:r>
        <w:t xml:space="preserve">this report are consolidated with those of the other steps in PCMR-001.</w:t>
      </w:r>
    </w:p>
    <w:bookmarkEnd w:id="102"/>
    <w:bookmarkStart w:id="107" w:name="deviations-from-the-plan"/>
    <w:p>
      <w:pPr>
        <w:pStyle w:val="Heading1"/>
      </w:pPr>
      <w:r>
        <w:t xml:space="preserve">13. Deviations from the plan</w:t>
      </w:r>
    </w:p>
    <w:p>
      <w:pPr>
        <w:pStyle w:val="FirstParagraph"/>
      </w:pPr>
      <w:r>
        <w:t xml:space="preserve">Two deviations from PCP-003 were recorded during execution. Each was raised at the time of</w:t>
      </w:r>
      <w:r>
        <w:t xml:space="preserve"> </w:t>
      </w:r>
      <w:r>
        <w:t xml:space="preserve">detection, investigated to root cause, assessed for impact on the study conclusions and</w:t>
      </w:r>
      <w:r>
        <w:t xml:space="preserve"> </w:t>
      </w:r>
      <w:r>
        <w:t xml:space="preserve">closed. Both were dispositioned as retained, meaning the affected run stayed in the</w:t>
      </w:r>
      <w:r>
        <w:t xml:space="preserve"> </w:t>
      </w:r>
      <w:r>
        <w:t xml:space="preserve">analysis.</w:t>
      </w:r>
      <w:r>
        <w:t xml:space="preserve"> </w:t>
      </w:r>
      <w:hyperlink w:anchor="tbl-dev">
        <w:r>
          <w:rPr>
            <w:rStyle w:val="Hyperlink"/>
          </w:rPr>
          <w:t xml:space="preserve">Table 20</w:t>
        </w:r>
      </w:hyperlink>
      <w:r>
        <w:t xml:space="preserve"> </w:t>
      </w:r>
      <w:r>
        <w:t xml:space="preserve">is the register.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Deviations recorded during execution of the production-bioreactor characterization.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04"/>
              <w:gridCol w:w="3465"/>
              <w:gridCol w:w="2722"/>
              <w:gridCol w:w="92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during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DEV-003-01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Dissolved-CO2 probe drift during screening run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 monitoring vs offline 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DEV-003-02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under-delivery on a centre-point batch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post-execution mass reconciliation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103"/>
          <w:p/>
        </w:tc>
      </w:tr>
    </w:tbl>
    <w:p>
      <w:pPr>
        <w:pStyle w:val="BodyText"/>
      </w:pPr>
      <w:r>
        <w:t xml:space="preserve">The two entries are of different kinds. The first is an instrument drift affecting one</w:t>
      </w:r>
      <w:r>
        <w:t xml:space="preserve"> </w:t>
      </w:r>
      <w:r>
        <w:t xml:space="preserve">factor setting on one screening run, and the second is a materials delivery shortfall on a</w:t>
      </w:r>
      <w:r>
        <w:t xml:space="preserve"> </w:t>
      </w:r>
      <w:r>
        <w:t xml:space="preserve">centre-point batch. Neither affected a response-surface run. The subsections below give the</w:t>
      </w:r>
      <w:r>
        <w:t xml:space="preserve"> </w:t>
      </w:r>
      <w:r>
        <w:t xml:space="preserve">adverse finding, the investigation and the impact assessment for each.</w:t>
      </w:r>
    </w:p>
    <w:bookmarkStart w:id="105" w:name="X0c1c0bf97a367e88d976b4d7a0169b95a3f8627"/>
    <w:p>
      <w:pPr>
        <w:pStyle w:val="Heading2"/>
      </w:pPr>
      <w:r>
        <w:t xml:space="preserve">13.1 DEV-003-01 — dissolved carbon dioxide probe drift</w:t>
      </w:r>
    </w:p>
    <w:p>
      <w:pPr>
        <w:pStyle w:val="FirstParagraph"/>
      </w:pPr>
      <w:r>
        <w:t xml:space="preserve">The in-process pCO₂ probe read 6.5 mmHg below the</w:t>
      </w:r>
      <w:r>
        <w:t xml:space="preserve"> </w:t>
      </w:r>
      <w:r>
        <w:t xml:space="preserve">offline reference on screening run 4, so that run was executed at a true pCO₂ above its</w:t>
      </w:r>
      <w:r>
        <w:t xml:space="preserve"> </w:t>
      </w:r>
      <w:r>
        <w:t xml:space="preserve">assigned setting. The discrepancy was found by the routine comparison of the in-process</w:t>
      </w:r>
      <w:r>
        <w:t xml:space="preserve"> </w:t>
      </w:r>
      <w:r>
        <w:t xml:space="preserve">reading against an offline blood gas measurement, and it was confirmed on the retained</w:t>
      </w:r>
      <w:r>
        <w:t xml:space="preserve"> </w:t>
      </w:r>
      <w:r>
        <w:t xml:space="preserve">sample.</w:t>
      </w:r>
    </w:p>
    <w:p>
      <w:pPr>
        <w:pStyle w:val="BodyText"/>
      </w:pPr>
      <w:r>
        <w:t xml:space="preserve">The investigation attributed the discrepancy to drift of the probe between scheduled</w:t>
      </w:r>
      <w:r>
        <w:t xml:space="preserve"> </w:t>
      </w:r>
      <w:r>
        <w:t xml:space="preserve">calibrations. The probe is part of instrumented system EQ-BRX-205, whose calibration status</w:t>
      </w:r>
      <w:r>
        <w:t xml:space="preserve"> </w:t>
      </w:r>
      <w:r>
        <w:t xml:space="preserve">at the time of execution is given in</w:t>
      </w:r>
      <w:r>
        <w:t xml:space="preserve"> </w:t>
      </w:r>
      <w:hyperlink w:anchor="tbl-equip">
        <w:r>
          <w:rPr>
            <w:rStyle w:val="Hyperlink"/>
          </w:rPr>
          <w:t xml:space="preserve">Table 21</w:t>
        </w:r>
      </w:hyperlink>
      <w:r>
        <w:t xml:space="preserve">. The probe was within its calibration</w:t>
      </w:r>
      <w:r>
        <w:t xml:space="preserve"> </w:t>
      </w:r>
      <w:r>
        <w:t xml:space="preserve">interval when the run was executed, which is why the drift was not detected by the</w:t>
      </w:r>
      <w:r>
        <w:t xml:space="preserve"> </w:t>
      </w:r>
      <w:r>
        <w:t xml:space="preserve">calibration programme, and it was recalibrated against the offline reference before the</w:t>
      </w:r>
      <w:r>
        <w:t xml:space="preserve"> </w:t>
      </w:r>
      <w:r>
        <w:t xml:space="preserve">response-surface design was executed.</w:t>
      </w:r>
      <w:r>
        <w:t xml:space="preserve"> </w:t>
      </w:r>
      <w:r>
        <w:t xml:space="preserve">No other run in either design showed a comparable discrepancy.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equi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Calibration record of the instrumented scale-down system affected by DEV-003-01.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27"/>
              <w:gridCol w:w="3210"/>
              <w:gridCol w:w="2069"/>
              <w:gridCol w:w="171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Equipment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 status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Next calibration due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EQ-BRX-205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scale-down bioreactor pCO2 probe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 calibration at 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2026-06-14</w:t>
                  </w:r>
                </w:p>
              </w:tc>
            </w:tr>
          </w:tbl>
          <w:bookmarkEnd w:id="104"/>
          <w:p/>
        </w:tc>
      </w:tr>
    </w:tbl>
    <w:p>
      <w:pPr>
        <w:pStyle w:val="BodyText"/>
      </w:pPr>
      <w:r>
        <w:t xml:space="preserve">The impact assessment bounds the consequence on the fitted effects. The offset corresponds</w:t>
      </w:r>
      <w:r>
        <w:t xml:space="preserve"> </w:t>
      </w:r>
      <w:r>
        <w:t xml:space="preserve">to 0.11 coded units on the pCO₂ axis, which is a small fraction</w:t>
      </w:r>
      <w:r>
        <w:t xml:space="preserve"> </w:t>
      </w:r>
      <w:r>
        <w:t xml:space="preserve">of the distance from the set-point to the edge of the characterization range. Evaluating</w:t>
      </w:r>
      <w:r>
        <w:t xml:space="preserve"> </w:t>
      </w:r>
      <w:r>
        <w:t xml:space="preserve">the fitted response-surface model at the set-point with pCO₂ displaced by that amount moves</w:t>
      </w:r>
      <w:r>
        <w:t xml:space="preserve"> </w:t>
      </w:r>
      <w:r>
        <w:t xml:space="preserve">the most pCO₂-sensitive response, acidic variants, by</w:t>
      </w:r>
      <w:r>
        <w:t xml:space="preserve"> </w:t>
      </w:r>
      <w:r>
        <w:t xml:space="preserve">0.44 percentage points. That shift is smaller than the</w:t>
      </w:r>
      <w:r>
        <w:t xml:space="preserve"> </w:t>
      </w:r>
      <w:r>
        <w:t xml:space="preserve">centre-point standard deviation of the same response,</w:t>
      </w:r>
      <w:r>
        <w:t xml:space="preserve"> </w:t>
      </w:r>
      <w:r>
        <w:t xml:space="preserve">0.88 percentage points (</w:t>
      </w:r>
      <w:hyperlink w:anchor="tbl-cp">
        <w:r>
          <w:rPr>
            <w:rStyle w:val="Hyperlink"/>
          </w:rPr>
          <w:t xml:space="preserve">Table 8</w:t>
        </w:r>
      </w:hyperlink>
      <w:r>
        <w:t xml:space="preserve">), so it is not resolvable against</w:t>
      </w:r>
      <w:r>
        <w:t xml:space="preserve"> </w:t>
      </w:r>
      <w:r>
        <w:t xml:space="preserve">the reproducibility of the study. The run was retained. The true setting remained inside</w:t>
      </w:r>
      <w:r>
        <w:t xml:space="preserve"> </w:t>
      </w:r>
      <w:r>
        <w:t xml:space="preserve">the characterization range of pCO₂, the direction of every screening effect is unchanged,</w:t>
      </w:r>
      <w:r>
        <w:t xml:space="preserve"> </w:t>
      </w:r>
      <w:r>
        <w:t xml:space="preserve">and the design space of §6 rests on the response-surface design, which the deviation does</w:t>
      </w:r>
      <w:r>
        <w:t xml:space="preserve"> </w:t>
      </w:r>
      <w:r>
        <w:t xml:space="preserve">not touch.</w:t>
      </w:r>
    </w:p>
    <w:bookmarkEnd w:id="105"/>
    <w:bookmarkStart w:id="106" w:name="X8329f0e14a364443d536ee8baedd522fa6982ab"/>
    <w:p>
      <w:pPr>
        <w:pStyle w:val="Heading2"/>
      </w:pPr>
      <w:r>
        <w:t xml:space="preserve">13.2 DEV-003-02 — nutrient feed-1 under-delivery</w:t>
      </w:r>
    </w:p>
    <w:p>
      <w:pPr>
        <w:pStyle w:val="FirstParagraph"/>
      </w:pPr>
      <w:r>
        <w:t xml:space="preserve">One centre-point batch of the screening design received</w:t>
      </w:r>
      <w:r>
        <w:t xml:space="preserve"> </w:t>
      </w:r>
      <w:r>
        <w:t xml:space="preserve">4.2 % less nutrient feed-1 than the schedule</w:t>
      </w:r>
      <w:r>
        <w:t xml:space="preserve"> </w:t>
      </w:r>
      <w:r>
        <w:t xml:space="preserve">specifies, which is a delivered volume of 11.5 % of working</w:t>
      </w:r>
      <w:r>
        <w:t xml:space="preserve"> </w:t>
      </w:r>
      <w:r>
        <w:t xml:space="preserve">volume against a set-point of 12 %. The shortfall was found after</w:t>
      </w:r>
      <w:r>
        <w:t xml:space="preserve"> </w:t>
      </w:r>
      <w:r>
        <w:t xml:space="preserve">execution by mass reconciliation of feed lot LOT-FED-3120 against the batch record, not by</w:t>
      </w:r>
      <w:r>
        <w:t xml:space="preserve"> </w:t>
      </w:r>
      <w:r>
        <w:t xml:space="preserve">an in-process alarm.</w:t>
      </w:r>
    </w:p>
    <w:p>
      <w:pPr>
        <w:pStyle w:val="BodyText"/>
      </w:pPr>
      <w:r>
        <w:t xml:space="preserve">Root cause was a calibration offset on the feed pump, which delivered consistently below</w:t>
      </w:r>
      <w:r>
        <w:t xml:space="preserve"> </w:t>
      </w:r>
      <w:r>
        <w:t xml:space="preserve">its commanded volume across the campaign period. The pump was recalibrated and the delivery</w:t>
      </w:r>
      <w:r>
        <w:t xml:space="preserve"> </w:t>
      </w:r>
      <w:r>
        <w:t xml:space="preserve">verification described in §10 was introduced as a preventive action. The shortfall is a</w:t>
      </w:r>
      <w:r>
        <w:t xml:space="preserve"> </w:t>
      </w:r>
      <w:r>
        <w:t xml:space="preserve">materials deviation and not a parameter excursion in the design, since nutrient feed-1</w:t>
      </w:r>
      <w:r>
        <w:t xml:space="preserve"> </w:t>
      </w:r>
      <w:r>
        <w:t xml:space="preserve">volume is a univariate parameter and was held at its set-point in every designed run.</w:t>
      </w:r>
    </w:p>
    <w:p>
      <w:pPr>
        <w:pStyle w:val="BodyText"/>
      </w:pPr>
      <w:r>
        <w:t xml:space="preserve">The impact assessment compared the affected batch against 3</w:t>
      </w:r>
      <w:r>
        <w:t xml:space="preserve"> </w:t>
      </w:r>
      <w:r>
        <w:t xml:space="preserve">verification runs executed at the centre point after the pump was recalibrated, with the</w:t>
      </w:r>
      <w:r>
        <w:t xml:space="preserve"> </w:t>
      </w:r>
      <w:r>
        <w:t xml:space="preserve">released glycan attributes measured by AMV-3010. The half width of the 95 % confidence</w:t>
      </w:r>
      <w:r>
        <w:t xml:space="preserve"> </w:t>
      </w:r>
      <w:r>
        <w:t xml:space="preserve">interval on the difference is 6.21 % relative, and the</w:t>
      </w:r>
      <w:r>
        <w:t xml:space="preserve"> </w:t>
      </w:r>
      <w:r>
        <w:t xml:space="preserve">observed difference lies inside it, so no difference in the glycan profile was</w:t>
      </w:r>
      <w:r>
        <w:t xml:space="preserve"> </w:t>
      </w:r>
      <w:r>
        <w:t xml:space="preserve">demonstrated. The delivered volume of 11.5 % of working</w:t>
      </w:r>
      <w:r>
        <w:t xml:space="preserve"> </w:t>
      </w:r>
      <w:r>
        <w:t xml:space="preserve">volume also remains inside the normal operating range of that parameter, which is</w:t>
      </w:r>
      <w:r>
        <w:t xml:space="preserve"> </w:t>
      </w:r>
      <w:r>
        <w:t xml:space="preserve">10 to</w:t>
      </w:r>
      <w:r>
        <w:t xml:space="preserve"> </w:t>
      </w:r>
      <w:r>
        <w:t xml:space="preserve">14 % (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).</w:t>
      </w:r>
    </w:p>
    <w:p>
      <w:pPr>
        <w:pStyle w:val="BodyText"/>
      </w:pPr>
      <w:r>
        <w:t xml:space="preserve">The batch was retained as a centre point. Retaining it slightly inflates the pure-error term</w:t>
      </w:r>
      <w:r>
        <w:t xml:space="preserve"> </w:t>
      </w:r>
      <w:r>
        <w:t xml:space="preserve">of the screening design, which is conservative, since a larger pure error makes a</w:t>
      </w:r>
      <w:r>
        <w:t xml:space="preserve"> </w:t>
      </w:r>
      <w:r>
        <w:t xml:space="preserve">lack-of-fit test easier to pass and the screening design is not used for prediction in any</w:t>
      </w:r>
      <w:r>
        <w:t xml:space="preserve"> </w:t>
      </w:r>
      <w:r>
        <w:t xml:space="preserve">case (§5.2). The lack-of-fit tests that support the design space come from the</w:t>
      </w:r>
      <w:r>
        <w:t xml:space="preserve"> </w:t>
      </w:r>
      <w:r>
        <w:t xml:space="preserve">response-surface design, whose 4 centre points were unaffected. No effect</w:t>
      </w:r>
      <w:r>
        <w:t xml:space="preserve"> </w:t>
      </w:r>
      <w:r>
        <w:t xml:space="preserve">estimate, no classification and no boundary of the operating region was changed by this</w:t>
      </w:r>
      <w:r>
        <w:t xml:space="preserve"> </w:t>
      </w:r>
      <w:r>
        <w:t xml:space="preserve">deviation.</w:t>
      </w:r>
    </w:p>
    <w:bookmarkEnd w:id="106"/>
    <w:bookmarkEnd w:id="107"/>
    <w:bookmarkStart w:id="110" w:name="X77c0ef24ce4de9c1b8c35876c233736670b0bf3"/>
    <w:p>
      <w:pPr>
        <w:pStyle w:val="Heading1"/>
      </w:pPr>
      <w:r>
        <w:t xml:space="preserve">Appendix A — Screening design matrix and responses</w:t>
      </w:r>
    </w:p>
    <w:p>
      <w:pPr>
        <w:pStyle w:val="FirstParagraph"/>
      </w:pPr>
      <w:r>
        <w:t xml:space="preserve">The coded settings of the 19 screening runs are given in</w:t>
      </w:r>
      <w:r>
        <w:t xml:space="preserve"> </w:t>
      </w:r>
      <w:hyperlink w:anchor="tbl-appa1">
        <w:r>
          <w:rPr>
            <w:rStyle w:val="Hyperlink"/>
          </w:rPr>
          <w:t xml:space="preserve">Table 22</w:t>
        </w:r>
      </w:hyperlink>
      <w:r>
        <w:t xml:space="preserve"> </w:t>
      </w:r>
      <w:r>
        <w:t xml:space="preserve">and the</w:t>
      </w:r>
      <w:r>
        <w:t xml:space="preserve"> </w:t>
      </w:r>
      <w:r>
        <w:t xml:space="preserve">measured responses in</w:t>
      </w:r>
      <w:r>
        <w:t xml:space="preserve"> </w:t>
      </w:r>
      <w:hyperlink w:anchor="tbl-appa2">
        <w:r>
          <w:rPr>
            <w:rStyle w:val="Hyperlink"/>
          </w:rPr>
          <w:t xml:space="preserve">Table 23</w:t>
        </w:r>
      </w:hyperlink>
      <w:r>
        <w:t xml:space="preserve">. Factor codes are given in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, and the coded</w:t>
      </w:r>
      <w:r>
        <w:t xml:space="preserve"> </w:t>
      </w:r>
      <w:r>
        <w:t xml:space="preserve">levels minus one, zero and plus one correspond to the low edge, the set-point and the high</w:t>
      </w:r>
      <w:r>
        <w:t xml:space="preserve"> </w:t>
      </w:r>
      <w:r>
        <w:t xml:space="preserve">edge of each characterization range.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app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Screening design, coded factor settings by run.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10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app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Screening design, measured responses by run.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08"/>
              <w:gridCol w:w="799"/>
              <w:gridCol w:w="1235"/>
              <w:gridCol w:w="1380"/>
              <w:gridCol w:w="1162"/>
              <w:gridCol w:w="1380"/>
              <w:gridCol w:w="145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</w:tr>
          </w:tbl>
          <w:bookmarkEnd w:id="109"/>
          <w:p/>
        </w:tc>
      </w:tr>
    </w:tbl>
    <w:bookmarkEnd w:id="110"/>
    <w:bookmarkStart w:id="113" w:name="Xc987739a58e5854fe31352d470a2bebef9123c1"/>
    <w:p>
      <w:pPr>
        <w:pStyle w:val="Heading1"/>
      </w:pPr>
      <w:r>
        <w:t xml:space="preserve">Appendix B — Response-surface design matrix and responses</w:t>
      </w:r>
    </w:p>
    <w:p>
      <w:pPr>
        <w:pStyle w:val="FirstParagraph"/>
      </w:pPr>
      <w:r>
        <w:t xml:space="preserve">The coded settings of the 28 response-surface runs are given in</w:t>
      </w:r>
      <w:r>
        <w:t xml:space="preserve"> </w:t>
      </w:r>
      <w:hyperlink w:anchor="tbl-appb1">
        <w:r>
          <w:rPr>
            <w:rStyle w:val="Hyperlink"/>
          </w:rPr>
          <w:t xml:space="preserve">Table 24</w:t>
        </w:r>
      </w:hyperlink>
      <w:r>
        <w:t xml:space="preserve"> </w:t>
      </w:r>
      <w:r>
        <w:t xml:space="preserve">and the measured responses in</w:t>
      </w:r>
      <w:r>
        <w:t xml:space="preserve"> </w:t>
      </w:r>
      <w:hyperlink w:anchor="tbl-appb2">
        <w:r>
          <w:rPr>
            <w:rStyle w:val="Hyperlink"/>
          </w:rPr>
          <w:t xml:space="preserve">Table 25</w:t>
        </w:r>
      </w:hyperlink>
      <w:r>
        <w:t xml:space="preserve">. Runs of type factorial are the cube points, axial</w:t>
      </w:r>
      <w:r>
        <w:t xml:space="preserve"> </w:t>
      </w:r>
      <w:r>
        <w:t xml:space="preserve">runs sit on the faces of the cube, and centre runs are at the set-point of every factor.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app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24: Response-surface design, coded factor settings by run.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11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appb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25: Response-surface design, measured responses by run.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08"/>
              <w:gridCol w:w="799"/>
              <w:gridCol w:w="1235"/>
              <w:gridCol w:w="1380"/>
              <w:gridCol w:w="1162"/>
              <w:gridCol w:w="1380"/>
              <w:gridCol w:w="145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1.37</w:t>
                  </w:r>
                </w:p>
              </w:tc>
            </w:tr>
          </w:tbl>
          <w:bookmarkEnd w:id="112"/>
          <w:p/>
        </w:tc>
      </w:tr>
    </w:tbl>
    <w:bookmarkEnd w:id="113"/>
    <w:bookmarkStart w:id="122" w:name="Xa2fac5041b4173f7385fa99ae36b1e5b6f06fdd"/>
    <w:p>
      <w:pPr>
        <w:pStyle w:val="Heading1"/>
      </w:pPr>
      <w:r>
        <w:t xml:space="preserve">Appendix C — Full effect and coefficient tables</w:t>
      </w:r>
    </w:p>
    <w:p>
      <w:pPr>
        <w:pStyle w:val="FirstParagraph"/>
      </w:pPr>
      <w:r>
        <w:t xml:space="preserve">The complete screening effect tables for all 5 responses are given first,</w:t>
      </w:r>
      <w:r>
        <w:t xml:space="preserve"> </w:t>
      </w:r>
      <w:r>
        <w:t xml:space="preserve">followed by the response-surface coefficient tables for the three responses not shown in</w:t>
      </w:r>
      <w:r>
        <w:t xml:space="preserve"> </w:t>
      </w:r>
      <w:r>
        <w:t xml:space="preserve">§5.3. Terms are ordered by the absolute size of the effect in the screening tables and in</w:t>
      </w:r>
      <w:r>
        <w:t xml:space="preserve"> </w:t>
      </w:r>
      <w:r>
        <w:t xml:space="preserve">model order in the coefficient tables.</w:t>
      </w:r>
    </w:p>
    <w:p>
      <w:pPr>
        <w:pStyle w:val="BodyText"/>
      </w:pPr>
      <w:r>
        <w:rPr>
          <w:b/>
          <w:bCs/>
        </w:rPr>
        <w:t xml:space="preserve">Afucosylation — screening effects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appc-scr-afucosyl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26: Screening effect estimates, Afucosylation.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8"/>
              <w:gridCol w:w="1147"/>
              <w:gridCol w:w="1147"/>
              <w:gridCol w:w="1492"/>
              <w:gridCol w:w="1033"/>
              <w:gridCol w:w="1262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4"/>
          <w:p/>
        </w:tc>
      </w:tr>
    </w:tbl>
    <w:p>
      <w:pPr>
        <w:pStyle w:val="BodyText"/>
      </w:pPr>
      <w:r>
        <w:rPr>
          <w:b/>
          <w:bCs/>
        </w:rPr>
        <w:t xml:space="preserve">Galactosylation — screening effects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appc-scr-galactosyl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27: Screening effect estimates, Galactosylation.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1164"/>
              <w:gridCol w:w="1048"/>
              <w:gridCol w:w="1514"/>
              <w:gridCol w:w="1048"/>
              <w:gridCol w:w="1281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5"/>
          <w:p/>
        </w:tc>
      </w:tr>
    </w:tbl>
    <w:p>
      <w:pPr>
        <w:pStyle w:val="BodyText"/>
      </w:pPr>
      <w:r>
        <w:rPr>
          <w:b/>
          <w:bCs/>
        </w:rPr>
        <w:t xml:space="preserve">High mannose — screening effects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appc-scr-high-manno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28: Screening effect estimates, High mannose.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210"/>
              <w:gridCol w:w="1210"/>
              <w:gridCol w:w="1430"/>
              <w:gridCol w:w="110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-0.000576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-0.000288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6"/>
          <w:p/>
        </w:tc>
      </w:tr>
    </w:tbl>
    <w:p>
      <w:pPr>
        <w:pStyle w:val="BodyText"/>
      </w:pPr>
      <w:r>
        <w:rPr>
          <w:b/>
          <w:bCs/>
        </w:rPr>
        <w:t xml:space="preserve">Acidic variants — screening effects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appc-scr-acidic-vari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29: Screening effect estimates, Acidic variants.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8"/>
              <w:gridCol w:w="1147"/>
              <w:gridCol w:w="1033"/>
              <w:gridCol w:w="1492"/>
              <w:gridCol w:w="1147"/>
              <w:gridCol w:w="1262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0.000441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7"/>
          <w:p/>
        </w:tc>
      </w:tr>
    </w:tbl>
    <w:p>
      <w:pPr>
        <w:pStyle w:val="BodyText"/>
      </w:pPr>
      <w:r>
        <w:rPr>
          <w:b/>
          <w:bCs/>
        </w:rPr>
        <w:t xml:space="preserve">Aggregates (HMW) — screening effects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appc-scr-aggregates-hm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30: Screening effect estimates, Aggregates (HMW).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1164"/>
              <w:gridCol w:w="1164"/>
              <w:gridCol w:w="1514"/>
              <w:gridCol w:w="931"/>
              <w:gridCol w:w="1281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8"/>
          <w:p/>
        </w:tc>
      </w:tr>
    </w:tbl>
    <w:p>
      <w:pPr>
        <w:pStyle w:val="BodyText"/>
      </w:pPr>
      <w:r>
        <w:rPr>
          <w:b/>
          <w:bCs/>
        </w:rPr>
        <w:t xml:space="preserve">Afucosylation — response-surface coefficients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appc-rsm-afucosyl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31: Response-surface coefficients on coded factors, Afucosylation.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5.74e-15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6.52e-06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-9.45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3.16e-05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b/>
          <w:bCs/>
        </w:rPr>
        <w:t xml:space="preserve">Acidic variants — response-surface coefficients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tbl-appc-rsm-acidic-vari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32: Response-surface coefficients on coded factors, Acidic variants.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4.43e-15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0.0638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20"/>
          <w:p/>
        </w:tc>
      </w:tr>
    </w:tbl>
    <w:p>
      <w:pPr>
        <w:pStyle w:val="BodyText"/>
      </w:pPr>
      <w:r>
        <w:rPr>
          <w:b/>
          <w:bCs/>
        </w:rPr>
        <w:t xml:space="preserve">Aggregates (HMW) — response-surface coefficients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appc-rsm-aggregates-hm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Response-surface coefficients on coded factors, Aggregates (HMW).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1.25e-15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7.26e-10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1.91e-08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-0.00713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0.0366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21"/>
          <w:p/>
        </w:tc>
      </w:tr>
    </w:tbl>
    <w:bookmarkEnd w:id="122"/>
    <w:bookmarkStart w:id="124" w:name="appendix-d-analytical-methods-summary"/>
    <w:p>
      <w:pPr>
        <w:pStyle w:val="Heading1"/>
      </w:pPr>
      <w:r>
        <w:t xml:space="preserve">Appendix D — Analytical methods summary</w:t>
      </w:r>
    </w:p>
    <w:p>
      <w:pPr>
        <w:pStyle w:val="FirstParagraph"/>
      </w:pPr>
      <w:hyperlink w:anchor="tbl-appd">
        <w:r>
          <w:rPr>
            <w:rStyle w:val="Hyperlink"/>
          </w:rPr>
          <w:t xml:space="preserve">Table 34</w:t>
        </w:r>
      </w:hyperlink>
      <w:r>
        <w:t xml:space="preserve"> </w:t>
      </w:r>
      <w:r>
        <w:t xml:space="preserve">summarizes the validated methods used to measure the attributes reported here.</w:t>
      </w:r>
      <w:r>
        <w:t xml:space="preserve"> </w:t>
      </w:r>
      <w:r>
        <w:t xml:space="preserve">Performance figures are given where a campaign method-performance record exists, and the</w:t>
      </w:r>
      <w:r>
        <w:t xml:space="preserve"> </w:t>
      </w:r>
      <w:r>
        <w:t xml:space="preserve">remainder are stated in the method validation reports listed in</w:t>
      </w:r>
      <w:r>
        <w:t xml:space="preserve"> </w:t>
      </w:r>
      <w:hyperlink w:anchor="tbl-methods">
        <w:r>
          <w:rPr>
            <w:rStyle w:val="Hyperlink"/>
          </w:rPr>
          <w:t xml:space="preserve">Table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app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Analytical methods, the attributes they report and their validated performance.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09"/>
              <w:gridCol w:w="1499"/>
              <w:gridCol w:w="2764"/>
              <w:gridCol w:w="890"/>
              <w:gridCol w:w="1077"/>
              <w:gridCol w:w="10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 reported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Reportable 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Precision (%RSD)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Afucosylation, Galactosylation (total %Gal), 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0.5 % glycan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 validation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 validation report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 ng/mg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 validation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 validation report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 validation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 validation report</w:t>
                  </w:r>
                </w:p>
              </w:tc>
            </w:tr>
          </w:tbl>
          <w:bookmarkEnd w:id="123"/>
          <w:p/>
        </w:tc>
      </w:tr>
    </w:tbl>
    <w:bookmarkEnd w:id="124"/>
    <w:bookmarkStart w:id="133" w:name="references"/>
    <w:p>
      <w:pPr>
        <w:pStyle w:val="Heading1"/>
      </w:pPr>
      <w:r>
        <w:t xml:space="preserve">References</w:t>
      </w:r>
    </w:p>
    <w:bookmarkStart w:id="132" w:name="refs"/>
    <w:bookmarkStart w:id="125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125"/>
    <w:bookmarkStart w:id="126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126"/>
    <w:bookmarkStart w:id="127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127"/>
    <w:bookmarkStart w:id="128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128"/>
    <w:bookmarkStart w:id="129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129"/>
    <w:bookmarkStart w:id="130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130"/>
    <w:bookmarkStart w:id="131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26" Target="media/rId26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87" Target="media/rId87.png" /><Relationship Type="http://schemas.openxmlformats.org/officeDocument/2006/relationships/image" Id="rId75" Target="media/rId75.png" /><Relationship Type="http://schemas.openxmlformats.org/officeDocument/2006/relationships/image" Id="rId91" Target="media/rId91.png" /><Relationship Type="http://schemas.openxmlformats.org/officeDocument/2006/relationships/image" Id="rId79" Target="media/rId79.png" /><Relationship Type="http://schemas.openxmlformats.org/officeDocument/2006/relationships/image" Id="rId83" Target="media/rId8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2026-08-02T19:06:16Z</dcterms:created>
  <dcterms:modified xsi:type="dcterms:W3CDTF">2026-08-02T19:06:16Z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Production Bioreactor (Step 3) — PCR-003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