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95.png" ContentType="image/png"/>
  <Override PartName="/word/media/rId52.png" ContentType="image/png"/>
  <Override PartName="/word/media/rId69.png" ContentType="image/png"/>
  <Override PartName="/word/media/rId65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Low-pH Viral Inactivation (Step 6) — PCR-006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BLA, Biologics License</w:t>
      </w:r>
      <w:r>
        <w:t xml:space="preserve"> </w:t>
      </w:r>
      <w:r>
        <w:t xml:space="preserve">Application; CCD, central composite design; Cpk, one-sided process capability index; CPP,</w:t>
      </w:r>
      <w:r>
        <w:t xml:space="preserve"> </w:t>
      </w:r>
      <w:r>
        <w:t xml:space="preserve">critical process parameter; CQA, critical quality attribute; DCS, distributed control</w:t>
      </w:r>
      <w:r>
        <w:t xml:space="preserve"> </w:t>
      </w:r>
      <w:r>
        <w:t xml:space="preserve">system; DoE, design of experiments; DS, drug substance; GPP, general process parameter;</w:t>
      </w:r>
      <w:r>
        <w:t xml:space="preserve"> </w:t>
      </w:r>
      <w:r>
        <w:t xml:space="preserve">HMW, high molecular weight; icIEF, imaged capillary isoelectric focusing; LRF, log</w:t>
      </w:r>
      <w:r>
        <w:t xml:space="preserve"> </w:t>
      </w:r>
      <w:r>
        <w:t xml:space="preserve">reduction factor; MSAT, Manufacturing Science and Technology; MVM, minute virus of mice;</w:t>
      </w:r>
      <w:r>
        <w:t xml:space="preserve"> </w:t>
      </w:r>
      <w:r>
        <w:t xml:space="preserve">NOR, normal operating range; PAR, proven acceptable range; PRESS, predicted residual error</w:t>
      </w:r>
      <w:r>
        <w:t xml:space="preserve"> </w:t>
      </w:r>
      <w:r>
        <w:t xml:space="preserve">sum of squares; RSM, response surface methodology; SDM, scale-down model; SEC-HPLC, size</w:t>
      </w:r>
      <w:r>
        <w:t xml:space="preserve"> </w:t>
      </w:r>
      <w:r>
        <w:t xml:space="preserve">exclusion high performance liquid chromatography; SOP, standard operating procedure;</w:t>
      </w:r>
      <w:r>
        <w:t xml:space="preserve"> </w:t>
      </w:r>
      <w:r>
        <w:t xml:space="preserve">TCID50, fifty per cent tissue culture infectious dose; WC-CPP, well-controlled critical</w:t>
      </w:r>
      <w:r>
        <w:t xml:space="preserve"> </w:t>
      </w:r>
      <w:r>
        <w:t xml:space="preserve">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Low-pH viral inactivation is Step 6 of the A-Mab drug substance process and the first</w:t>
      </w:r>
      <w:r>
        <w:t xml:space="preserve"> </w:t>
      </w:r>
      <w:r>
        <w:t xml:space="preserve">dedicated viral clearance step of the purification train. The Protein A eluate is titrated</w:t>
      </w:r>
      <w:r>
        <w:t xml:space="preserve"> </w:t>
      </w:r>
      <w:r>
        <w:t xml:space="preserve">to a low pH, held for a defined time at controlled temperature, and neutralised before</w:t>
      </w:r>
      <w:r>
        <w:t xml:space="preserve"> </w:t>
      </w:r>
      <w:r>
        <w:t xml:space="preserve">cation exchange chromatography (Step 7). Enveloped virus is inactivated by acid</w:t>
      </w:r>
      <w:r>
        <w:t xml:space="preserve"> </w:t>
      </w:r>
      <w:r>
        <w:t xml:space="preserve">denaturation of the viral envelope. The step contributes 7.10 log₁₀ to the cumulative</w:t>
      </w:r>
      <w:r>
        <w:t xml:space="preserve"> </w:t>
      </w:r>
      <w:r>
        <w:t xml:space="preserve">XMuLV clearance of 18.87 log₁₀ claimed for the process, which is</w:t>
      </w:r>
      <w:r>
        <w:t xml:space="preserve"> </w:t>
      </w:r>
      <w:r>
        <w:t xml:space="preserve">the largest single contribution of the 3 credited steps (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). The</w:t>
      </w:r>
      <w:r>
        <w:t xml:space="preserve"> </w:t>
      </w:r>
      <w:r>
        <w:t xml:space="preserve">studies were</w:t>
      </w:r>
      <w:r>
        <w:t xml:space="preserve"> </w:t>
      </w:r>
      <w:r>
        <w:t xml:space="preserve">executed on a qualified small-scale spiking model under the approved protocol PCP-006. They</w:t>
      </w:r>
      <w:r>
        <w:t xml:space="preserve"> </w:t>
      </w:r>
      <w:r>
        <w:t xml:space="preserve">follow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, the enhanced development</w:t>
      </w:r>
      <w:r>
        <w:t xml:space="preserve"> </w:t>
      </w:r>
      <w:r>
        <w:t xml:space="preserve">approach of ICH Q8, Q9 and Q11</w:t>
      </w:r>
      <w:r>
        <w:t xml:space="preserve"> </w:t>
      </w:r>
      <w:r>
        <w:t xml:space="preserve">(International Council for Harmonisation 2009, 2023b, 2012)</w:t>
      </w:r>
      <w:r>
        <w:t xml:space="preserve">, and the viral safety framework of</w:t>
      </w:r>
      <w:r>
        <w:t xml:space="preserve"> </w:t>
      </w:r>
      <w:r>
        <w:t xml:space="preserve">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The step has 4 parameters, 3 of which were characterized in a</w:t>
      </w:r>
      <w:r>
        <w:t xml:space="preserve"> </w:t>
      </w:r>
      <w:r>
        <w:t xml:space="preserve">multivariate design (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).</w:t>
      </w:r>
      <w:r>
        <w:t xml:space="preserve"> </w:t>
      </w:r>
      <w:r>
        <w:t xml:space="preserve">Inactivation pH is classified as a critical process parameter. Hold time and temperature</w:t>
      </w:r>
      <w:r>
        <w:t xml:space="preserve"> </w:t>
      </w:r>
      <w:r>
        <w:t xml:space="preserve">are well-controlled critical process parameters, and A-Mab concentration is a general</w:t>
      </w:r>
      <w:r>
        <w:t xml:space="preserve"> </w:t>
      </w:r>
      <w:r>
        <w:t xml:space="preserve">process parameter. A two-level screening design of 11 runs identified pH, hold time and</w:t>
      </w:r>
      <w:r>
        <w:t xml:space="preserve"> </w:t>
      </w:r>
      <w:r>
        <w:t xml:space="preserve">temperature as active on the log reduction factor, and a face-centred central composite</w:t>
      </w:r>
      <w:r>
        <w:t xml:space="preserve"> </w:t>
      </w:r>
      <w:r>
        <w:t xml:space="preserve">design of 18 runs provided the response-surface models. The screening</w:t>
      </w:r>
      <w:r>
        <w:t xml:space="preserve"> </w:t>
      </w:r>
      <w:r>
        <w:t xml:space="preserve">design identifies the active factors. The response-surface model is the predictive model</w:t>
      </w:r>
      <w:r>
        <w:t xml:space="preserve"> </w:t>
      </w:r>
      <w:r>
        <w:t xml:space="preserve">and the basis of the operating region.</w:t>
      </w:r>
    </w:p>
    <w:p>
      <w:pPr>
        <w:pStyle w:val="BodyText"/>
      </w:pPr>
      <w:r>
        <w:t xml:space="preserve">Across the characterized ranges the pool aggregate stays below 5 %</w:t>
      </w:r>
      <w:r>
        <w:t xml:space="preserve"> </w:t>
      </w:r>
      <w:r>
        <w:t xml:space="preserve">and the acidic charge variants below 40 %, at every combination of</w:t>
      </w:r>
      <w:r>
        <w:t xml:space="preserve"> </w:t>
      </w:r>
      <w:r>
        <w:t xml:space="preserve">the factors studied. The log reduction factor meets the required step contribution of</w:t>
      </w:r>
      <w:r>
        <w:t xml:space="preserve"> </w:t>
      </w:r>
      <w:r>
        <w:t xml:space="preserve">4.93 log₁₀ everywhere except at one corner of the characterized</w:t>
      </w:r>
      <w:r>
        <w:t xml:space="preserve"> </w:t>
      </w:r>
      <w:r>
        <w:t xml:space="preserve">cube, where the highest pH is combined with the shortest hold and the lowest temperature.</w:t>
      </w:r>
      <w:r>
        <w:t xml:space="preserve"> </w:t>
      </w:r>
      <w:r>
        <w:t xml:space="preserve">At that corner, 2 executed runs returned log reduction factors below the</w:t>
      </w:r>
      <w:r>
        <w:t xml:space="preserve"> </w:t>
      </w:r>
      <w:r>
        <w:t xml:space="preserve">required contribution, the lowest of them 4.81 log₁₀. That</w:t>
      </w:r>
      <w:r>
        <w:t xml:space="preserve"> </w:t>
      </w:r>
      <w:r>
        <w:t xml:space="preserve">corner is excluded from the operating region. The normal operating ranges lie well inside</w:t>
      </w:r>
      <w:r>
        <w:t xml:space="preserve"> </w:t>
      </w:r>
      <w:r>
        <w:t xml:space="preserve">the region that remains, and at their least favourable corner the model predicts</w:t>
      </w:r>
      <w:r>
        <w:t xml:space="preserve"> </w:t>
      </w:r>
      <w:r>
        <w:t xml:space="preserve">6.43 log₁₀, a margin of</w:t>
      </w:r>
      <w:r>
        <w:t xml:space="preserve"> </w:t>
      </w:r>
      <w:r>
        <w:t xml:space="preserve">1.50 log₁₀ over the requirement.</w:t>
      </w:r>
    </w:p>
    <w:p>
      <w:pPr>
        <w:pStyle w:val="BodyText"/>
      </w:pPr>
      <w:r>
        <w:t xml:space="preserve">At commercial scale the cumulative XMuLV clearance has a mean of</w:t>
      </w:r>
      <w:r>
        <w:t xml:space="preserve"> </w:t>
      </w:r>
      <w:r>
        <w:t xml:space="preserve">19.51 log₁₀ against a requirement of at least</w:t>
      </w:r>
      <w:r>
        <w:t xml:space="preserve"> </w:t>
      </w:r>
      <w:r>
        <w:t xml:space="preserve">16.7 log₁₀, a margin of 2.81</w:t>
      </w:r>
      <w:r>
        <w:t xml:space="preserve"> </w:t>
      </w:r>
      <w:r>
        <w:t xml:space="preserve">log₁₀, and a one-sided Cpk of 1.53 (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). It is the</w:t>
      </w:r>
      <w:r>
        <w:t xml:space="preserve"> </w:t>
      </w:r>
      <w:r>
        <w:t xml:space="preserve">tightest of the attributes this step governs, and the capability rests on the other</w:t>
      </w:r>
      <w:r>
        <w:t xml:space="preserve"> </w:t>
      </w:r>
      <w:r>
        <w:t xml:space="preserve">credited steps as well as on this one. The study recorded 2 deviations</w:t>
      </w:r>
      <w:r>
        <w:t xml:space="preserve"> </w:t>
      </w:r>
      <w:r>
        <w:t xml:space="preserve">during execution. Both were investigated and dispositioned as retained, and neither altered</w:t>
      </w:r>
      <w:r>
        <w:t xml:space="preserve"> </w:t>
      </w:r>
      <w:r>
        <w:t xml:space="preserve">a parameter classification or the reported operating region.</w:t>
      </w:r>
    </w:p>
    <w:p>
      <w:pPr>
        <w:pStyle w:val="BodyText"/>
      </w:pPr>
      <w:r>
        <w:t xml:space="preserve">No clearance of non-enveloped virus is claimed for this step, and its MVM contribution is</w:t>
      </w:r>
      <w:r>
        <w:t xml:space="preserve"> </w:t>
      </w:r>
      <w:r>
        <w:t xml:space="preserve">reported as 0.0 log₁₀ (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). The cumulative XMuLV claim also</w:t>
      </w:r>
      <w:r>
        <w:t xml:space="preserve"> </w:t>
      </w:r>
      <w:r>
        <w:t xml:space="preserve">rests on the anion exchange step (PCR-008) and on the small-virus retentive filtration step</w:t>
      </w:r>
      <w:r>
        <w:t xml:space="preserve"> </w:t>
      </w:r>
      <w:r>
        <w:t xml:space="preserve">(PCR-009), which act by different mechanisms. The step assures a defined enveloped-virus</w:t>
      </w:r>
      <w:r>
        <w:t xml:space="preserve"> </w:t>
      </w:r>
      <w:r>
        <w:t xml:space="preserve">inactivation increment and a bounded product quality cost. It does not by itself assure</w:t>
      </w:r>
      <w:r>
        <w:t xml:space="preserve"> </w:t>
      </w:r>
      <w:r>
        <w:t xml:space="preserve">the viral safety of the drug substance. This report rolls up into PCMR-001.</w:t>
      </w:r>
    </w:p>
    <w:bookmarkEnd w:id="12"/>
    <w:bookmarkStart w:id="17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primary mechanism of action is</w:t>
      </w:r>
      <w:r>
        <w:t xml:space="preserve"> </w:t>
      </w:r>
      <w:r>
        <w:t xml:space="preserve">antibody-dependent cellular cytotoxicity. It is produced by fed-batch cell culture and</w:t>
      </w:r>
      <w:r>
        <w:t xml:space="preserve"> </w:t>
      </w:r>
      <w:r>
        <w:t xml:space="preserve">purified by a platform train of Protein A capture, low-pH viral inactivation, cation</w:t>
      </w:r>
      <w:r>
        <w:t xml:space="preserve"> </w:t>
      </w:r>
      <w:r>
        <w:t xml:space="preserve">exchange chromatography, anion exchange chromatography, small-virus retentive filtration</w:t>
      </w:r>
      <w:r>
        <w:t xml:space="preserve"> </w:t>
      </w:r>
      <w:r>
        <w:t xml:space="preserve">and ultrafiltration with diafiltration (Steps 5–10). The train is the one described in the</w:t>
      </w:r>
      <w:r>
        <w:t xml:space="preserve"> </w:t>
      </w:r>
      <w:r>
        <w:t xml:space="preserve">A-Mab case study</w:t>
      </w:r>
      <w:r>
        <w:t xml:space="preserve"> </w:t>
      </w:r>
      <w:r>
        <w:t xml:space="preserve">(CMC Biotech Working Group 2009)</w:t>
      </w:r>
      <w:r>
        <w:t xml:space="preserve">, and this report covers the second of its downstream steps.</w:t>
      </w:r>
    </w:p>
    <w:p>
      <w:pPr>
        <w:pStyle w:val="BodyText"/>
      </w:pPr>
      <w:r>
        <w:t xml:space="preserve">The step is a batch hold. The Protein A eluate is titrated with acid to the target pH in a</w:t>
      </w:r>
      <w:r>
        <w:t xml:space="preserve"> </w:t>
      </w:r>
      <w:r>
        <w:t xml:space="preserve">mixed vessel, held for the target time under temperature control, and then neutralised to</w:t>
      </w:r>
      <w:r>
        <w:t xml:space="preserve"> </w:t>
      </w:r>
      <w:r>
        <w:t xml:space="preserve">the pH required by the cation exchange load. Inactivation of enveloped virus proceeds by</w:t>
      </w:r>
      <w:r>
        <w:t xml:space="preserve"> </w:t>
      </w:r>
      <w:r>
        <w:t xml:space="preserve">acid-driven denaturation of the envelope glycoproteins, which is a kinetic process. Its</w:t>
      </w:r>
      <w:r>
        <w:t xml:space="preserve"> </w:t>
      </w:r>
      <w:r>
        <w:t xml:space="preserve">extent therefore depends on the pH reached, on how long the material is held there, and on</w:t>
      </w:r>
      <w:r>
        <w:t xml:space="preserve"> </w:t>
      </w:r>
      <w:r>
        <w:t xml:space="preserve">the temperature at which it is held. The same conditions act on the antibody, where partial</w:t>
      </w:r>
      <w:r>
        <w:t xml:space="preserve"> </w:t>
      </w:r>
      <w:r>
        <w:t xml:space="preserve">acid unfolding produces high molecular weight species (HMW) and asparagine deamidation over</w:t>
      </w:r>
      <w:r>
        <w:t xml:space="preserve"> </w:t>
      </w:r>
      <w:r>
        <w:t xml:space="preserve">the hold raises the acidic charge variant level. The step is a balance between these two</w:t>
      </w:r>
      <w:r>
        <w:t xml:space="preserve"> </w:t>
      </w:r>
      <w:r>
        <w:t xml:space="preserve">effects, and characterizing it means bounding both.</w:t>
      </w:r>
    </w:p>
    <w:p>
      <w:pPr>
        <w:pStyle w:val="BodyText"/>
      </w:pPr>
      <w:r>
        <w:t xml:space="preserve">The step sets the XMuLV clearance credited to it in the modular viral safety claim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). It does not form the aggregate or the charge variant attributes, which are</w:t>
      </w:r>
      <w:r>
        <w:t xml:space="preserve"> </w:t>
      </w:r>
      <w:r>
        <w:t xml:space="preserve">established in the production bioreactor (PCR-003). It adds to both, and</w:t>
      </w:r>
      <w:r>
        <w:t xml:space="preserve"> </w:t>
      </w:r>
      <w:r>
        <w:t xml:space="preserve">aggregate is subsequently reduced at cation exchange (PCR-007). Clearance of host cell</w:t>
      </w:r>
      <w:r>
        <w:t xml:space="preserve"> </w:t>
      </w:r>
      <w:r>
        <w:t xml:space="preserve">protein by precipitation at low pH is not claimed here, since it is not reliably</w:t>
      </w:r>
      <w:r>
        <w:t xml:space="preserve"> </w:t>
      </w:r>
      <w:r>
        <w:t xml:space="preserve">predictable across feed states.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characterization were as follows.</w:t>
      </w:r>
    </w:p>
    <w:p>
      <w:pPr>
        <w:pStyle w:val="Compact"/>
        <w:numPr>
          <w:ilvl w:val="0"/>
          <w:numId w:val="1001"/>
        </w:numPr>
      </w:pPr>
      <w:r>
        <w:t xml:space="preserve">Quantify the relationship between the operating parameters of the step and the XMuLV</w:t>
      </w:r>
      <w:r>
        <w:t xml:space="preserve"> </w:t>
      </w:r>
      <w:r>
        <w:t xml:space="preserve">log reduction factor, the pool aggregate level and the acidic charge variant level.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within which all three responses meet their</w:t>
      </w:r>
      <w:r>
        <w:t xml:space="preserve"> </w:t>
      </w:r>
      <w:r>
        <w:t xml:space="preserve">acceptance criteria.</w:t>
      </w:r>
    </w:p>
    <w:p>
      <w:pPr>
        <w:pStyle w:val="Compact"/>
        <w:numPr>
          <w:ilvl w:val="0"/>
          <w:numId w:val="1001"/>
        </w:numPr>
      </w:pPr>
      <w:r>
        <w:t xml:space="preserve">Establish the proven acceptable range of each parameter for each attribute it</w:t>
      </w:r>
      <w:r>
        <w:t xml:space="preserve"> </w:t>
      </w:r>
      <w:r>
        <w:t xml:space="preserve">governs, both with the other parameters held fixed and with them varying within their</w:t>
      </w:r>
      <w:r>
        <w:t xml:space="preserve"> </w:t>
      </w:r>
      <w:r>
        <w:t xml:space="preserve">normal operating ranges.</w:t>
      </w:r>
    </w:p>
    <w:p>
      <w:pPr>
        <w:pStyle w:val="Compact"/>
        <w:numPr>
          <w:ilvl w:val="0"/>
          <w:numId w:val="1001"/>
        </w:numPr>
      </w:pPr>
      <w:r>
        <w:t xml:space="preserve">Classify each parameter against the decision logic of SOP-4001.</w:t>
      </w:r>
    </w:p>
    <w:p>
      <w:pPr>
        <w:pStyle w:val="Compact"/>
        <w:numPr>
          <w:ilvl w:val="0"/>
          <w:numId w:val="1001"/>
        </w:numPr>
      </w:pPr>
      <w:r>
        <w:t xml:space="preserve">Justify the ranges to be run in Stage 2 and the contribution this step makes to the</w:t>
      </w:r>
      <w:r>
        <w:t xml:space="preserve"> </w:t>
      </w:r>
      <w:r>
        <w:t xml:space="preserve">control strategy for the drug substance.</w:t>
      </w:r>
    </w:p>
    <w:bookmarkEnd w:id="14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 design activity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. Its record is the evidence that the commercial ranges were</w:t>
      </w:r>
      <w:r>
        <w:t xml:space="preserve"> </w:t>
      </w:r>
      <w:r>
        <w:t xml:space="preserve">established from designed experiments on a qualified model, and not from a small number of</w:t>
      </w:r>
      <w:r>
        <w:t xml:space="preserve"> </w:t>
      </w:r>
      <w:r>
        <w:t xml:space="preserve">engineering runs. The enhanced development approach of ICH Q8 and the risk framework of ICH</w:t>
      </w:r>
      <w:r>
        <w:t xml:space="preserve"> </w:t>
      </w:r>
      <w:r>
        <w:t xml:space="preserve">Q9 apply throughout, and the parameter classification treats criticality as a continuum</w:t>
      </w:r>
      <w:r>
        <w:t xml:space="preserve"> </w:t>
      </w:r>
      <w:r>
        <w:t xml:space="preserve">(International Council for Harmonisation 2023b)</w:t>
      </w:r>
      <w:r>
        <w:t xml:space="preserve">. ICH Q11 frames the link from the studies to the control strategy</w:t>
      </w:r>
      <w:r>
        <w:t xml:space="preserve"> </w:t>
      </w:r>
      <w:r>
        <w:t xml:space="preserve">(International Council for Harmonisation 2012)</w:t>
      </w:r>
      <w:r>
        <w:t xml:space="preserve">.</w:t>
      </w:r>
    </w:p>
    <w:p>
      <w:pPr>
        <w:pStyle w:val="BodyText"/>
      </w:pPr>
      <w:r>
        <w:t xml:space="preserve">Viral safety is evaluated under ICH Q5A(R2)</w:t>
      </w:r>
      <w:r>
        <w:t xml:space="preserve"> </w:t>
      </w:r>
      <w:r>
        <w:t xml:space="preserve">(International Council for Harmonisation 2023a)</w:t>
      </w:r>
      <w:r>
        <w:t xml:space="preserve">. That guideline sets the framework</w:t>
      </w:r>
      <w:r>
        <w:t xml:space="preserve"> </w:t>
      </w:r>
      <w:r>
        <w:t xml:space="preserve">used here in three ways. Clearance is claimed on a modular basis, so that each step is</w:t>
      </w:r>
      <w:r>
        <w:t xml:space="preserve"> </w:t>
      </w:r>
      <w:r>
        <w:t xml:space="preserve">studied independently and the increments are summed. Clearance data are generated at small</w:t>
      </w:r>
      <w:r>
        <w:t xml:space="preserve"> </w:t>
      </w:r>
      <w:r>
        <w:t xml:space="preserve">scale with a deliberately spiked feed, because virus cannot be introduced into a</w:t>
      </w:r>
      <w:r>
        <w:t xml:space="preserve"> </w:t>
      </w:r>
      <w:r>
        <w:t xml:space="preserve">manufacturing process. Steps are credited only where the mechanism of removal or</w:t>
      </w:r>
      <w:r>
        <w:t xml:space="preserve"> </w:t>
      </w:r>
      <w:r>
        <w:t xml:space="preserve">inactivation is understood and the operating conditions that deliver it are controlled. The</w:t>
      </w:r>
      <w:r>
        <w:t xml:space="preserve"> </w:t>
      </w:r>
      <w:r>
        <w:t xml:space="preserve">A-Mab case study provides the process model, the attribute framework and the risk</w:t>
      </w:r>
      <w:r>
        <w:t xml:space="preserve"> </w:t>
      </w:r>
      <w:r>
        <w:t xml:space="preserve">methodology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This report is one document of a cross-referenced package. Its risk basis, its paired</w:t>
      </w:r>
      <w:r>
        <w:t xml:space="preserve"> </w:t>
      </w:r>
      <w:r>
        <w:t xml:space="preserve">protocol and the report it rolls up into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5"/>
          <w:p/>
        </w:tc>
      </w:tr>
    </w:tbl>
    <w:bookmarkEnd w:id="16"/>
    <w:bookmarkEnd w:id="17"/>
    <w:bookmarkStart w:id="22" w:name="prior-knowledge-and-quality-risk-basis"/>
    <w:p>
      <w:pPr>
        <w:pStyle w:val="Heading1"/>
      </w:pPr>
      <w:r>
        <w:t xml:space="preserve">2. Prior knowledge and quality risk basis</w:t>
      </w:r>
    </w:p>
    <w:bookmarkStart w:id="18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low-pH hold is a platform step with a long performance history. It has been used to</w:t>
      </w:r>
      <w:r>
        <w:t xml:space="preserve"> </w:t>
      </w:r>
      <w:r>
        <w:t xml:space="preserve">manufacture three previously licensed humanized IgG1 antibodies (X-Mab, Y-Mab and Z-Mab),</w:t>
      </w:r>
      <w:r>
        <w:t xml:space="preserve"> </w:t>
      </w:r>
      <w:r>
        <w:t xml:space="preserve">and its operating conditions have remained essentially unchanged across those products and</w:t>
      </w:r>
      <w:r>
        <w:t xml:space="preserve"> </w:t>
      </w:r>
      <w:r>
        <w:t xml:space="preserve">throughout A-Mab development. The mechanism of inactivation is not product specific, since it depends on the pH and</w:t>
      </w:r>
      <w:r>
        <w:t xml:space="preserve"> </w:t>
      </w:r>
      <w:r>
        <w:t xml:space="preserve">temperature of the solution and on the exposure time, so the knowledge gained on the</w:t>
      </w:r>
      <w:r>
        <w:t xml:space="preserve"> </w:t>
      </w:r>
      <w:r>
        <w:t xml:space="preserve">platform transfers directly to A-Mab. Characterization therefore</w:t>
      </w:r>
      <w:r>
        <w:t xml:space="preserve"> </w:t>
      </w:r>
      <w:r>
        <w:t xml:space="preserve">confirms and bounds the step for this molecule. It is not a search for the operating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Prior knowledge sets a clear mechanistic expectation, and the study was designed to test</w:t>
      </w:r>
      <w:r>
        <w:t xml:space="preserve"> </w:t>
      </w:r>
      <w:r>
        <w:t xml:space="preserve">it. Log reduction should rise as pH falls, as the hold lengthens and as the temperature</w:t>
      </w:r>
      <w:r>
        <w:t xml:space="preserve"> </w:t>
      </w:r>
      <w:r>
        <w:t xml:space="preserve">rises, because all three increase the extent of acid denaturation over the hold. Aggregate</w:t>
      </w:r>
      <w:r>
        <w:t xml:space="preserve"> </w:t>
      </w:r>
      <w:r>
        <w:t xml:space="preserve">should rise with hold time and with temperature for the same reason acting on the antibody,</w:t>
      </w:r>
      <w:r>
        <w:t xml:space="preserve"> </w:t>
      </w:r>
      <w:r>
        <w:t xml:space="preserve">and should be largely independent of pH within the narrow band studied. Acidic charge</w:t>
      </w:r>
      <w:r>
        <w:t xml:space="preserve"> </w:t>
      </w:r>
      <w:r>
        <w:t xml:space="preserve">variants should rise with hold time, since deamidation accumulates with exposure. If the</w:t>
      </w:r>
      <w:r>
        <w:t xml:space="preserve"> </w:t>
      </w:r>
      <w:r>
        <w:t xml:space="preserve">data contradict any of these expectations, the platform justification for the step would</w:t>
      </w:r>
      <w:r>
        <w:t xml:space="preserve"> </w:t>
      </w:r>
      <w:r>
        <w:t xml:space="preserve">have to be re-examined.</w:t>
      </w:r>
    </w:p>
    <w:p>
      <w:pPr>
        <w:pStyle w:val="BodyText"/>
      </w:pPr>
      <w:r>
        <w:t xml:space="preserve">The same prior knowledge sets the edges of the characterized ranges. The low edge of the pH</w:t>
      </w:r>
      <w:r>
        <w:t xml:space="preserve"> </w:t>
      </w:r>
      <w:r>
        <w:t xml:space="preserve">range sits above the region in which antibody precipitation has been observed on the</w:t>
      </w:r>
      <w:r>
        <w:t xml:space="preserve"> </w:t>
      </w:r>
      <w:r>
        <w:t xml:space="preserve">platform, so that precipitation could not confound the study. The high edge sits above the</w:t>
      </w:r>
      <w:r>
        <w:t xml:space="preserve"> </w:t>
      </w:r>
      <w:r>
        <w:t xml:space="preserve">pH at which inactivation of enveloped virus has been shown to be reliable within a short</w:t>
      </w:r>
      <w:r>
        <w:t xml:space="preserve"> </w:t>
      </w:r>
      <w:r>
        <w:t xml:space="preserve">hold, which is what makes the upper part of the pH range the interesting part. The hold</w:t>
      </w:r>
      <w:r>
        <w:t xml:space="preserve"> </w:t>
      </w:r>
      <w:r>
        <w:t xml:space="preserve">time range extends to 3 times its lower edge, and the</w:t>
      </w:r>
      <w:r>
        <w:t xml:space="preserve"> </w:t>
      </w:r>
      <w:r>
        <w:t xml:space="preserve">temperature range spans the controlled room-temperature band available in the manufacturing</w:t>
      </w:r>
      <w:r>
        <w:t xml:space="preserve"> </w:t>
      </w:r>
      <w:r>
        <w:t xml:space="preserve">suite.</w:t>
      </w:r>
    </w:p>
    <w:bookmarkEnd w:id="18"/>
    <w:bookmarkStart w:id="20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governs 3 drug substance attributes, and they differ widely in</w:t>
      </w:r>
      <w:r>
        <w:t xml:space="preserve"> </w:t>
      </w:r>
      <w:r>
        <w:t xml:space="preserve">criticality (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). Criticality was assigned by the Tool #1 method of the case study</w:t>
      </w:r>
      <w:r>
        <w:t xml:space="preserve"> </w:t>
      </w:r>
      <w:r>
        <w:t xml:space="preserve">(impact multiplied by uncertainty), and attributes scoring high or very high are called</w:t>
      </w:r>
      <w:r>
        <w:t xml:space="preserve"> </w:t>
      </w:r>
      <w: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Quality attributes governed by the low-pH viral inactivation step, with acceptance</w:t>
            </w:r>
            <w:r>
              <w:t xml:space="preserve"> </w:t>
            </w:r>
            <w:r>
              <w:t xml:space="preserve">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XMuLV clearance is the attribute this step sets. It is of very high criticality, and its</w:t>
      </w:r>
      <w:r>
        <w:t xml:space="preserve"> </w:t>
      </w:r>
      <w:r>
        <w:t xml:space="preserve">acceptance criterion is cumulative across the credited steps, which is why the criterion</w:t>
      </w:r>
      <w:r>
        <w:t xml:space="preserve"> </w:t>
      </w:r>
      <w:r>
        <w:t xml:space="preserve">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is larger than any single step can deliver. Aggregate is of high criticality</w:t>
      </w:r>
      <w:r>
        <w:t xml:space="preserve"> </w:t>
      </w:r>
      <w:r>
        <w:t xml:space="preserve">and carries the highest Tool #1 score of the three. It is formed upstream, added to here,</w:t>
      </w:r>
      <w:r>
        <w:t xml:space="preserve"> </w:t>
      </w:r>
      <w:r>
        <w:t xml:space="preserve">and polished downstream, so this step’s obligation is to bound its own increment. Acidic</w:t>
      </w:r>
      <w:r>
        <w:t xml:space="preserve"> </w:t>
      </w:r>
      <w:r>
        <w:t xml:space="preserve">charge variants are of very low criticality, and the attribute is carried in scope because</w:t>
      </w:r>
      <w:r>
        <w:t xml:space="preserve"> </w:t>
      </w:r>
      <w:r>
        <w:t xml:space="preserve">the hold adds to the level formed upstream and that increment has to be bounded.</w:t>
      </w:r>
    </w:p>
    <w:bookmarkEnd w:id="20"/>
    <w:bookmarkStart w:id="21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the study was set by RA-001, which ranked every parameter of the step by its</w:t>
      </w:r>
      <w:r>
        <w:t xml:space="preserve"> </w:t>
      </w:r>
      <w:r>
        <w:t xml:space="preserve">potential impact on a CQA and by its potential to interact with other parameters. The</w:t>
      </w:r>
      <w:r>
        <w:t xml:space="preserve"> </w:t>
      </w:r>
      <w:r>
        <w:t xml:space="preserve">ranking sent 3 of them to multivariate study. Inactivation pH</w:t>
      </w:r>
      <w:r>
        <w:t xml:space="preserve"> </w:t>
      </w:r>
      <w:r>
        <w:t xml:space="preserve">carries the largest expected effect on log reduction and the narrowest operating band. Hold</w:t>
      </w:r>
      <w:r>
        <w:t xml:space="preserve"> </w:t>
      </w:r>
      <w:r>
        <w:t xml:space="preserve">time drives log reduction, aggregate and deamidation at once, which makes it the parameter</w:t>
      </w:r>
      <w:r>
        <w:t xml:space="preserve"> </w:t>
      </w:r>
      <w:r>
        <w:t xml:space="preserve">most likely to force a compromise. Temperature acts on the same kinetics as hold time and</w:t>
      </w:r>
      <w:r>
        <w:t xml:space="preserve"> </w:t>
      </w:r>
      <w:r>
        <w:t xml:space="preserve">was expected to interact with it.</w:t>
      </w:r>
    </w:p>
    <w:p>
      <w:pPr>
        <w:pStyle w:val="BodyText"/>
      </w:pPr>
      <w:r>
        <w:t xml:space="preserve">A-Mab concentration was assigned to univariate assessment. Its plausible mechanism is a</w:t>
      </w:r>
      <w:r>
        <w:t xml:space="preserve"> </w:t>
      </w:r>
      <w:r>
        <w:t xml:space="preserve">matrix effect on the acid titration and on the local ionic environment, which prior</w:t>
      </w:r>
      <w:r>
        <w:t xml:space="preserve"> </w:t>
      </w:r>
      <w:r>
        <w:t xml:space="preserve">knowledge places well below the three kinetic factors in magnitude, and no interaction with</w:t>
      </w:r>
      <w:r>
        <w:t xml:space="preserve"> </w:t>
      </w:r>
      <w:r>
        <w:t xml:space="preserve">them was expected. Studying it one factor at a time over its full range was judged</w:t>
      </w:r>
      <w:r>
        <w:t xml:space="preserve"> </w:t>
      </w:r>
      <w:r>
        <w:t xml:space="preserve">sufficient. The ranges taken forward for the multivariate factors are wider than their</w:t>
      </w:r>
      <w:r>
        <w:t xml:space="preserve"> </w:t>
      </w:r>
      <w:r>
        <w:t xml:space="preserve">normal operating ranges (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), which is deliberate. A range that only covers the</w:t>
      </w:r>
      <w:r>
        <w:t xml:space="preserve"> </w:t>
      </w:r>
      <w:r>
        <w:t xml:space="preserve">control band cannot</w:t>
      </w:r>
      <w:r>
        <w:t xml:space="preserve"> </w:t>
      </w:r>
      <w:r>
        <w:t xml:space="preserve">distinguish a robust parameter from an unstudied one, and it leaves no room for movement</w:t>
      </w:r>
      <w:r>
        <w:t xml:space="preserve"> </w:t>
      </w:r>
      <w:r>
        <w:t xml:space="preserve">within the design space later in the lifecycle.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3. Materials and methods</w:t>
      </w:r>
    </w:p>
    <w:p>
      <w:pPr>
        <w:pStyle w:val="FirstParagraph"/>
      </w:pPr>
      <w:r>
        <w:t xml:space="preserve">The step was executed on a qualified scale-down model under the controlled documents listed</w:t>
      </w:r>
      <w:r>
        <w:t xml:space="preserve"> </w:t>
      </w:r>
      <w:r>
        <w:t xml:space="preserve">in</w:t>
      </w:r>
      <w:r>
        <w:t xml:space="preserve"> </w:t>
      </w:r>
      <w:hyperlink w:anchor="tbl-sop">
        <w:r>
          <w:rPr>
            <w:rStyle w:val="Hyperlink"/>
          </w:rPr>
          <w:t xml:space="preserve">Table 4</w:t>
        </w:r>
      </w:hyperlink>
      <w:r>
        <w:t xml:space="preserve">. The procedures cover model qualification, the design and analysis of the DoE</w:t>
      </w:r>
      <w:r>
        <w:t xml:space="preserve"> </w:t>
      </w:r>
      <w:r>
        <w:t xml:space="preserve">studies, the operation of the step itself, and the parameter classification logic (SOP-4001)</w:t>
      </w:r>
      <w:r>
        <w:t xml:space="preserve"> </w:t>
      </w:r>
      <w:r>
        <w:t xml:space="preserve">applied in the classification section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documents and validated analytical methods applied to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3"/>
          <w:p/>
        </w:tc>
      </w:tr>
    </w:tbl>
    <w:bookmarkStart w:id="24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jacketed, mixed vessel operated with the same pH, temperature and</w:t>
      </w:r>
      <w:r>
        <w:t xml:space="preserve"> </w:t>
      </w:r>
      <w:r>
        <w:t xml:space="preserve">hold profile as the commercial step. The variables that govern the inactivation are</w:t>
      </w:r>
      <w:r>
        <w:t xml:space="preserve"> </w:t>
      </w:r>
      <w:r>
        <w:t xml:space="preserve">scale-independent, because the hold is a homogeneous liquid-phase reaction with no</w:t>
      </w:r>
      <w:r>
        <w:t xml:space="preserve"> </w:t>
      </w:r>
      <w:r>
        <w:t xml:space="preserve">transport limitation. The model therefore reproduces the commercial step by matching</w:t>
      </w:r>
      <w:r>
        <w:t xml:space="preserve"> </w:t>
      </w:r>
      <w:r>
        <w:t xml:space="preserve">the acid titration path, the target pH, the hold time, the temperature and the</w:t>
      </w:r>
      <w:r>
        <w:t xml:space="preserve"> </w:t>
      </w:r>
      <w:r>
        <w:t xml:space="preserve">neutralisation, and by using representative Protein A eluate as the feed. Mixing was set to</w:t>
      </w:r>
      <w:r>
        <w:t xml:space="preserve"> </w:t>
      </w:r>
      <w:r>
        <w:t xml:space="preserve">give the same time to pH homogeneity as the commercial vessel, so that no part of the</w:t>
      </w:r>
      <w:r>
        <w:t xml:space="preserve"> </w:t>
      </w:r>
      <w:r>
        <w:t xml:space="preserve">batch experiences a shorter effective hold than the record states.</w:t>
      </w:r>
    </w:p>
    <w:p>
      <w:pPr>
        <w:pStyle w:val="BodyText"/>
      </w:pPr>
      <w:r>
        <w:t xml:space="preserve">Qualification followed SOP-1001, under which the model was operated at the target</w:t>
      </w:r>
      <w:r>
        <w:t xml:space="preserve"> </w:t>
      </w:r>
      <w:r>
        <w:t xml:space="preserve">conditions and its input and output attributes were compared with the commercial-scale batch</w:t>
      </w:r>
      <w:r>
        <w:t xml:space="preserve"> </w:t>
      </w:r>
      <w:r>
        <w:t xml:space="preserve">data (pool aggregate, acidic charge variants, protein concentration and step recovery). No</w:t>
      </w:r>
      <w:r>
        <w:t xml:space="preserve"> </w:t>
      </w:r>
      <w:r>
        <w:t xml:space="preserve">difference of practical consequence was found, and the model is accepted as</w:t>
      </w:r>
      <w:r>
        <w:t xml:space="preserve"> </w:t>
      </w:r>
      <w:r>
        <w:t xml:space="preserve">representative for the definition of operating ranges. Clearance claims rest on the same</w:t>
      </w:r>
      <w:r>
        <w:t xml:space="preserve"> </w:t>
      </w:r>
      <w:r>
        <w:t xml:space="preserve">qualification with one addition required by ICH Q5A(R2). Virus can only be introduced at</w:t>
      </w:r>
      <w:r>
        <w:t xml:space="preserve"> </w:t>
      </w:r>
      <w:r>
        <w:t xml:space="preserve">small scale, so the spiking model must also be shown to hold the feed matrix, the spike</w:t>
      </w:r>
      <w:r>
        <w:t xml:space="preserve"> </w:t>
      </w:r>
      <w:r>
        <w:t xml:space="preserve">volume and the neutralisation step within the limits under which the clearance is claimed</w:t>
      </w:r>
      <w:r>
        <w:t xml:space="preserve"> </w:t>
      </w:r>
      <w:r>
        <w:t xml:space="preserve">(International Council for Harmonisation 2023a)</w:t>
      </w:r>
      <w:r>
        <w:t xml:space="preserve">. The spike volume was kept small enough that the acid titration path of the run</w:t>
      </w:r>
      <w:r>
        <w:t xml:space="preserve"> </w:t>
      </w:r>
      <w:r>
        <w:t xml:space="preserve">was set by the eluate and not by the spike.</w:t>
      </w:r>
    </w:p>
    <w:p>
      <w:pPr>
        <w:pStyle w:val="BodyText"/>
      </w:pPr>
      <w:r>
        <w:t xml:space="preserve">Replicate centre-point runs were included in both designs, 3 in the</w:t>
      </w:r>
      <w:r>
        <w:t xml:space="preserve"> </w:t>
      </w:r>
      <w:r>
        <w:t xml:space="preserve">screening design and 4 in the response-surface design. They provide the</w:t>
      </w:r>
      <w:r>
        <w:t xml:space="preserve"> </w:t>
      </w:r>
      <w:r>
        <w:t xml:space="preserve">pure-error estimate against which lack of fit is tested, and they also give a direct</w:t>
      </w:r>
      <w:r>
        <w:t xml:space="preserve"> </w:t>
      </w:r>
      <w:r>
        <w:t xml:space="preserve">measure of the reproducibility of the model and the assays.</w:t>
      </w:r>
    </w:p>
    <w:bookmarkEnd w:id="24"/>
    <w:bookmarkStart w:id="25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started from a representative Protein A eluate held at the platform target</w:t>
      </w:r>
      <w:r>
        <w:t xml:space="preserve"> </w:t>
      </w:r>
      <w:r>
        <w:t xml:space="preserve">concentration. The eluate was titrated with acid to the run’s target pH under mixing, and</w:t>
      </w:r>
      <w:r>
        <w:t xml:space="preserve"> </w:t>
      </w:r>
      <w:r>
        <w:t xml:space="preserve">the pH was confirmed by an independent probe (a second, separately calibrated instrument)</w:t>
      </w:r>
      <w:r>
        <w:t xml:space="preserve"> </w:t>
      </w:r>
      <w:r>
        <w:t xml:space="preserve">before the hold clock was started. The material was then held at the run’s target temperature for the run’s target time, sampled,</w:t>
      </w:r>
      <w:r>
        <w:t xml:space="preserve"> </w:t>
      </w:r>
      <w:r>
        <w:t xml:space="preserve">and neutralised. Samples for infectivity titration were taken from the spiked hold vessel</w:t>
      </w:r>
      <w:r>
        <w:t xml:space="preserve"> </w:t>
      </w:r>
      <w:r>
        <w:t xml:space="preserve">immediately before neutralisation, and product quality samples were taken from the</w:t>
      </w:r>
      <w:r>
        <w:t xml:space="preserve"> </w:t>
      </w:r>
      <w:r>
        <w:t xml:space="preserve">neutralised pool.</w:t>
      </w:r>
    </w:p>
    <w:p>
      <w:pPr>
        <w:pStyle w:val="BodyText"/>
      </w:pPr>
      <w:r>
        <w:t xml:space="preserve">Inputs other than the three factors were controlled to their platform specifications and</w:t>
      </w:r>
      <w:r>
        <w:t xml:space="preserve"> </w:t>
      </w:r>
      <w:r>
        <w:t xml:space="preserve">were not varied. Buffer identity, acid and base titrant concentration, vessel geometry and</w:t>
      </w:r>
      <w:r>
        <w:t xml:space="preserve"> </w:t>
      </w:r>
      <w:r>
        <w:t xml:space="preserve">mixing rate all fall into this group. These are identity and quality controlled inputs, and</w:t>
      </w:r>
      <w:r>
        <w:t xml:space="preserve"> </w:t>
      </w:r>
      <w:r>
        <w:t xml:space="preserve">they are verified at use. They were not characterized in this study.</w:t>
      </w:r>
    </w:p>
    <w:bookmarkEnd w:id="25"/>
    <w:bookmarkStart w:id="26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XMuLV infectivity was determined by TCID50 titration under AMV-3017. The method has a</w:t>
      </w:r>
      <w:r>
        <w:t xml:space="preserve"> </w:t>
      </w:r>
      <w:r>
        <w:t xml:space="preserve">validated intermediate precision of 0.30 log₁₀, a</w:t>
      </w:r>
      <w:r>
        <w:t xml:space="preserve"> </w:t>
      </w:r>
      <w:r>
        <w:t xml:space="preserve">quantitation limit of 1.5 log₁₀ TCID50/mL and an accuracy of</w:t>
      </w:r>
      <w:r>
        <w:t xml:space="preserve"> </w:t>
      </w:r>
      <w:r>
        <w:t xml:space="preserve">96 %. Method validation attributes</w:t>
      </w:r>
      <w:r>
        <w:t xml:space="preserve"> </w:t>
      </w:r>
      <w:r>
        <w:t xml:space="preserve">28.0% of the total observed variance in a reported titre to the</w:t>
      </w:r>
      <w:r>
        <w:t xml:space="preserve"> </w:t>
      </w:r>
      <w:r>
        <w:t xml:space="preserve">assay. The log reduction factor is the difference between the titre of the spiked load and</w:t>
      </w:r>
      <w:r>
        <w:t xml:space="preserve"> </w:t>
      </w:r>
      <w:r>
        <w:t xml:space="preserve">the titre of the post-hold sample, so a reported log reduction factor carries the</w:t>
      </w:r>
      <w:r>
        <w:t xml:space="preserve"> </w:t>
      </w:r>
      <w:r>
        <w:t xml:space="preserve">uncertainty of two titrations and not of one.</w:t>
      </w:r>
    </w:p>
    <w:p>
      <w:pPr>
        <w:pStyle w:val="BodyText"/>
      </w:pPr>
      <w:r>
        <w:t xml:space="preserve">Pool aggregate was determined by SEC-HPLC under AMV-3011 and reported as a percentage of</w:t>
      </w:r>
      <w:r>
        <w:t xml:space="preserve"> </w:t>
      </w:r>
      <w:r>
        <w:t xml:space="preserve">high molecular weight species. Acidic charge variants were determined by icIEF under</w:t>
      </w:r>
      <w:r>
        <w:t xml:space="preserve"> </w:t>
      </w:r>
      <w:r>
        <w:t xml:space="preserve">AMV-3013 and reported as a percentage of the total charge variant profile. The techniques,</w:t>
      </w:r>
      <w:r>
        <w:t xml:space="preserve"> </w:t>
      </w:r>
      <w:r>
        <w:t xml:space="preserve">analytes and reportable values are summarized in Appendix D. Full method performance is</w:t>
      </w:r>
      <w:r>
        <w:t xml:space="preserve"> </w:t>
      </w:r>
      <w:r>
        <w:t xml:space="preserve">held in the validation reports referenced in</w:t>
      </w:r>
      <w:r>
        <w:t xml:space="preserve"> </w:t>
      </w:r>
      <w:hyperlink w:anchor="tbl-sop">
        <w:r>
          <w:rPr>
            <w:rStyle w:val="Hyperlink"/>
          </w:rPr>
          <w:t xml:space="preserve">Table 4</w:t>
        </w:r>
      </w:hyperlink>
      <w:r>
        <w:t xml:space="preserve">, and is not reproduced here.</w:t>
      </w:r>
    </w:p>
    <w:bookmarkEnd w:id="26"/>
    <w:bookmarkStart w:id="27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Every run was sampled twice for infectivity, once from the spiked load before acidification</w:t>
      </w:r>
      <w:r>
        <w:t xml:space="preserve"> </w:t>
      </w:r>
      <w:r>
        <w:t xml:space="preserve">and once from the hold vessel at the end of the hold. Product quality samples were drawn</w:t>
      </w:r>
      <w:r>
        <w:t xml:space="preserve"> </w:t>
      </w:r>
      <w:r>
        <w:t xml:space="preserve">from the neutralised pool of every run and assayed for aggregate and charge variants. The</w:t>
      </w:r>
      <w:r>
        <w:t xml:space="preserve"> </w:t>
      </w:r>
      <w:r>
        <w:t xml:space="preserve">centre-point runs were sampled in the same way as the factorial and axial runs, so that the</w:t>
      </w:r>
      <w:r>
        <w:t xml:space="preserve"> </w:t>
      </w:r>
      <w:r>
        <w:t xml:space="preserve">replicate estimate of variance covers sampling and assay variation as well as run-to-run</w:t>
      </w:r>
      <w:r>
        <w:t xml:space="preserve"> </w:t>
      </w:r>
      <w:r>
        <w:t xml:space="preserve">process variation.</w:t>
      </w:r>
    </w:p>
    <w:bookmarkEnd w:id="27"/>
    <w:bookmarkStart w:id="28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centre of each characterization range is zero and the two</w:t>
      </w:r>
      <w:r>
        <w:t xml:space="preserve"> </w:t>
      </w:r>
      <w:r>
        <w:t xml:space="preserve">edges are minus one and plus one. The screening design was analysed by ordinary least</w:t>
      </w:r>
      <w:r>
        <w:t xml:space="preserve"> </w:t>
      </w:r>
      <w:r>
        <w:t xml:space="preserve">squares (OLS) with all main effects and all two-factor interactions, and an effect is</w:t>
      </w:r>
      <w:r>
        <w:t xml:space="preserve"> </w:t>
      </w:r>
      <w:r>
        <w:t xml:space="preserve">reported as twice the coded coefficient, which is the change in the response across the</w:t>
      </w:r>
      <w:r>
        <w:t xml:space="preserve"> </w:t>
      </w:r>
      <w:r>
        <w:t xml:space="preserve">full range of that factor. The response-surface design was analysed with the full quadratic</w:t>
      </w:r>
      <w:r>
        <w:t xml:space="preserve"> </w:t>
      </w:r>
      <w:r>
        <w:t xml:space="preserve">model in the same factors. The significance level is 0.05 throughout.</w:t>
      </w:r>
    </w:p>
    <w:p>
      <w:pPr>
        <w:pStyle w:val="BodyText"/>
      </w:pPr>
      <w:r>
        <w:t xml:space="preserve">Model adequacy was judged on four grounds. The coefficient of determination and its</w:t>
      </w:r>
      <w:r>
        <w:t xml:space="preserve"> </w:t>
      </w:r>
      <w:r>
        <w:t xml:space="preserve">adjusted form measure how much of the observed variation the model explains. The predicted</w:t>
      </w:r>
      <w:r>
        <w:t xml:space="preserve"> </w:t>
      </w:r>
      <w:r>
        <w:t xml:space="preserve">form, computed from the PRESS statistic, measures how well the model predicts a run that</w:t>
      </w:r>
      <w:r>
        <w:t xml:space="preserve"> </w:t>
      </w:r>
      <w:r>
        <w:t xml:space="preserve">was left out of the fit, and it is the most demanding of the three measures. The overall F test</w:t>
      </w:r>
      <w:r>
        <w:t xml:space="preserve"> </w:t>
      </w:r>
      <w:r>
        <w:t xml:space="preserve">determines whether the model explains more than noise. Lack of fit is tested by comparing</w:t>
      </w:r>
      <w:r>
        <w:t xml:space="preserve"> </w:t>
      </w:r>
      <w:r>
        <w:t xml:space="preserve">the residual variation that the model cannot explain with the pure error estimated from the</w:t>
      </w:r>
      <w:r>
        <w:t xml:space="preserve"> </w:t>
      </w:r>
      <w:r>
        <w:t xml:space="preserve">replicate centre points, and a significant lack of fit would mean that the fitted form is</w:t>
      </w:r>
      <w:r>
        <w:t xml:space="preserve"> </w:t>
      </w:r>
      <w:r>
        <w:t xml:space="preserve">too simple for the data. A factor with no significant term in either analysis is treated as</w:t>
      </w:r>
      <w:r>
        <w:t xml:space="preserve"> </w:t>
      </w:r>
      <w:r>
        <w:t xml:space="preserve">having no demonstrated effect over the range studied.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every parameter of the train drawn inside</w:t>
      </w:r>
      <w:r>
        <w:t xml:space="preserve"> </w:t>
      </w:r>
      <w:r>
        <w:t xml:space="preserve">its normal operating range, and is reported as a one-sided Cpk against the acceptance</w:t>
      </w:r>
      <w:r>
        <w:t xml:space="preserve"> </w:t>
      </w:r>
      <w:r>
        <w:t xml:space="preserve">criterion of each attribute.</w:t>
      </w:r>
    </w:p>
    <w:bookmarkEnd w:id="28"/>
    <w:bookmarkEnd w:id="29"/>
    <w:bookmarkStart w:id="36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resolves the kinetic factors in two stages. The screening stage determines</w:t>
      </w:r>
      <w:r>
        <w:t xml:space="preserve"> </w:t>
      </w:r>
      <w:r>
        <w:t xml:space="preserve">which factors and interactions are active, and the response-surface stage adds the</w:t>
      </w:r>
      <w:r>
        <w:t xml:space="preserve"> </w:t>
      </w:r>
      <w:r>
        <w:t xml:space="preserve">curvature terms needed to describe the region and to predict inside it. The factors, their</w:t>
      </w:r>
      <w:r>
        <w:t xml:space="preserve"> </w:t>
      </w:r>
      <w:r>
        <w:t xml:space="preserve">set-points, their normal operating ranges and the ranges characterized are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and the coded letters used throughout the results are given in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</w:t>
      </w:r>
    </w:p>
    <w:bookmarkStart w:id="32" w:name="factors-ranges-and-the-knowledge-space"/>
    <w:p>
      <w:pPr>
        <w:pStyle w:val="Heading2"/>
      </w:pPr>
      <w:r>
        <w:t xml:space="preserve">4.1 Factors, ranges and the knowledge space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of the low-pH viral inactivation step, with set-points, normal operating</w:t>
            </w:r>
            <w:r>
              <w:t xml:space="preserve"> </w:t>
            </w:r>
            <w:r>
              <w:t xml:space="preserve">ranges, characterization ranges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711"/>
              <w:gridCol w:w="1156"/>
              <w:gridCol w:w="800"/>
              <w:gridCol w:w="1334"/>
              <w:gridCol w:w="800"/>
              <w:gridCol w:w="12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Coded factor legend used in the effect and coefficient tables.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the knowledge space of the step, and each</w:t>
      </w:r>
      <w:r>
        <w:t xml:space="preserve"> </w:t>
      </w:r>
      <w:r>
        <w:t xml:space="preserve">was justified before execution. The pH range is the widest of them relative to its normal</w:t>
      </w:r>
      <w:r>
        <w:t xml:space="preserve"> </w:t>
      </w:r>
      <w:r>
        <w:t xml:space="preserve">operating range, because pH is the parameter with the largest expected effect and the</w:t>
      </w:r>
      <w:r>
        <w:t xml:space="preserve"> </w:t>
      </w:r>
      <w:r>
        <w:t xml:space="preserve">narrowest control band, and because the upper part of the range is where the step is</w:t>
      </w:r>
      <w:r>
        <w:t xml:space="preserve"> </w:t>
      </w:r>
      <w:r>
        <w:t xml:space="preserve">expected to lose effectiveness. The hold time range starts at the shortest hold that would</w:t>
      </w:r>
      <w:r>
        <w:t xml:space="preserve"> </w:t>
      </w:r>
      <w:r>
        <w:t xml:space="preserve">be accepted and extends well past the control band, so that a curtailed hold and a</w:t>
      </w:r>
      <w:r>
        <w:t xml:space="preserve"> </w:t>
      </w:r>
      <w:r>
        <w:t xml:space="preserve">prolonged hold caused by a downstream delay are both covered. The temperature range spans</w:t>
      </w:r>
      <w:r>
        <w:t xml:space="preserve"> </w:t>
      </w:r>
      <w:r>
        <w:t xml:space="preserve">the full controlled room-temperature band. A-Mab concentration was studied across the whole</w:t>
      </w:r>
      <w:r>
        <w:t xml:space="preserve"> </w:t>
      </w:r>
      <w:r>
        <w:t xml:space="preserve">range over which the Protein A eluate is delivered (PCR-005), which is why its</w:t>
      </w:r>
      <w:r>
        <w:t xml:space="preserve"> </w:t>
      </w:r>
      <w:r>
        <w:t xml:space="preserve">characterization range and its normal operating range coincide.</w:t>
      </w:r>
    </w:p>
    <w:bookmarkEnd w:id="32"/>
    <w:bookmarkStart w:id="33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three multivariate factors with</w:t>
      </w:r>
      <w:r>
        <w:t xml:space="preserve"> </w:t>
      </w:r>
      <w:r>
        <w:t xml:space="preserve">3 centre points, giving 11 runs in total. A full factorial</w:t>
      </w:r>
      <w:r>
        <w:t xml:space="preserve"> </w:t>
      </w:r>
      <w:r>
        <w:t xml:space="preserve">was chosen over a fraction because the factors are few enough that every two-factor</w:t>
      </w:r>
      <w:r>
        <w:t xml:space="preserve"> </w:t>
      </w:r>
      <w:r>
        <w:t xml:space="preserve">interaction (AB, AC and BC) can be estimated independently of the main effects. The design</w:t>
      </w:r>
      <w:r>
        <w:t xml:space="preserve"> </w:t>
      </w:r>
      <w:r>
        <w:t xml:space="preserve">resolves every main effect and every two-factor interaction, and the centre points allow</w:t>
      </w:r>
      <w:r>
        <w:t xml:space="preserve"> </w:t>
      </w:r>
      <w:r>
        <w:t xml:space="preserve">curvature to be detected as an aggregate departure from the plane. The runs were executed</w:t>
      </w:r>
      <w:r>
        <w:t xml:space="preserve"> </w:t>
      </w:r>
      <w:r>
        <w:t xml:space="preserve">in randomised order, and the full matrix and the measured responses are given in</w:t>
      </w:r>
      <w:r>
        <w:t xml:space="preserve"> </w:t>
      </w:r>
      <w:r>
        <w:t xml:space="preserve">Appendix A.</w:t>
      </w:r>
    </w:p>
    <w:bookmarkEnd w:id="33"/>
    <w:bookmarkStart w:id="34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</w:t>
      </w:r>
      <w:r>
        <w:t xml:space="preserve"> </w:t>
      </w:r>
      <w:r>
        <w:t xml:space="preserve">factors, with 6 axial runs added to the 8 factorial</w:t>
      </w:r>
      <w:r>
        <w:t xml:space="preserve"> </w:t>
      </w:r>
      <w:r>
        <w:t xml:space="preserve">corners and 4 centre points, giving 18 runs. The axial points</w:t>
      </w:r>
      <w:r>
        <w:t xml:space="preserve"> </w:t>
      </w:r>
      <w:r>
        <w:t xml:space="preserve">sit on the faces of the cube (the face-centred convention), so the design stays inside the</w:t>
      </w:r>
      <w:r>
        <w:t xml:space="preserve"> </w:t>
      </w:r>
      <w:r>
        <w:t xml:space="preserve">characterized ranges and does not require any factor to be set beyond an edge that has been</w:t>
      </w:r>
      <w:r>
        <w:t xml:space="preserve"> </w:t>
      </w:r>
      <w:r>
        <w:t xml:space="preserve">justified. Every screening factor was carried into the response-surface stage, because each</w:t>
      </w:r>
      <w:r>
        <w:t xml:space="preserve"> </w:t>
      </w:r>
      <w:r>
        <w:t xml:space="preserve">was active on at least one response. The design adds the quadratic terms to the screening</w:t>
      </w:r>
      <w:r>
        <w:t xml:space="preserve"> </w:t>
      </w:r>
      <w:r>
        <w:t xml:space="preserve">model and supports prediction inside the region. The full matrix and the measured responses are given</w:t>
      </w:r>
      <w:r>
        <w:t xml:space="preserve"> </w:t>
      </w:r>
      <w:r>
        <w:t xml:space="preserve">in Appendix B.</w:t>
      </w:r>
    </w:p>
    <w:bookmarkEnd w:id="34"/>
    <w:bookmarkStart w:id="35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A-Mab concentration was assessed one factor at a time across its full range with the</w:t>
      </w:r>
      <w:r>
        <w:t xml:space="preserve"> </w:t>
      </w:r>
      <w:r>
        <w:t xml:space="preserve">kinetic factors at their set-points. It was excluded from the multivariate designs for the</w:t>
      </w:r>
      <w:r>
        <w:t xml:space="preserve"> </w:t>
      </w:r>
      <w:r>
        <w:t xml:space="preserve">reason given in the risk section above. Its expected mechanism is a matrix effect on the</w:t>
      </w:r>
      <w:r>
        <w:t xml:space="preserve"> </w:t>
      </w:r>
      <w:r>
        <w:t xml:space="preserve">acid titration, and it does not enter the inactivation kinetics as a term of its own.</w:t>
      </w:r>
      <w:r>
        <w:t xml:space="preserve"> </w:t>
      </w:r>
      <w:r>
        <w:t xml:space="preserve">Adding it to the multivariate design would have doubled the run count for a factor with no</w:t>
      </w:r>
      <w:r>
        <w:t xml:space="preserve"> </w:t>
      </w:r>
      <w:r>
        <w:t xml:space="preserve">expected interaction. The outcome of the assessment is reported with the parameter</w:t>
      </w:r>
      <w:r>
        <w:t xml:space="preserve"> </w:t>
      </w:r>
      <w:r>
        <w:t xml:space="preserve">classification below.</w:t>
      </w:r>
    </w:p>
    <w:bookmarkEnd w:id="35"/>
    <w:bookmarkEnd w:id="36"/>
    <w:bookmarkStart w:id="58" w:name="results"/>
    <w:p>
      <w:pPr>
        <w:pStyle w:val="Heading1"/>
      </w:pPr>
      <w:r>
        <w:t xml:space="preserve">5. Results</w:t>
      </w:r>
    </w:p>
    <w:bookmarkStart w:id="38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step is highly reproducible in the two product quality responses and considerably less</w:t>
      </w:r>
      <w:r>
        <w:t xml:space="preserve"> </w:t>
      </w:r>
      <w:r>
        <w:t xml:space="preserve">so in the log reduction factor. The 4 replicate centre points of the</w:t>
      </w:r>
      <w:r>
        <w:t xml:space="preserve"> </w:t>
      </w:r>
      <w:r>
        <w:t xml:space="preserve">response-surface design give the reproducibility shown in</w:t>
      </w:r>
      <w:r>
        <w:t xml:space="preserve"> </w:t>
      </w:r>
      <w:hyperlink w:anchor="tbl-centre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ent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Centre-point reproducibility of the response-surface design, by response.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The log reduction factor is by far the least precise response, at</w:t>
      </w:r>
      <w:r>
        <w:t xml:space="preserve"> </w:t>
      </w:r>
      <w:r>
        <w:t xml:space="preserve">5.7 % of its mean, against</w:t>
      </w:r>
      <w:r>
        <w:t xml:space="preserve"> </w:t>
      </w:r>
      <w:r>
        <w:t xml:space="preserve">0.84 % for the pool aggregate. In absolute terms the</w:t>
      </w:r>
      <w:r>
        <w:t xml:space="preserve"> </w:t>
      </w:r>
      <w:r>
        <w:t xml:space="preserve">replicate standard deviation of the log reduction factor is</w:t>
      </w:r>
      <w:r>
        <w:t xml:space="preserve"> </w:t>
      </w:r>
      <w:r>
        <w:t xml:space="preserve">0.38 log₁₀, and the validated intermediate precision</w:t>
      </w:r>
      <w:r>
        <w:t xml:space="preserve"> </w:t>
      </w:r>
      <w:r>
        <w:t xml:space="preserve">of the infectivity assay is 0.30 log₁₀ for a single</w:t>
      </w:r>
      <w:r>
        <w:t xml:space="preserve"> </w:t>
      </w:r>
      <w:r>
        <w:t xml:space="preserve">titration. A reported log reduction factor is the difference of two titrations, so the</w:t>
      </w:r>
      <w:r>
        <w:t xml:space="preserve"> </w:t>
      </w:r>
      <w:r>
        <w:t xml:space="preserve">scatter seen between replicate holds is consistent with analytical variation alone. The screening centre</w:t>
      </w:r>
      <w:r>
        <w:t xml:space="preserve"> </w:t>
      </w:r>
      <w:r>
        <w:t xml:space="preserve">points behave the same way, at 3.5 % across</w:t>
      </w:r>
      <w:r>
        <w:t xml:space="preserve"> </w:t>
      </w:r>
      <w:r>
        <w:t xml:space="preserve">3 runs.</w:t>
      </w:r>
    </w:p>
    <w:p>
      <w:pPr>
        <w:pStyle w:val="BodyText"/>
      </w:pPr>
      <w:r>
        <w:t xml:space="preserve">The acidic charge variant response shows no replicate variation at all. Its centre-point</w:t>
      </w:r>
      <w:r>
        <w:t xml:space="preserve"> </w:t>
      </w:r>
      <w:r>
        <w:t xml:space="preserve">standard deviation is zero to the resolution of the reported result, and the same value was</w:t>
      </w:r>
      <w:r>
        <w:t xml:space="preserve"> </w:t>
      </w:r>
      <w:r>
        <w:t xml:space="preserve">returned by every centre-point run in both designs. This has a consequence for the</w:t>
      </w:r>
      <w:r>
        <w:t xml:space="preserve"> </w:t>
      </w:r>
      <w:r>
        <w:t xml:space="preserve">statistics that is dealt with in the response-surface subsection below, and it should be</w:t>
      </w:r>
      <w:r>
        <w:t xml:space="preserve"> </w:t>
      </w:r>
      <w:r>
        <w:t xml:space="preserve">read as a property of how the attribute responds to this step, not as evidence of unusual</w:t>
      </w:r>
      <w:r>
        <w:t xml:space="preserve"> </w:t>
      </w:r>
      <w:r>
        <w:t xml:space="preserve">analytical precision.</w:t>
      </w:r>
    </w:p>
    <w:bookmarkEnd w:id="38"/>
    <w:bookmarkStart w:id="42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identified pH, hold time and temperature as active, and found no</w:t>
      </w:r>
      <w:r>
        <w:t xml:space="preserve"> </w:t>
      </w:r>
      <w:r>
        <w:t xml:space="preserve">significant interaction between any pair of them. Model adequacy for every response is</w:t>
      </w:r>
      <w:r>
        <w:t xml:space="preserve"> </w:t>
      </w:r>
      <w:r>
        <w:t xml:space="preserve">given in</w:t>
      </w:r>
      <w:r>
        <w:t xml:space="preserve"> </w:t>
      </w:r>
      <w:hyperlink w:anchor="tbl-fit-scr">
        <w:r>
          <w:rPr>
            <w:rStyle w:val="Hyperlink"/>
          </w:rPr>
          <w:t xml:space="preserve">Table 8</w:t>
        </w:r>
      </w:hyperlink>
      <w:r>
        <w:t xml:space="preserve">, and the effect estimates for the two informative responses in</w:t>
      </w:r>
      <w:r>
        <w:t xml:space="preserve"> </w:t>
      </w:r>
      <w:hyperlink w:anchor="tbl-eff-lrf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tbl-eff-agg">
        <w:r>
          <w:rPr>
            <w:rStyle w:val="Hyperlink"/>
          </w:rPr>
          <w:t xml:space="preserve">Table 10</w:t>
        </w:r>
      </w:hyperlink>
      <w:r>
        <w:t xml:space="preserve">. The full effect tables for all three responses are in</w:t>
      </w:r>
      <w:r>
        <w:t xml:space="preserve"> </w:t>
      </w:r>
      <w:r>
        <w:t xml:space="preserve">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fit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Screening model adequacy by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90"/>
              <w:gridCol w:w="450"/>
              <w:gridCol w:w="630"/>
              <w:gridCol w:w="990"/>
              <w:gridCol w:w="1080"/>
              <w:gridCol w:w="990"/>
              <w:gridCol w:w="99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3.93e+26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1.73e-53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1.16e-14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Both informative models explain the screening data well. The pool aggregate model reaches</w:t>
      </w:r>
      <w:r>
        <w:t xml:space="preserve"> </w:t>
      </w:r>
      <w:r>
        <w:t xml:space="preserve">an adjusted coefficient of determination of</w:t>
      </w:r>
      <w:r>
        <w:t xml:space="preserve"> </w:t>
      </w:r>
      <w:r>
        <w:t xml:space="preserve">0.980 and the log reduction model</w:t>
      </w:r>
      <w:r>
        <w:t xml:space="preserve"> </w:t>
      </w:r>
      <w:r>
        <w:t xml:space="preserve">0.956, and both are significant overall</w:t>
      </w:r>
      <w:r>
        <w:t xml:space="preserve"> </w:t>
      </w:r>
      <w:r>
        <w:t xml:space="preserve">(p = 0.0018 for the log reduction factor). The acidic</w:t>
      </w:r>
      <w:r>
        <w:t xml:space="preserve"> </w:t>
      </w:r>
      <w:r>
        <w:t xml:space="preserve">charge variant row of</w:t>
      </w:r>
      <w:r>
        <w:t xml:space="preserve"> </w:t>
      </w:r>
      <w:hyperlink w:anchor="tbl-fit-scr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should not be read as a model result. The response is an</w:t>
      </w:r>
      <w:r>
        <w:t xml:space="preserve"> </w:t>
      </w:r>
      <w:r>
        <w:t xml:space="preserve">exact linear function of hold time in these data, so the residual variation is at the level</w:t>
      </w:r>
      <w:r>
        <w:t xml:space="preserve"> </w:t>
      </w:r>
      <w:r>
        <w:t xml:space="preserve">of floating-point arithmetic and the F statistic and p-value that follow from it carry no</w:t>
      </w:r>
      <w:r>
        <w:t xml:space="preserve"> </w:t>
      </w:r>
      <w:r>
        <w:t xml:space="preserve">information.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eff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screening effects on the XMuLV log reduction factor. Effect is the change in the</w:t>
            </w:r>
            <w:r>
              <w:t xml:space="preserve"> </w:t>
            </w:r>
            <w:r>
              <w:t xml:space="preserve">response across the full characterization range of the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pH is the dominant factor on the log reduction factor. Moving pH across its full</w:t>
      </w:r>
      <w:r>
        <w:t xml:space="preserve"> </w:t>
      </w:r>
      <w:r>
        <w:t xml:space="preserve">characterization range changes the log reduction factor by</w:t>
      </w:r>
      <w:r>
        <w:t xml:space="preserve"> </w:t>
      </w:r>
      <w:r>
        <w:t xml:space="preserve">-2.08 log₁₀</w:t>
      </w:r>
      <w:r>
        <w:t xml:space="preserve"> </w:t>
      </w:r>
      <w:r>
        <w:t xml:space="preserve">(p = 0.0004), and the sign is negative,</w:t>
      </w:r>
      <w:r>
        <w:t xml:space="preserve"> </w:t>
      </w:r>
      <w:r>
        <w:t xml:space="preserve">so clearance falls as pH rises. Hold time is next at</w:t>
      </w:r>
      <w:r>
        <w:t xml:space="preserve"> </w:t>
      </w:r>
      <w:r>
        <w:t xml:space="preserve">+1.72 log₁₀ across its range, and</w:t>
      </w:r>
      <w:r>
        <w:t xml:space="preserve"> </w:t>
      </w:r>
      <w:r>
        <w:t xml:space="preserve">temperature is third at +0.64 log₁₀</w:t>
      </w:r>
      <w:r>
        <w:t xml:space="preserve"> </w:t>
      </w:r>
      <w:r>
        <w:t xml:space="preserve">(p = 0.027). All three effects have</w:t>
      </w:r>
      <w:r>
        <w:t xml:space="preserve"> </w:t>
      </w:r>
      <w:r>
        <w:t xml:space="preserve">the direction prior knowledge predicted. The largest interaction, between hold time and</w:t>
      </w:r>
      <w:r>
        <w:t xml:space="preserve"> </w:t>
      </w:r>
      <w:r>
        <w:t xml:space="preserve">temperature, is not significant</w:t>
      </w:r>
      <w:r>
        <w:t xml:space="preserve"> </w:t>
      </w:r>
      <w:r>
        <w:t xml:space="preserve">(p = 0.27), which means the three</w:t>
      </w:r>
      <w:r>
        <w:t xml:space="preserve"> </w:t>
      </w:r>
      <w:r>
        <w:t xml:space="preserve">factors act on the log reduction factor additively over the ranges screened.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ef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Largest screening effects on the pool aggregate level.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The pool aggregate is driven by hold time and temperature, and not by pH. Hold time changes</w:t>
      </w:r>
      <w:r>
        <w:t xml:space="preserve"> </w:t>
      </w:r>
      <w:r>
        <w:t xml:space="preserve">the pool aggregate by</w:t>
      </w:r>
      <w:r>
        <w:t xml:space="preserve"> </w:t>
      </w:r>
      <w:r>
        <w:t xml:space="preserve">+0.47 percentage points across</w:t>
      </w:r>
      <w:r>
        <w:t xml:space="preserve"> </w:t>
      </w:r>
      <w:r>
        <w:t xml:space="preserve">its range and temperature by</w:t>
      </w:r>
      <w:r>
        <w:t xml:space="preserve"> </w:t>
      </w:r>
      <w:r>
        <w:t xml:space="preserve">+0.22 points</w:t>
      </w:r>
      <w:r>
        <w:t xml:space="preserve"> </w:t>
      </w:r>
      <w:r>
        <w:t xml:space="preserve">(p = 3.7e-05 and</w:t>
      </w:r>
      <w:r>
        <w:t xml:space="preserve"> </w:t>
      </w:r>
      <w:r>
        <w:t xml:space="preserve">p = 0.0007 respectively). The</w:t>
      </w:r>
      <w:r>
        <w:t xml:space="preserve"> </w:t>
      </w:r>
      <w:r>
        <w:t xml:space="preserve">pH effect is</w:t>
      </w:r>
      <w:r>
        <w:t xml:space="preserve"> </w:t>
      </w:r>
      <w:r>
        <w:t xml:space="preserve">+0.022 points and is not</w:t>
      </w:r>
      <w:r>
        <w:t xml:space="preserve"> </w:t>
      </w:r>
      <w:r>
        <w:t xml:space="preserve">significant (p = 0.40). That</w:t>
      </w:r>
      <w:r>
        <w:t xml:space="preserve"> </w:t>
      </w:r>
      <w:r>
        <w:t xml:space="preserve">null result matters to the design of the step, because it means the pH needed for</w:t>
      </w:r>
      <w:r>
        <w:t xml:space="preserve"> </w:t>
      </w:r>
      <w:r>
        <w:t xml:space="preserve">inactivation can be chosen on viral clearance grounds alone, without trading it against</w:t>
      </w:r>
      <w:r>
        <w:t xml:space="preserve"> </w:t>
      </w:r>
      <w:r>
        <w:t xml:space="preserve">aggregate, and pH</w:t>
      </w:r>
      <w:r>
        <w:t xml:space="preserve"> </w:t>
      </w:r>
      <w:r>
        <w:t xml:space="preserve">remains in the knowledge space as a factor with no demonstrated effect on aggregate across</w:t>
      </w:r>
      <w:r>
        <w:t xml:space="preserve"> </w:t>
      </w:r>
      <w:r>
        <w:t xml:space="preserve">the range studied.</w:t>
      </w:r>
    </w:p>
    <w:p>
      <w:pPr>
        <w:pStyle w:val="BodyText"/>
      </w:pPr>
      <w:r>
        <w:t xml:space="preserve">Screening establishes which factors matter and gives a first estimate of how much. The</w:t>
      </w:r>
      <w:r>
        <w:t xml:space="preserve"> </w:t>
      </w:r>
      <w:r>
        <w:t xml:space="preserve">magnitudes above are estimated from a design with two levels per factor, so they describe a</w:t>
      </w:r>
      <w:r>
        <w:t xml:space="preserve"> </w:t>
      </w:r>
      <w:r>
        <w:t xml:space="preserve">plane through the region and cannot represent curvature. They are refined by the</w:t>
      </w:r>
      <w:r>
        <w:t xml:space="preserve"> </w:t>
      </w:r>
      <w:r>
        <w:t xml:space="preserve">response-surface analysis that follows, which is the model used for prediction.</w:t>
      </w:r>
    </w:p>
    <w:bookmarkEnd w:id="42"/>
    <w:bookmarkStart w:id="5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study confirms the screening result, adds curvature in pH on the log</w:t>
      </w:r>
      <w:r>
        <w:t xml:space="preserve"> </w:t>
      </w:r>
      <w:r>
        <w:t xml:space="preserve">reduction factor, and gives two adequate predictive models. Model adequacy is summarized in</w:t>
      </w:r>
      <w:r>
        <w:t xml:space="preserve"> </w:t>
      </w:r>
      <w:hyperlink w:anchor="tbl-fit-rsm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model adequacy by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444"/>
              <w:gridCol w:w="622"/>
              <w:gridCol w:w="978"/>
              <w:gridCol w:w="1067"/>
              <w:gridCol w:w="1067"/>
              <w:gridCol w:w="978"/>
              <w:gridCol w:w="8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6.57e-09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2.43e-106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8.61e-15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pool aggregate model is strong on every measure, with a coefficient of determination of</w:t>
      </w:r>
      <w:r>
        <w:t xml:space="preserve"> </w:t>
      </w:r>
      <w:r>
        <w:t xml:space="preserve">0.997, an adjusted value of</w:t>
      </w:r>
      <w:r>
        <w:t xml:space="preserve"> </w:t>
      </w:r>
      <w:r>
        <w:t xml:space="preserve">0.993 and a predicted value of</w:t>
      </w:r>
      <w:r>
        <w:t xml:space="preserve"> </w:t>
      </w:r>
      <w:r>
        <w:t xml:space="preserve">0.961. The log reduction model is weaker</w:t>
      </w:r>
      <w:r>
        <w:t xml:space="preserve"> </w:t>
      </w:r>
      <w:r>
        <w:t xml:space="preserve">and needs to be described carefully. It is significant overall</w:t>
      </w:r>
      <w:r>
        <w:t xml:space="preserve"> </w:t>
      </w:r>
      <w:r>
        <w:t xml:space="preserve">(p = 0.0043) and its coefficient of determination is</w:t>
      </w:r>
      <w:r>
        <w:t xml:space="preserve"> </w:t>
      </w:r>
      <w:r>
        <w:t xml:space="preserve">0.896, but its predicted value falls to</w:t>
      </w:r>
      <w:r>
        <w:t xml:space="preserve"> </w:t>
      </w:r>
      <w:r>
        <w:t xml:space="preserve">0.579. The gap between those two figures is the</w:t>
      </w:r>
      <w:r>
        <w:t xml:space="preserve"> </w:t>
      </w:r>
      <w:r>
        <w:t xml:space="preserve">signature of a response whose replicate scatter is large relative to its systematic</w:t>
      </w:r>
      <w:r>
        <w:t xml:space="preserve"> </w:t>
      </w:r>
      <w:r>
        <w:t xml:space="preserve">variation, which is what the centre-point analysis above shows for this assay. The model is</w:t>
      </w:r>
      <w:r>
        <w:t xml:space="preserve"> </w:t>
      </w:r>
      <w:r>
        <w:t xml:space="preserve">used to predict mean log reduction inside the characterized region. It is not used as an</w:t>
      </w:r>
      <w:r>
        <w:t xml:space="preserve"> </w:t>
      </w:r>
      <w:r>
        <w:t xml:space="preserve">assurance statement about a single batch, and its residual standard error of</w:t>
      </w:r>
      <w:r>
        <w:t xml:space="preserve"> </w:t>
      </w:r>
      <w:r>
        <w:t xml:space="preserve">0.37 log₁₀ is the right scale on which to judge</w:t>
      </w:r>
      <w:r>
        <w:t xml:space="preserve"> </w:t>
      </w:r>
      <w:r>
        <w:t xml:space="preserve">any predicted margin.</w:t>
      </w:r>
    </w:p>
    <w:p>
      <w:pPr>
        <w:pStyle w:val="BodyText"/>
      </w:pPr>
      <w:r>
        <w:t xml:space="preserve">The acidic charge variant model is reported for completeness and carries no statistical</w:t>
      </w:r>
      <w:r>
        <w:t xml:space="preserve"> </w:t>
      </w:r>
      <w:r>
        <w:t xml:space="preserve">weight. Its coefficient of determination is exactly one because the response is a</w:t>
      </w:r>
      <w:r>
        <w:t xml:space="preserve"> </w:t>
      </w:r>
      <w:r>
        <w:t xml:space="preserve">deterministic linear function of hold time in these data. Its pure error is zero, so lack</w:t>
      </w:r>
      <w:r>
        <w:t xml:space="preserve"> </w:t>
      </w:r>
      <w:r>
        <w:t xml:space="preserve">of fit cannot be tested, and its F statistic is a numerical artefact. The physical content</w:t>
      </w:r>
      <w:r>
        <w:t xml:space="preserve"> </w:t>
      </w:r>
      <w:r>
        <w:t xml:space="preserve">of that row is simply that the acidic charge variant level rises with hold time and with</w:t>
      </w:r>
      <w:r>
        <w:t xml:space="preserve"> </w:t>
      </w:r>
      <w:r>
        <w:t xml:space="preserve">nothing else in this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coef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Full quadratic coefficients for the XMuLV log reduction factor, on coded factors.</w:t>
            </w: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3.99e-11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The coefficients in</w:t>
      </w:r>
      <w:r>
        <w:t xml:space="preserve"> </w:t>
      </w:r>
      <w:hyperlink w:anchor="tbl-coef-lrf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reproduce the screening picture and add one term. The</w:t>
      </w:r>
      <w:r>
        <w:t xml:space="preserve"> </w:t>
      </w:r>
      <w:r>
        <w:t xml:space="preserve">main effects are all significant, with pH at</w:t>
      </w:r>
      <w:r>
        <w:t xml:space="preserve"> </w:t>
      </w:r>
      <w:r>
        <w:t xml:space="preserve">-0.61 log₁₀ per coded unit, hold</w:t>
      </w:r>
      <w:r>
        <w:t xml:space="preserve"> </w:t>
      </w:r>
      <w:r>
        <w:t xml:space="preserve">time at +0.60 and temperature at</w:t>
      </w:r>
      <w:r>
        <w:t xml:space="preserve"> </w:t>
      </w:r>
      <w:r>
        <w:t xml:space="preserve">+0.29. No two-factor interaction is</w:t>
      </w:r>
      <w:r>
        <w:t xml:space="preserve"> </w:t>
      </w:r>
      <w:r>
        <w:t xml:space="preserve">significant, which confirms the additive behaviour seen in screening. The quadratic term in</w:t>
      </w:r>
      <w:r>
        <w:t xml:space="preserve"> </w:t>
      </w:r>
      <w:r>
        <w:t xml:space="preserve">pH is -0.51 at</w:t>
      </w:r>
      <w:r>
        <w:t xml:space="preserve"> </w:t>
      </w:r>
      <w:r>
        <w:t xml:space="preserve">p = 0.050, which is marginal. Taken</w:t>
      </w:r>
      <w:r>
        <w:t xml:space="preserve"> </w:t>
      </w:r>
      <w:r>
        <w:t xml:space="preserve">at face value it means the gain in clearance flattens at the low-pH end of the range, so</w:t>
      </w:r>
      <w:r>
        <w:t xml:space="preserve"> </w:t>
      </w:r>
      <w:r>
        <w:t xml:space="preserve">that lowering the pH below the set-point buys progressively less inactivation. That is</w:t>
      </w:r>
      <w:r>
        <w:t xml:space="preserve"> </w:t>
      </w:r>
      <w:r>
        <w:t xml:space="preserve">consistent with a denaturation process approaching completion, and it is treated here as a</w:t>
      </w:r>
      <w:r>
        <w:t xml:space="preserve"> </w:t>
      </w:r>
      <w:r>
        <w:t xml:space="preserve">suggestion supported by one borderline term. It is not presented as an established feature</w:t>
      </w:r>
      <w:r>
        <w:t xml:space="preserve"> </w:t>
      </w:r>
      <w:r>
        <w:t xml:space="preserve">of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nova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with the lack-of-fit partition for the XMuLV log reduction factor.</w:t>
            </w: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Lack of fit is not significant for the log reduction factor</w:t>
      </w:r>
      <w:r>
        <w:t xml:space="preserve"> </w:t>
      </w:r>
      <w:r>
        <w:t xml:space="preserve">(F = 0.88,</w:t>
      </w:r>
      <w:r>
        <w:t xml:space="preserve"> </w:t>
      </w:r>
      <w:r>
        <w:t xml:space="preserve">p = 0.58), so the quadratic form is adequate for</w:t>
      </w:r>
      <w:r>
        <w:t xml:space="preserve"> </w:t>
      </w:r>
      <w:r>
        <w:t xml:space="preserve">the data and the unexplained variation is consistent with pure error.</w:t>
      </w:r>
      <w:r>
        <w:t xml:space="preserve"> </w:t>
      </w:r>
      <w:hyperlink w:anchor="tbl-anova-lrf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also</w:t>
      </w:r>
      <w:r>
        <w:t xml:space="preserve"> </w:t>
      </w:r>
      <w:r>
        <w:t xml:space="preserve">shows why the model is hard to sharpen. The lack-of-fit mean square is</w:t>
      </w:r>
      <w:r>
        <w:t xml:space="preserve"> </w:t>
      </w:r>
      <w:r>
        <w:t xml:space="preserve">0.128 and the</w:t>
      </w:r>
      <w:r>
        <w:t xml:space="preserve"> </w:t>
      </w:r>
      <w:r>
        <w:t xml:space="preserve">pure error mean square is</w:t>
      </w:r>
      <w:r>
        <w:t xml:space="preserve"> </w:t>
      </w:r>
      <w:r>
        <w:t xml:space="preserve">0.145, so the</w:t>
      </w:r>
      <w:r>
        <w:t xml:space="preserve"> </w:t>
      </w:r>
      <w:r>
        <w:t xml:space="preserve">variation the model leaves unexplained is no larger than the scatter between replicate</w:t>
      </w:r>
      <w:r>
        <w:t xml:space="preserve"> </w:t>
      </w:r>
      <w:r>
        <w:t xml:space="preserve">holds. Adding terms would not improve prediction. The corresponding coefficient</w:t>
      </w:r>
      <w:r>
        <w:t xml:space="preserve"> </w:t>
      </w:r>
      <w:r>
        <w:t xml:space="preserve">and variance tables for the pool aggregate are given in</w:t>
      </w:r>
      <w:r>
        <w:t xml:space="preserve"> </w:t>
      </w:r>
      <w:hyperlink w:anchor="tbl-coef-agg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-agg">
        <w:r>
          <w:rPr>
            <w:rStyle w:val="Hyperlink"/>
          </w:rPr>
          <w:t xml:space="preserve">Table 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Full quadratic coefficients for the pool aggregate level, on coded factors.</w:t>
            </w: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7.76e-11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with the lack-of-fit partition for the pool aggregate level.</w:t>
            </w: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6.57e-09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The pool aggregate surface is close to a plane in hold time and temperature. Hold time</w:t>
      </w:r>
      <w:r>
        <w:t xml:space="preserve"> </w:t>
      </w:r>
      <w:r>
        <w:t xml:space="preserve">contributes +0.236 percentage</w:t>
      </w:r>
      <w:r>
        <w:t xml:space="preserve"> </w:t>
      </w:r>
      <w:r>
        <w:t xml:space="preserve">points per coded unit and temperature</w:t>
      </w:r>
      <w:r>
        <w:t xml:space="preserve"> </w:t>
      </w:r>
      <w:r>
        <w:t xml:space="preserve">+0.107, both far outside the</w:t>
      </w:r>
      <w:r>
        <w:t xml:space="preserve"> </w:t>
      </w:r>
      <w:r>
        <w:t xml:space="preserve">noise. The interaction between pH and temperature is the only other term that comes close</w:t>
      </w:r>
      <w:r>
        <w:t xml:space="preserve"> </w:t>
      </w:r>
      <w:r>
        <w:t xml:space="preserve">to significance (p = 0.058),</w:t>
      </w:r>
      <w:r>
        <w:t xml:space="preserve"> </w:t>
      </w:r>
      <w:r>
        <w:t xml:space="preserve">and its coefficient is +0.013</w:t>
      </w:r>
      <w:r>
        <w:t xml:space="preserve"> </w:t>
      </w:r>
      <w:r>
        <w:t xml:space="preserve">points, which is too small to matter over any part of the region. Lack of fit is not</w:t>
      </w:r>
      <w:r>
        <w:t xml:space="preserve"> </w:t>
      </w:r>
      <w:r>
        <w:t xml:space="preserve">significant (p = 0.53).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contours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inactivation pH and hold time for the three responses, with temperature held constant.</w:t>
            </w:r>
          </w:p>
          <w:bookmarkEnd w:id="51"/>
        </w:tc>
      </w:tr>
    </w:tbl>
    <w:p>
      <w:pPr>
        <w:pStyle w:val="BodyText"/>
      </w:pPr>
      <w:r>
        <w:t xml:space="preserve">The surfaces in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 the shape of the region. The log reduction contours run</w:t>
      </w:r>
      <w:r>
        <w:t xml:space="preserve"> </w:t>
      </w:r>
      <w:r>
        <w:t xml:space="preserve">diagonally, because a rise in pH can be offset by a longer hold, and the corner at the</w:t>
      </w:r>
      <w:r>
        <w:t xml:space="preserve"> </w:t>
      </w:r>
      <w:r>
        <w:t xml:space="preserve">highest pH and the shortest hold is the only part of this plane where clearance approaches</w:t>
      </w:r>
      <w:r>
        <w:t xml:space="preserve"> </w:t>
      </w:r>
      <w:r>
        <w:t xml:space="preserve">its limit.</w:t>
      </w:r>
      <w:r>
        <w:t xml:space="preserve"> </w:t>
      </w:r>
      <w:r>
        <w:t xml:space="preserve">The aggregate contours run horizontally, because they depend on hold time and not on pH.</w:t>
      </w:r>
      <w:r>
        <w:t xml:space="preserve"> </w:t>
      </w:r>
      <w:r>
        <w:t xml:space="preserve">The two surfaces therefore constrain the region in different directions, and a long hold</w:t>
      </w:r>
      <w:r>
        <w:t xml:space="preserve"> </w:t>
      </w:r>
      <w:r>
        <w:t xml:space="preserve">that helps clearance costs aggregate.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diag-lrf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lrf-output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XMuLV log reduction factor: standardized residuals against predicted values, normal quantile plot, and actual against predicted values.</w:t>
            </w:r>
          </w:p>
          <w:bookmarkEnd w:id="55"/>
        </w:tc>
      </w:tr>
    </w:tbl>
    <w:p>
      <w:pPr>
        <w:pStyle w:val="BodyText"/>
      </w:pPr>
      <w:r>
        <w:t xml:space="preserve">The diagnostics for the log reduction model are shown in</w:t>
      </w:r>
      <w:r>
        <w:t xml:space="preserve"> </w:t>
      </w:r>
      <w:hyperlink w:anchor="fig-diag-lrf">
        <w:r>
          <w:rPr>
            <w:rStyle w:val="Hyperlink"/>
          </w:rPr>
          <w:t xml:space="preserve">Figure 2</w:t>
        </w:r>
      </w:hyperlink>
      <w:r>
        <w:t xml:space="preserve">. The residuals show</w:t>
      </w:r>
      <w:r>
        <w:t xml:space="preserve"> </w:t>
      </w:r>
      <w:r>
        <w:t xml:space="preserve">no structure against the predicted value and no trend in spread, the quantile plot is close</w:t>
      </w:r>
      <w:r>
        <w:t xml:space="preserve"> </w:t>
      </w:r>
      <w:r>
        <w:t xml:space="preserve">to a straight line, and the actual values scatter about the identity line without</w:t>
      </w:r>
      <w:r>
        <w:t xml:space="preserve"> </w:t>
      </w:r>
      <w:r>
        <w:t xml:space="preserve">systematic curvature. The scatter about that line is wide, which is the same finding as the</w:t>
      </w:r>
      <w:r>
        <w:t xml:space="preserve"> </w:t>
      </w:r>
      <w:r>
        <w:t xml:space="preserve">low predicted coefficient of determination and has the same cause. The corresponding</w:t>
      </w:r>
      <w:r>
        <w:t xml:space="preserve"> </w:t>
      </w:r>
      <w:r>
        <w:t xml:space="preserve">diagnostics for the pool aggregate model are given in Appendix C.</w:t>
      </w:r>
    </w:p>
    <w:bookmarkEnd w:id="56"/>
    <w:bookmarkStart w:id="57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have the shape the underlying chemistry predicts, and that agreement is part</w:t>
      </w:r>
      <w:r>
        <w:t xml:space="preserve"> </w:t>
      </w:r>
      <w:r>
        <w:t xml:space="preserve">of the evidence for the step. Acid inactivation of an enveloped virus is a denaturation</w:t>
      </w:r>
      <w:r>
        <w:t xml:space="preserve"> </w:t>
      </w:r>
      <w:r>
        <w:t xml:space="preserve">reaction. Its rate rises as the pH falls further below the stability limit of the envelope</w:t>
      </w:r>
      <w:r>
        <w:t xml:space="preserve"> </w:t>
      </w:r>
      <w:r>
        <w:t xml:space="preserve">glycoproteins and as the temperature rises, and the extent achieved is the rate integrated</w:t>
      </w:r>
      <w:r>
        <w:t xml:space="preserve"> </w:t>
      </w:r>
      <w:r>
        <w:t xml:space="preserve">over the hold. A model in which pH, hold time and temperature act additively on a</w:t>
      </w:r>
      <w:r>
        <w:t xml:space="preserve"> </w:t>
      </w:r>
      <w:r>
        <w:t xml:space="preserve">logarithmic measure of survival is what that mechanism predicts, and it is what the</w:t>
      </w:r>
      <w:r>
        <w:t xml:space="preserve"> </w:t>
      </w:r>
      <w:r>
        <w:t xml:space="preserve">coefficients show. No coupling between the three factors was demonstrated over the ranges</w:t>
      </w:r>
      <w:r>
        <w:t xml:space="preserve"> </w:t>
      </w:r>
      <w:r>
        <w:t xml:space="preserve">studied, so the main effects and the quadratic term in pH describe the surfaces adequately.</w:t>
      </w:r>
      <w:r>
        <w:t xml:space="preserve"> </w:t>
      </w:r>
      <w:r>
        <w:t xml:space="preserve">Any curvature in the boundary of the operating region comes from that quadratic term in pH,</w:t>
      </w:r>
      <w:r>
        <w:t xml:space="preserve"> </w:t>
      </w:r>
      <w:r>
        <w:t xml:space="preserve">and not from two factors acting together.</w:t>
      </w:r>
    </w:p>
    <w:p>
      <w:pPr>
        <w:pStyle w:val="BodyText"/>
      </w:pPr>
      <w:r>
        <w:t xml:space="preserve">Aggregate formation is driven by the same acid exposure acting on the antibody instead of</w:t>
      </w:r>
      <w:r>
        <w:t xml:space="preserve"> </w:t>
      </w:r>
      <w:r>
        <w:t xml:space="preserve">on the virus, and the species formed are dimer and higher order (SEC-HPLC). It responds</w:t>
      </w:r>
      <w:r>
        <w:t xml:space="preserve"> </w:t>
      </w:r>
      <w:r>
        <w:t xml:space="preserve">differently, though, tracking hold time and temperature while staying flat in pH across the</w:t>
      </w:r>
      <w:r>
        <w:t xml:space="preserve"> </w:t>
      </w:r>
      <w:r>
        <w:t xml:space="preserve">band studied. The likely reason is that the antibody is already below the pH of its</w:t>
      </w:r>
      <w:r>
        <w:t xml:space="preserve"> </w:t>
      </w:r>
      <w:r>
        <w:t xml:space="preserve">acid-labile conformational transition even at the top of the range studied, so a further</w:t>
      </w:r>
      <w:r>
        <w:t xml:space="preserve"> </w:t>
      </w:r>
      <w:r>
        <w:t xml:space="preserve">reduction in pH changes the exposure very little. That is consistent</w:t>
      </w:r>
      <w:r>
        <w:t xml:space="preserve"> </w:t>
      </w:r>
      <w:r>
        <w:t xml:space="preserve">with the platform history, in which the low-pH hold has been operated across this band for</w:t>
      </w:r>
      <w:r>
        <w:t xml:space="preserve"> </w:t>
      </w:r>
      <w:r>
        <w:t xml:space="preserve">three prior products without an aggregate problem.</w:t>
      </w:r>
    </w:p>
    <w:p>
      <w:pPr>
        <w:pStyle w:val="BodyText"/>
      </w:pPr>
      <w:r>
        <w:t xml:space="preserve">Deamidation behaves as a simple time-dependent chemical modification. The acidic charge</w:t>
      </w:r>
      <w:r>
        <w:t xml:space="preserve"> </w:t>
      </w:r>
      <w:r>
        <w:t xml:space="preserve">variant level rises with hold time alone, and across the whole characterization range for</w:t>
      </w:r>
      <w:r>
        <w:t xml:space="preserve"> </w:t>
      </w:r>
      <w:r>
        <w:t xml:space="preserve">hold time it rises by 0.40 percentage points, from</w:t>
      </w:r>
      <w:r>
        <w:t xml:space="preserve"> </w:t>
      </w:r>
      <w:r>
        <w:t xml:space="preserve">20.49 % at the shortest hold to</w:t>
      </w:r>
      <w:r>
        <w:t xml:space="preserve"> </w:t>
      </w:r>
      <w:r>
        <w:t xml:space="preserve">20.89 % at the longest, against an acceptance limit of</w:t>
      </w:r>
      <w:r>
        <w:t xml:space="preserve"> </w:t>
      </w:r>
      <w:r>
        <w:t xml:space="preserve">40 %. The attribute is real, the mechanism is understood, and the</w:t>
      </w:r>
      <w:r>
        <w:t xml:space="preserve"> </w:t>
      </w:r>
      <w:r>
        <w:t xml:space="preserve">magnitude is negligible against its criterion.</w:t>
      </w:r>
    </w:p>
    <w:p>
      <w:pPr>
        <w:pStyle w:val="BodyText"/>
      </w:pPr>
      <w:r>
        <w:t xml:space="preserve">The practical consequence of these three mechanisms is that the step cannot be described by</w:t>
      </w:r>
      <w:r>
        <w:t xml:space="preserve"> </w:t>
      </w:r>
      <w:r>
        <w:t xml:space="preserve">independent ranges on its parameters. Clearance and aggregate move in opposite directions</w:t>
      </w:r>
      <w:r>
        <w:t xml:space="preserve"> </w:t>
      </w:r>
      <w:r>
        <w:t xml:space="preserve">with hold time, and clearance depends on the combination of pH, hold time and temperature</w:t>
      </w:r>
      <w:r>
        <w:t xml:space="preserve"> </w:t>
      </w:r>
      <w:r>
        <w:t xml:space="preserve">rather than on any one of them. A multivariate region is therefore needed, and it is</w:t>
      </w:r>
      <w:r>
        <w:t xml:space="preserve"> </w:t>
      </w:r>
      <w:r>
        <w:t xml:space="preserve">defined in the next section.</w:t>
      </w:r>
    </w:p>
    <w:bookmarkEnd w:id="57"/>
    <w:bookmarkEnd w:id="58"/>
    <w:bookmarkStart w:id="59" w:name="sec-design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of the step is the part of the characterized cube in which the predicted</w:t>
      </w:r>
      <w:r>
        <w:t xml:space="preserve"> </w:t>
      </w:r>
      <w:r>
        <w:t xml:space="preserve">XMuLV log reduction factor meets the required step contribution and both product quality</w:t>
      </w:r>
      <w:r>
        <w:t xml:space="preserve"> </w:t>
      </w:r>
      <w:r>
        <w:t xml:space="preserve">responses stay within their drug substance limits. The two product quality constraints are</w:t>
      </w:r>
      <w:r>
        <w:t xml:space="preserve"> </w:t>
      </w:r>
      <w:r>
        <w:t xml:space="preserve">inactive. Over the whole characterized cube the fitted model predicts a pool aggregate of</w:t>
      </w:r>
      <w:r>
        <w:t xml:space="preserve"> </w:t>
      </w:r>
      <w:r>
        <w:t xml:space="preserve">at most 2.38 % against a limit of 5 %, and</w:t>
      </w:r>
      <w:r>
        <w:t xml:space="preserve"> </w:t>
      </w:r>
      <w:r>
        <w:t xml:space="preserve">an acidic charge variant level of at most 20.89 % against a limit of</w:t>
      </w:r>
      <w:r>
        <w:t xml:space="preserve"> </w:t>
      </w:r>
      <w:r>
        <w:t xml:space="preserve">40 %. The highest pool aggregate measured in either design was</w:t>
      </w:r>
      <w:r>
        <w:t xml:space="preserve"> </w:t>
      </w:r>
      <w:r>
        <w:t xml:space="preserve">2.44 % (</w:t>
      </w:r>
      <w:hyperlink w:anchor="tbl-appa-resp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b-resp">
        <w:r>
          <w:rPr>
            <w:rStyle w:val="Hyperlink"/>
          </w:rPr>
          <w:t xml:space="preserve">Table 23</w:t>
        </w:r>
      </w:hyperlink>
      <w:r>
        <w:t xml:space="preserve">), which is also far</w:t>
      </w:r>
      <w:r>
        <w:t xml:space="preserve"> </w:t>
      </w:r>
      <w:r>
        <w:t xml:space="preserve">below the limit. Neither attribute constrains the region anywhere inside the ranges</w:t>
      </w:r>
      <w:r>
        <w:t xml:space="preserve"> </w:t>
      </w:r>
      <w:r>
        <w:t xml:space="preserve">studied. The binding constraint is viral clearance.</w:t>
      </w:r>
    </w:p>
    <w:p>
      <w:pPr>
        <w:pStyle w:val="BodyText"/>
      </w:pPr>
      <w:r>
        <w:t xml:space="preserve">The clearance constraint binds at one corner. The least favourable combination for</w:t>
      </w:r>
      <w:r>
        <w:t xml:space="preserve"> </w:t>
      </w:r>
      <w:r>
        <w:t xml:space="preserve">clearance is the highest pH studied with the shortest hold and the lowest temperature, and</w:t>
      </w:r>
      <w:r>
        <w:t xml:space="preserve"> </w:t>
      </w:r>
      <w:r>
        <w:t xml:space="preserve">there the fitted model predicts 4.91 log₁₀ against a required</w:t>
      </w:r>
      <w:r>
        <w:t xml:space="preserve"> </w:t>
      </w:r>
      <w:r>
        <w:t xml:space="preserve">step contribution of 4.93 log₁₀. The corner fails in the model, and</w:t>
      </w:r>
      <w:r>
        <w:t xml:space="preserve"> </w:t>
      </w:r>
      <w:r>
        <w:t xml:space="preserve">it failed in the executed data. At that corner, 2 runs returned measured</w:t>
      </w:r>
      <w:r>
        <w:t xml:space="preserve"> </w:t>
      </w:r>
      <w:r>
        <w:t xml:space="preserve">log reduction factors below the requirement, the lowest being</w:t>
      </w:r>
      <w:r>
        <w:t xml:space="preserve"> </w:t>
      </w:r>
      <w:r>
        <w:t xml:space="preserve">4.81 log₁₀. The predicted shortfall of</w:t>
      </w:r>
      <w:r>
        <w:t xml:space="preserve"> </w:t>
      </w:r>
      <w:r>
        <w:t xml:space="preserve">0.02 log₁₀ is small in absolute terms, and it is much smaller</w:t>
      </w:r>
      <w:r>
        <w:t xml:space="preserve"> </w:t>
      </w:r>
      <w:r>
        <w:t xml:space="preserve">than the residual standard error of the model, which is</w:t>
      </w:r>
      <w:r>
        <w:t xml:space="preserve"> </w:t>
      </w:r>
      <w:r>
        <w:t xml:space="preserve">0.37 log₁₀. A shortfall inside the noise cannot</w:t>
      </w:r>
      <w:r>
        <w:t xml:space="preserve"> </w:t>
      </w:r>
      <w:r>
        <w:t xml:space="preserve">be argued away as noise, because the same argument would prevent the corner from being</w:t>
      </w:r>
      <w:r>
        <w:t xml:space="preserve"> </w:t>
      </w:r>
      <w:r>
        <w:t xml:space="preserve">declared acceptable. The corner is excluded.</w:t>
      </w:r>
    </w:p>
    <w:p>
      <w:pPr>
        <w:pStyle w:val="BodyText"/>
      </w:pPr>
      <w:r>
        <w:t xml:space="preserve">Holding the shortest hold time and the lowest temperature, the model meets the requirement</w:t>
      </w:r>
      <w:r>
        <w:t xml:space="preserve"> </w:t>
      </w:r>
      <w:r>
        <w:t xml:space="preserve">up to pH 3.99, so the excluded region is a thin slice at the top of</w:t>
      </w:r>
      <w:r>
        <w:t xml:space="preserve"> </w:t>
      </w:r>
      <w:r>
        <w:t xml:space="preserve">the pH range and only when both of the other factors are also at their least favourable</w:t>
      </w:r>
      <w:r>
        <w:t xml:space="preserve"> </w:t>
      </w:r>
      <w:r>
        <w:t xml:space="preserve">edge. At the set-point hold time and temperature the requirement is met across the whole pH</w:t>
      </w:r>
      <w:r>
        <w:t xml:space="preserve"> </w:t>
      </w:r>
      <w:r>
        <w:t xml:space="preserve">range. The design space is therefore the characterized cube less that corner, and its</w:t>
      </w:r>
      <w:r>
        <w:t xml:space="preserve"> </w:t>
      </w:r>
      <w:r>
        <w:t xml:space="preserve">principal plane is pH against hold time, which is the plane shown in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Temperature shifts the surface without changing its shape.</w:t>
      </w:r>
    </w:p>
    <w:p>
      <w:pPr>
        <w:pStyle w:val="BodyText"/>
      </w:pPr>
      <w:r>
        <w:t xml:space="preserve">The normal operating ranges lie well inside this region. At the set-point the model</w:t>
      </w:r>
      <w:r>
        <w:t xml:space="preserve"> </w:t>
      </w:r>
      <w:r>
        <w:t xml:space="preserve">predicts 6.87 log₁₀, and at the least favourable corner of the</w:t>
      </w:r>
      <w:r>
        <w:t xml:space="preserve"> </w:t>
      </w:r>
      <w:r>
        <w:t xml:space="preserve">normal operating ranges it predicts 6.43 log₁₀, a margin of</w:t>
      </w:r>
      <w:r>
        <w:t xml:space="preserve"> </w:t>
      </w:r>
      <w:r>
        <w:t xml:space="preserve">1.50 log₁₀ over the requirement. The normal operating</w:t>
      </w:r>
      <w:r>
        <w:t xml:space="preserve"> </w:t>
      </w:r>
      <w:r>
        <w:t xml:space="preserve">ranges sit inside the design space, and the design space sits inside the knowledge space</w:t>
      </w:r>
      <w:r>
        <w:t xml:space="preserve"> </w:t>
      </w:r>
      <w:r>
        <w:t xml:space="preserve">bounded by the characterization ranges of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BodyText"/>
      </w:pPr>
      <w:r>
        <w:t xml:space="preserve">Three bounds apply to this claim. It holds only over the characterized ranges of the three</w:t>
      </w:r>
      <w:r>
        <w:t xml:space="preserve"> </w:t>
      </w:r>
      <w:r>
        <w:t xml:space="preserve">factors and only for feed material within the platform specification for Protein A eluate,</w:t>
      </w:r>
      <w:r>
        <w:t xml:space="preserve"> </w:t>
      </w:r>
      <w:r>
        <w:t xml:space="preserve">since the feed was not varied in these designs. It is a claim about mean predicted</w:t>
      </w:r>
      <w:r>
        <w:t xml:space="preserve"> </w:t>
      </w:r>
      <w:r>
        <w:t xml:space="preserve">responses from a fitted model, so the reliability at the boundary of the region is lower</w:t>
      </w:r>
      <w:r>
        <w:t xml:space="preserve"> </w:t>
      </w:r>
      <w:r>
        <w:t xml:space="preserve">than it is at the centre, and it should not be read as an assurance figure for an</w:t>
      </w:r>
      <w:r>
        <w:t xml:space="preserve"> </w:t>
      </w:r>
      <w:r>
        <w:t xml:space="preserve">individual batch. It rests on the qualified scale-down model, and, as for every viral</w:t>
      </w:r>
      <w:r>
        <w:t xml:space="preserve"> </w:t>
      </w:r>
      <w:r>
        <w:t xml:space="preserve">clearance claim, the clearance itself has been demonstrated only at small scale. Movement</w:t>
      </w:r>
      <w:r>
        <w:t xml:space="preserve"> </w:t>
      </w:r>
      <w:r>
        <w:t xml:space="preserve">within the region is not a change in the regulatory sense of ICH Q8, although it remains</w:t>
      </w:r>
      <w:r>
        <w:t xml:space="preserve"> </w:t>
      </w:r>
      <w:r>
        <w:t xml:space="preserve">subject to the pharmaceutical quality system. Movement outside the region requires a change</w:t>
      </w:r>
      <w:r>
        <w:t xml:space="preserve"> </w:t>
      </w:r>
      <w:r>
        <w:t xml:space="preserve">control assessment and, where the excluded corner is concerned, new data.</w:t>
      </w:r>
    </w:p>
    <w:bookmarkEnd w:id="59"/>
    <w:bookmarkStart w:id="73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design space is a multivariate statement. The proven acceptable ranges complement it</w:t>
      </w:r>
      <w:r>
        <w:t xml:space="preserve"> </w:t>
      </w:r>
      <w:r>
        <w:t xml:space="preserve">with a per attribute, per parameter view, and they answer a narrower question about how</w:t>
      </w:r>
      <w:r>
        <w:t xml:space="preserve"> </w:t>
      </w:r>
      <w:r>
        <w:t xml:space="preserve">far one parameter can be moved before the attribute it governs leaves acceptance. The</w:t>
      </w:r>
      <w:r>
        <w:t xml:space="preserve"> </w:t>
      </w:r>
      <w:r>
        <w:t xml:space="preserve">acceptance</w:t>
      </w:r>
      <w:r>
        <w:t xml:space="preserve"> </w:t>
      </w:r>
      <w:r>
        <w:t xml:space="preserve">basis differs between the attributes. For the pool aggregate and the acidic charge variants</w:t>
      </w:r>
      <w:r>
        <w:t xml:space="preserve"> </w:t>
      </w:r>
      <w:r>
        <w:t xml:space="preserve">it is the drug substance specification given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. For XMuLV it is the contribution</w:t>
      </w:r>
      <w:r>
        <w:t xml:space="preserve"> </w:t>
      </w:r>
      <w:r>
        <w:t xml:space="preserve">this step must make to the cumulative claim, which is the cumulative requirement less the</w:t>
      </w:r>
      <w:r>
        <w:t xml:space="preserve"> </w:t>
      </w:r>
      <w:r>
        <w:t xml:space="preserve">clearance credited to the other steps, and it is 4.93 log₁₀.</w:t>
      </w:r>
    </w:p>
    <w:p>
      <w:pPr>
        <w:pStyle w:val="BodyText"/>
      </w:pPr>
      <w:r>
        <w:t xml:space="preserve">Two analyses were run for every attribute and parameter pair, and both are given in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. The first holds the other parameters fixed and scans the parameter of interest</w:t>
      </w:r>
      <w:r>
        <w:t xml:space="preserve"> </w:t>
      </w:r>
      <w:r>
        <w:t xml:space="preserve">across its characterization range on a grid, using the fitted response-surface model. The</w:t>
      </w:r>
      <w:r>
        <w:t xml:space="preserve"> </w:t>
      </w:r>
      <w:r>
        <w:t xml:space="preserve">second varies the other parameters within their normal operating ranges by Monte-Carlo of</w:t>
      </w:r>
      <w:r>
        <w:t xml:space="preserve"> </w:t>
      </w:r>
      <w:r>
        <w:t xml:space="preserve">the same model, and takes the range over which the 95 % predictive interval stays within</w:t>
      </w:r>
      <w:r>
        <w:t xml:space="preserve"> </w:t>
      </w:r>
      <w:r>
        <w:t xml:space="preserve">acceptance. The second is a robustness criterion and is the narrower of the two by</w:t>
      </w:r>
      <w:r>
        <w:t xml:space="preserve"> </w:t>
      </w:r>
      <w:r>
        <w:t xml:space="preserve">construction.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by attribute and parameter, with the characterization range for</w:t>
            </w:r>
            <w:r>
              <w:t xml:space="preserve"> </w:t>
            </w:r>
            <w:r>
              <w:t xml:space="preserve">comparison.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8"/>
              <w:gridCol w:w="1447"/>
              <w:gridCol w:w="1277"/>
              <w:gridCol w:w="681"/>
              <w:gridCol w:w="1618"/>
              <w:gridCol w:w="11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t xml:space="preserve">For the pool aggregate and the acidic charge variants the two analyses agree with each</w:t>
      </w:r>
      <w:r>
        <w:t xml:space="preserve"> </w:t>
      </w:r>
      <w:r>
        <w:t xml:space="preserve">other and with the characterization range, for every parameter. The whole studied</w:t>
      </w:r>
      <w:r>
        <w:t xml:space="preserve"> </w:t>
      </w:r>
      <w:r>
        <w:t xml:space="preserve">range of every parameter is proven acceptable for those two attributes, and it stays</w:t>
      </w:r>
      <w:r>
        <w:t xml:space="preserve"> </w:t>
      </w:r>
      <w:r>
        <w:t xml:space="preserve">acceptable when the other two parameters move within their normal operating ranges. That is</w:t>
      </w:r>
      <w:r>
        <w:t xml:space="preserve"> </w:t>
      </w:r>
      <w:r>
        <w:t xml:space="preserve">a strong robustness result, and it is bounded by the ranges in the third column of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. Nothing is claimed beyond them.</w:t>
      </w:r>
    </w:p>
    <w:p>
      <w:pPr>
        <w:pStyle w:val="BodyText"/>
      </w:pPr>
      <w:r>
        <w:t xml:space="preserve">For XMuLV clearance the two analyses agree for hold time and for temperature, and they</w:t>
      </w:r>
      <w:r>
        <w:t xml:space="preserve"> </w:t>
      </w:r>
      <w:r>
        <w:t xml:space="preserve">differ for pH. The whole hold time range and the whole temperature range are proven</w:t>
      </w:r>
      <w:r>
        <w:t xml:space="preserve"> </w:t>
      </w:r>
      <w:r>
        <w:t xml:space="preserve">acceptable under both analyses, which is expected, since both factors raise clearance as</w:t>
      </w:r>
      <w:r>
        <w:t xml:space="preserve"> </w:t>
      </w:r>
      <w:r>
        <w:t xml:space="preserve">they increase and their lower edges were included in the region only in combination with a</w:t>
      </w:r>
      <w:r>
        <w:t xml:space="preserve"> </w:t>
      </w:r>
      <w:r>
        <w:t xml:space="preserve">high pH. The pH range narrows under the second analysis, from the full characterization</w:t>
      </w:r>
      <w:r>
        <w:t xml:space="preserve"> </w:t>
      </w:r>
      <w:r>
        <w:t xml:space="preserve">range to an upper edge of 3.96. XMuLV clearance is the binding</w:t>
      </w:r>
      <w:r>
        <w:t xml:space="preserve"> </w:t>
      </w:r>
      <w:r>
        <w:t xml:space="preserve">attribute, and the residual margin is 0.36 pH units above</w:t>
      </w:r>
      <w:r>
        <w:t xml:space="preserve"> </w:t>
      </w:r>
      <w:r>
        <w:t xml:space="preserve">the upper edge of the normal operating range for pH. In other words, pH would have to be</w:t>
      </w:r>
      <w:r>
        <w:t xml:space="preserve"> </w:t>
      </w:r>
      <w:r>
        <w:t xml:space="preserve">run above its control band, with hold time and temperature simultaneously unfavourable</w:t>
      </w:r>
      <w:r>
        <w:t xml:space="preserve"> </w:t>
      </w:r>
      <w:r>
        <w:t xml:space="preserve">inside their own control bands, before the predictive interval touched the requirement.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ar-lrf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lrf-outpu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Proven acceptable range of inactivation pH for the XMuLV log reduction factor. The acceptable region is shaded green, the acceptance limit is drawn, and the set-point and normal operating range are marked.</w:t>
            </w:r>
          </w:p>
          <w:bookmarkEnd w:id="6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agg-output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of hold time for the pool aggregate level.</w:t>
            </w:r>
          </w:p>
          <w:bookmarkEnd w:id="6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ar-acv"/>
          <w:p>
            <w:pPr>
              <w:pStyle w:val="Compact"/>
              <w:jc w:val="center"/>
            </w:pPr>
            <w:r>
              <w:drawing>
                <wp:inline>
                  <wp:extent cx="5334000" cy="1867415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acv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67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of hold time for the acidic charge variant level.</w:t>
            </w:r>
          </w:p>
          <w:bookmarkEnd w:id="72"/>
        </w:tc>
      </w:tr>
    </w:tbl>
    <w:p>
      <w:pPr>
        <w:pStyle w:val="BodyText"/>
      </w:pPr>
      <w:r>
        <w:t xml:space="preserve">Each governed attribute is plotted against its governing parameter, which is the parameter</w:t>
      </w:r>
      <w:r>
        <w:t xml:space="preserve"> </w:t>
      </w:r>
      <w:r>
        <w:t xml:space="preserve">with the largest main effect on it in the response-surface model.</w:t>
      </w:r>
      <w:r>
        <w:t xml:space="preserve"> </w:t>
      </w: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XMuLV</w:t>
      </w:r>
      <w:r>
        <w:t xml:space="preserve"> </w:t>
      </w:r>
      <w:r>
        <w:t xml:space="preserve">clearance against pH, and the two panels show how much the acceptable region contracts when</w:t>
      </w:r>
      <w:r>
        <w:t xml:space="preserve"> </w:t>
      </w:r>
      <w:r>
        <w:t xml:space="preserve">hold time and temperature are allowed to vary within their control bands.</w:t>
      </w:r>
      <w:r>
        <w:t xml:space="preserve"> </w:t>
      </w: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ar-acv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 the pool aggregate and the acidic charge variants against hold time, and</w:t>
      </w:r>
      <w:r>
        <w:t xml:space="preserve"> </w:t>
      </w:r>
      <w:r>
        <w:t xml:space="preserve">in both cases the acceptable region covers the whole studied range with a wide margin to</w:t>
      </w:r>
      <w:r>
        <w:t xml:space="preserve"> </w:t>
      </w:r>
      <w:r>
        <w:t xml:space="preserve">the limit.</w:t>
      </w:r>
    </w:p>
    <w:p>
      <w:pPr>
        <w:pStyle w:val="BodyText"/>
      </w:pPr>
      <w:r>
        <w:t xml:space="preserve">These ranges and the design space answer different questions, and the two are not</w:t>
      </w:r>
      <w:r>
        <w:t xml:space="preserve"> </w:t>
      </w:r>
      <w:r>
        <w:t xml:space="preserve">interchangeable. A proven acceptable range is a one-dimensional</w:t>
      </w:r>
      <w:r>
        <w:t xml:space="preserve"> </w:t>
      </w:r>
      <w:r>
        <w:t xml:space="preserve">statement about a single parameter. The design space is the multivariate region, and it is</w:t>
      </w:r>
      <w:r>
        <w:t xml:space="preserve"> </w:t>
      </w:r>
      <w:r>
        <w:t xml:space="preserve">the smaller claim wherever the parameters interact or, as here, wherever the attribute</w:t>
      </w:r>
      <w:r>
        <w:t xml:space="preserve"> </w:t>
      </w:r>
      <w:r>
        <w:t xml:space="preserve">depends on a combination of them. The pH range is the only case in this step where a</w:t>
      </w:r>
      <w:r>
        <w:t xml:space="preserve"> </w:t>
      </w:r>
      <w:r>
        <w:t xml:space="preserve">univariate range binds at all, and even there the corner excluded from the design space is</w:t>
      </w:r>
      <w:r>
        <w:t xml:space="preserve"> </w:t>
      </w:r>
      <w:r>
        <w:t xml:space="preserve">excluded by the combination of all three factors and not by pH alone. The binding constraint on</w:t>
      </w:r>
      <w:r>
        <w:t xml:space="preserve"> </w:t>
      </w:r>
      <w:r>
        <w:t xml:space="preserve">the operating region is therefore the design-space corner described above, not any</w:t>
      </w:r>
      <w:r>
        <w:t xml:space="preserve"> </w:t>
      </w:r>
      <w:r>
        <w:t xml:space="preserve">univariate proven acceptable range. Both statements are bounded by the characterization</w:t>
      </w:r>
      <w:r>
        <w:t xml:space="preserve"> </w:t>
      </w:r>
      <w:r>
        <w:t xml:space="preserve">ranges and by the fitted model.</w:t>
      </w:r>
    </w:p>
    <w:bookmarkEnd w:id="73"/>
    <w:bookmarkStart w:id="76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every parameter of the train drawn inside</w:t>
      </w:r>
      <w:r>
        <w:t xml:space="preserve"> </w:t>
      </w:r>
      <w:r>
        <w:t xml:space="preserve">its normal operating range (not only the parameters of this step). The results for the</w:t>
      </w:r>
      <w:r>
        <w:t xml:space="preserve"> </w:t>
      </w:r>
      <w:r>
        <w:t xml:space="preserve">attributes this step governs are given in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Commercial-scale capability for the attributes governed by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</w:tbl>
          <w:bookmarkEnd w:id="74"/>
          <w:p/>
        </w:tc>
      </w:tr>
    </w:tbl>
    <w:p>
      <w:pPr>
        <w:pStyle w:val="BodyText"/>
      </w:pPr>
      <w:r>
        <w:t xml:space="preserve">XMuLV clearance is the tightest of them by a wide margin, at a one-sided Cpk of</w:t>
      </w:r>
      <w:r>
        <w:t xml:space="preserve"> </w:t>
      </w:r>
      <w:r>
        <w:t xml:space="preserve">1.53. Its simulated mean is 19.51 log₁₀</w:t>
      </w:r>
      <w:r>
        <w:t xml:space="preserve"> </w:t>
      </w:r>
      <w:r>
        <w:t xml:space="preserve">against a requirement of at least 16.7 log₁₀, so the margin to</w:t>
      </w:r>
      <w:r>
        <w:t xml:space="preserve"> </w:t>
      </w:r>
      <w:r>
        <w:t xml:space="preserve">the limit is 2.81 log₁₀. The pool aggregate and the acidic</w:t>
      </w:r>
      <w:r>
        <w:t xml:space="preserve"> </w:t>
      </w:r>
      <w:r>
        <w:t xml:space="preserve">charge variants are far from their limits, at Cpk values of</w:t>
      </w:r>
      <w:r>
        <w:t xml:space="preserve"> </w:t>
      </w:r>
      <w:r>
        <w:t xml:space="preserve">16.1 and 4.26 respectively, and the drug</w:t>
      </w:r>
      <w:r>
        <w:t xml:space="preserve"> </w:t>
      </w:r>
      <w:r>
        <w:t xml:space="preserve">substance aggregate mean of 0.75 % sits well below its ceiling</w:t>
      </w:r>
      <w:r>
        <w:t xml:space="preserve"> </w:t>
      </w:r>
      <w:r>
        <w:t xml:space="preserve">of 5 %.</w:t>
      </w:r>
    </w:p>
    <w:p>
      <w:pPr>
        <w:pStyle w:val="BodyText"/>
      </w:pPr>
      <w:r>
        <w:t xml:space="preserve">None of these figures belongs to this step alone, and the clearance figure least of all.</w:t>
      </w:r>
      <w:r>
        <w:t xml:space="preserve"> </w:t>
      </w:r>
      <w:r>
        <w:t xml:space="preserve">The cumulative XMuLV claim is a sum over 3 credited steps (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), of</w:t>
      </w:r>
      <w:r>
        <w:t xml:space="preserve"> </w:t>
      </w:r>
      <w:r>
        <w:t xml:space="preserve">which this</w:t>
      </w:r>
      <w:r>
        <w:t xml:space="preserve"> </w:t>
      </w:r>
      <w:r>
        <w:t xml:space="preserve">one contributes 7.10 log₁₀ and the anion exchange and virus</w:t>
      </w:r>
      <w:r>
        <w:t xml:space="preserve"> </w:t>
      </w:r>
      <w:r>
        <w:t xml:space="preserve">filtration steps together contribute 11.77 log₁₀. The drug</w:t>
      </w:r>
      <w:r>
        <w:t xml:space="preserve"> </w:t>
      </w:r>
      <w:r>
        <w:t xml:space="preserve">substance aggregate figure reflects the cation exchange polish reported in PCR-007 as well</w:t>
      </w:r>
      <w:r>
        <w:t xml:space="preserve"> </w:t>
      </w:r>
      <w:r>
        <w:t xml:space="preserve">as the increment added here, and the acidic charge variant figure is dominated by the level</w:t>
      </w:r>
      <w:r>
        <w:t xml:space="preserve"> </w:t>
      </w:r>
      <w:r>
        <w:t xml:space="preserve">formed in the production bioreactor and reported in PCR-003.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v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Modular viral clearance by step, with the cumulative claim.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The robustness of this step’s own contribution is best read from the Monte-Carlo analysis</w:t>
      </w:r>
      <w:r>
        <w:t xml:space="preserve"> </w:t>
      </w:r>
      <w:r>
        <w:t xml:space="preserve">behind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rather than from the capability table. In that analysis each parameter is</w:t>
      </w:r>
      <w:r>
        <w:t xml:space="preserve"> </w:t>
      </w:r>
      <w:r>
        <w:t xml:space="preserve">scanned across its characterization range while the other two vary within their control</w:t>
      </w:r>
      <w:r>
        <w:t xml:space="preserve"> </w:t>
      </w:r>
      <w:r>
        <w:t xml:space="preserve">bands. The predicted log reduction factor then stays above the required step contribution</w:t>
      </w:r>
      <w:r>
        <w:t xml:space="preserve"> </w:t>
      </w:r>
      <w:r>
        <w:t xml:space="preserve">across the whole hold time range and the whole temperature range, and across the pH range</w:t>
      </w:r>
      <w:r>
        <w:t xml:space="preserve"> </w:t>
      </w:r>
      <w:r>
        <w:t xml:space="preserve">up to 3.96. Two bounds apply,</w:t>
      </w:r>
      <w:r>
        <w:t xml:space="preserve"> </w:t>
      </w:r>
      <w:r>
        <w:t xml:space="preserve">since the estimate assumes parameters inside their normal operating ranges and a qualified</w:t>
      </w:r>
      <w:r>
        <w:t xml:space="preserve"> </w:t>
      </w:r>
      <w:r>
        <w:t xml:space="preserve">scale-down model, and it will be confirmed at commercial scale during Stage 2.</w:t>
      </w:r>
    </w:p>
    <w:bookmarkEnd w:id="76"/>
    <w:bookmarkStart w:id="77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against the decision logic of SOP-4001, which combines the</w:t>
      </w:r>
      <w:r>
        <w:t xml:space="preserve"> </w:t>
      </w:r>
      <w:r>
        <w:t xml:space="preserve">demonstrated effect on a CQA with the risk that the parameter leaves the design space in</w:t>
      </w:r>
      <w:r>
        <w:t xml:space="preserve"> </w:t>
      </w:r>
      <w:r>
        <w:t xml:space="preserve">routine operation. The outcome is given in the last column of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the reasoning</w:t>
      </w:r>
      <w:r>
        <w:t xml:space="preserve"> </w:t>
      </w:r>
      <w:r>
        <w:t xml:space="preserve">is set out below.</w:t>
      </w:r>
    </w:p>
    <w:p>
      <w:pPr>
        <w:pStyle w:val="Compact"/>
        <w:numPr>
          <w:ilvl w:val="0"/>
          <w:numId w:val="1002"/>
        </w:numPr>
      </w:pPr>
      <w:r>
        <w:t xml:space="preserve">Inactivation pH is a critical process parameter. It carries the largest effect on the</w:t>
      </w:r>
      <w:r>
        <w:t xml:space="preserve"> </w:t>
      </w:r>
      <w:r>
        <w:t xml:space="preserve">attribute this step sets, its control band is narrow relative to the characterized range,</w:t>
      </w:r>
      <w:r>
        <w:t xml:space="preserve"> </w:t>
      </w:r>
      <w:r>
        <w:t xml:space="preserve">and it is the parameter that defines the excluded corner of the design space. Values</w:t>
      </w:r>
      <w:r>
        <w:t xml:space="preserve"> </w:t>
      </w:r>
      <w:r>
        <w:t xml:space="preserve">above the studied range have not been shown to inactivate XMuLV within the shortest</w:t>
      </w:r>
      <w:r>
        <w:t xml:space="preserve"> </w:t>
      </w:r>
      <w:r>
        <w:t xml:space="preserve">acceptable hold, so the consequence of an excursion in the unfavourable direction is a</w:t>
      </w:r>
      <w:r>
        <w:t xml:space="preserve"> </w:t>
      </w:r>
      <w:r>
        <w:t xml:space="preserve">loss of clearance rather than a loss of product quality.</w:t>
      </w:r>
    </w:p>
    <w:p>
      <w:pPr>
        <w:pStyle w:val="Compact"/>
        <w:numPr>
          <w:ilvl w:val="0"/>
          <w:numId w:val="1002"/>
        </w:numPr>
      </w:pPr>
      <w:r>
        <w:t xml:space="preserve">Hold time is a well-controlled critical process parameter. It has a significant effect on</w:t>
      </w:r>
      <w:r>
        <w:t xml:space="preserve"> </w:t>
      </w:r>
      <w:r>
        <w:t xml:space="preserve">all three responses, and it is the only parameter that moves clearance and product</w:t>
      </w:r>
      <w:r>
        <w:t xml:space="preserve"> </w:t>
      </w:r>
      <w:r>
        <w:t xml:space="preserve">quality in opposite directions. It is classified below pH because it is set by a timer</w:t>
      </w:r>
      <w:r>
        <w:t xml:space="preserve"> </w:t>
      </w:r>
      <w:r>
        <w:t xml:space="preserve">against a controlled clock (the distributed control system record), its whole</w:t>
      </w:r>
      <w:r>
        <w:t xml:space="preserve"> </w:t>
      </w:r>
      <w:r>
        <w:t xml:space="preserve">characterized range is proven acceptable for every attribute, and the risk of leaving the design space through hold time alone is very low.</w:t>
      </w:r>
    </w:p>
    <w:p>
      <w:pPr>
        <w:pStyle w:val="Compact"/>
        <w:numPr>
          <w:ilvl w:val="0"/>
          <w:numId w:val="1002"/>
        </w:numPr>
      </w:pPr>
      <w:r>
        <w:t xml:space="preserve">Temperature is a well-controlled critical process parameter. Its effect on clearance is</w:t>
      </w:r>
      <w:r>
        <w:t xml:space="preserve"> </w:t>
      </w:r>
      <w:r>
        <w:t xml:space="preserve">significant but is the smallest of the three</w:t>
      </w:r>
      <w:r>
        <w:t xml:space="preserve"> </w:t>
      </w:r>
      <w:r>
        <w:t xml:space="preserve">(+0.64 log₁₀ across the whole</w:t>
      </w:r>
      <w:r>
        <w:t xml:space="preserve"> </w:t>
      </w:r>
      <w:r>
        <w:t xml:space="preserve">characterized range), and its effect on aggregate is likewise smaller than that of hold</w:t>
      </w:r>
      <w:r>
        <w:t xml:space="preserve"> </w:t>
      </w:r>
      <w:r>
        <w:t xml:space="preserve">time. It is held by a jacketed vessel within a band far narrower than the range studied.</w:t>
      </w:r>
    </w:p>
    <w:p>
      <w:pPr>
        <w:pStyle w:val="Compact"/>
        <w:numPr>
          <w:ilvl w:val="0"/>
          <w:numId w:val="1002"/>
        </w:numPr>
      </w:pPr>
      <w:r>
        <w:t xml:space="preserve">A-Mab concentration is a general process parameter. The univariate assessment covered the</w:t>
      </w:r>
      <w:r>
        <w:t xml:space="preserve"> </w:t>
      </w:r>
      <w:r>
        <w:t xml:space="preserve">full range over which Protein A eluate is delivered, and no effect on a quality attribute</w:t>
      </w:r>
      <w:r>
        <w:t xml:space="preserve"> </w:t>
      </w:r>
      <w:r>
        <w:t xml:space="preserve">governed by this step was demonstrated, so the whole delivered range is proven acceptable</w:t>
      </w:r>
      <w:r>
        <w:t xml:space="preserve"> </w:t>
      </w:r>
      <w:r>
        <w:t xml:space="preserve">(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). That null result is retained in the knowledge space as evidence that the</w:t>
      </w:r>
      <w:r>
        <w:t xml:space="preserve"> </w:t>
      </w:r>
      <w:r>
        <w:t xml:space="preserve">step tolerates the whole delivered concentration range, and it is the reason the parameter</w:t>
      </w:r>
      <w:r>
        <w:t xml:space="preserve"> </w:t>
      </w:r>
      <w:r>
        <w:t xml:space="preserve">needs no control beyond the routine monitoring already applied to the eluate.</w:t>
      </w:r>
    </w:p>
    <w:p>
      <w:pPr>
        <w:pStyle w:val="FirstParagraph"/>
      </w:pPr>
      <w:r>
        <w:t xml:space="preserve">Two further classification points follow from the results. No parameter of this step is a</w:t>
      </w:r>
      <w:r>
        <w:t xml:space="preserve"> </w:t>
      </w:r>
      <w:r>
        <w:t xml:space="preserve">key process parameter, because none of them drives step yield or another process</w:t>
      </w:r>
      <w:r>
        <w:t xml:space="preserve"> </w:t>
      </w:r>
      <w:r>
        <w:t xml:space="preserve">performance measure independently of the quality attributes above. The absence of any</w:t>
      </w:r>
      <w:r>
        <w:t xml:space="preserve"> </w:t>
      </w:r>
      <w:r>
        <w:t xml:space="preserve">significant interaction in either design means that no parameter is classified on the</w:t>
      </w:r>
      <w:r>
        <w:t xml:space="preserve"> </w:t>
      </w:r>
      <w:r>
        <w:t xml:space="preserve">strength of a combination effect. Every classification above rests on a main effect</w:t>
      </w:r>
      <w:r>
        <w:t xml:space="preserve"> </w:t>
      </w:r>
      <w:r>
        <w:t xml:space="preserve">demonstrated in its own right.</w:t>
      </w:r>
    </w:p>
    <w:bookmarkEnd w:id="77"/>
    <w:bookmarkStart w:id="78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four elements to the control strategy for the drug substance.</w:t>
      </w:r>
    </w:p>
    <w:p>
      <w:pPr>
        <w:pStyle w:val="BodyText"/>
      </w:pPr>
      <w:r>
        <w:t xml:space="preserve">Parameter control is the first. Inactivation pH is controlled to the normal operating range</w:t>
      </w:r>
      <w:r>
        <w:t xml:space="preserve"> </w:t>
      </w:r>
      <w:r>
        <w:t xml:space="preserve">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verified by an independent probe before the hold clock starts, which is</w:t>
      </w:r>
      <w:r>
        <w:t xml:space="preserve"> </w:t>
      </w:r>
      <w:r>
        <w:t xml:space="preserve">the in-process control that protects the clearance claim. Hold time is controlled to its</w:t>
      </w:r>
      <w:r>
        <w:t xml:space="preserve"> </w:t>
      </w:r>
      <w:r>
        <w:t xml:space="preserve">normal operating range with a minimum of 60 minutes,</w:t>
      </w:r>
      <w:r>
        <w:t xml:space="preserve"> </w:t>
      </w:r>
      <w:r>
        <w:t xml:space="preserve">and temperature to its normal operating range. A-Mab concentration is monitored and not</w:t>
      </w:r>
      <w:r>
        <w:t xml:space="preserve"> </w:t>
      </w:r>
      <w:r>
        <w:t xml:space="preserve">controlled to a range narrower than the eluate specification.</w:t>
      </w:r>
    </w:p>
    <w:p>
      <w:pPr>
        <w:pStyle w:val="BodyText"/>
      </w:pPr>
      <w:r>
        <w:t xml:space="preserve">Record integrity is the second, and it arises from one of the deviations described below.</w:t>
      </w:r>
      <w:r>
        <w:t xml:space="preserve"> </w:t>
      </w:r>
      <w:r>
        <w:t xml:space="preserve">The hold time recorded by the distributed control system is the controlled record for the</w:t>
      </w:r>
      <w:r>
        <w:t xml:space="preserve"> </w:t>
      </w:r>
      <w:r>
        <w:t xml:space="preserve">step, the manual log is a secondary record, and clock synchronisation between the two is</w:t>
      </w:r>
      <w:r>
        <w:t xml:space="preserve"> </w:t>
      </w:r>
      <w:r>
        <w:t xml:space="preserve">verified before execution. A discrepancy between them is treated as a deviation regardless</w:t>
      </w:r>
      <w:r>
        <w:t xml:space="preserve"> </w:t>
      </w:r>
      <w:r>
        <w:t xml:space="preserve">of magnitude.</w:t>
      </w:r>
    </w:p>
    <w:p>
      <w:pPr>
        <w:pStyle w:val="BodyText"/>
      </w:pPr>
      <w:r>
        <w:t xml:space="preserve">Monitoring and release testing are the third. The neutralised pool is tested for aggregate</w:t>
      </w:r>
      <w:r>
        <w:t xml:space="preserve"> </w:t>
      </w:r>
      <w:r>
        <w:t xml:space="preserve">by SEC-HPLC (AMV-3011) and the drug substance is tested for charge variants by icIEF</w:t>
      </w:r>
      <w:r>
        <w:t xml:space="preserve"> </w:t>
      </w:r>
      <w:r>
        <w:t xml:space="preserve">(AMV-3013), so both attributes this step affects are covered by release testing further</w:t>
      </w:r>
      <w:r>
        <w:t xml:space="preserve"> </w:t>
      </w:r>
      <w:r>
        <w:t xml:space="preserve">down the process.</w:t>
      </w:r>
      <w:r>
        <w:t xml:space="preserve"> </w:t>
      </w:r>
      <w:r>
        <w:t xml:space="preserve">Life-cycle control is the fourth, and it has two parts. The scale-down spiking model is</w:t>
      </w:r>
      <w:r>
        <w:t xml:space="preserve"> </w:t>
      </w:r>
      <w:r>
        <w:t xml:space="preserve">requalified on the schedule set by SOP-1001, and the parameter ranges above enter continued</w:t>
      </w:r>
      <w:r>
        <w:t xml:space="preserve"> </w:t>
      </w:r>
      <w:r>
        <w:t xml:space="preserve">process verification at commercial scale.</w:t>
      </w:r>
    </w:p>
    <w:p>
      <w:pPr>
        <w:pStyle w:val="BodyText"/>
      </w:pPr>
      <w:r>
        <w:t xml:space="preserve">The step does not deliver viral safety on its own. Its XMuLV increment is one of three</w:t>
      </w:r>
      <w:r>
        <w:t xml:space="preserve"> </w:t>
      </w:r>
      <w:r>
        <w:t xml:space="preserve">credited contributions (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), and it makes no contribution at all to the parvovirus</w:t>
      </w:r>
      <w:r>
        <w:t xml:space="preserve"> </w:t>
      </w:r>
      <w:r>
        <w:t xml:space="preserve">claim, which rests on the anion exchange step (PCR-008) and the small-virus retentive</w:t>
      </w:r>
      <w:r>
        <w:t xml:space="preserve"> </w:t>
      </w:r>
      <w:r>
        <w:t xml:space="preserve">filtration step (PCR-009). The enveloped-virus contributions are credited separately</w:t>
      </w:r>
      <w:r>
        <w:t xml:space="preserve"> </w:t>
      </w:r>
      <w:r>
        <w:t xml:space="preserve">because their mechanisms are independent, and the cumulative claim is consolidated in</w:t>
      </w:r>
      <w:r>
        <w:t xml:space="preserve"> </w:t>
      </w:r>
      <w:r>
        <w:t xml:space="preserve">PCMR-001. Aggregate control is shared with the cation exchange step (PCR-007), which</w:t>
      </w:r>
      <w:r>
        <w:t xml:space="preserve"> </w:t>
      </w:r>
      <w:r>
        <w:t xml:space="preserve">reduces the level this step delivers.</w:t>
      </w:r>
    </w:p>
    <w:bookmarkEnd w:id="78"/>
    <w:bookmarkStart w:id="79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 and its behaviour matches the mechanism assumed for it. The</w:t>
      </w:r>
      <w:r>
        <w:t xml:space="preserve"> </w:t>
      </w:r>
      <w:r>
        <w:t xml:space="preserve">kinetic factors (pH, hold time and temperature) act additively on the log reduction factor,</w:t>
      </w:r>
      <w:r>
        <w:t xml:space="preserve"> </w:t>
      </w:r>
      <w:r>
        <w:t xml:space="preserve">two of them act on aggregate, one of them acts on deamidation, and no interaction was found</w:t>
      </w:r>
      <w:r>
        <w:t xml:space="preserve"> </w:t>
      </w:r>
      <w:r>
        <w:t xml:space="preserve">in either design. The</w:t>
      </w:r>
      <w:r>
        <w:t xml:space="preserve"> </w:t>
      </w:r>
      <w:r>
        <w:t xml:space="preserve">operating region follows directly from those relationships, and the only boundary that</w:t>
      </w:r>
      <w:r>
        <w:t xml:space="preserve"> </w:t>
      </w:r>
      <w:r>
        <w:t xml:space="preserve">binds is the clearance requirement at the corner where the highest pH meets the shortest</w:t>
      </w:r>
      <w:r>
        <w:t xml:space="preserve"> </w:t>
      </w:r>
      <w:r>
        <w:t xml:space="preserve">hold and the lowest temperature. Prior knowledge from three earlier products predicted this</w:t>
      </w:r>
      <w:r>
        <w:t xml:space="preserve"> </w:t>
      </w:r>
      <w:r>
        <w:t xml:space="preserve">structure, and the study confirmed it rather than revising it.</w:t>
      </w:r>
    </w:p>
    <w:p>
      <w:pPr>
        <w:pStyle w:val="BodyText"/>
      </w:pPr>
      <w:r>
        <w:t xml:space="preserve">The adverse finding of the study is that corner, where 2 executed runs</w:t>
      </w:r>
      <w:r>
        <w:t xml:space="preserve"> </w:t>
      </w:r>
      <w:r>
        <w:t xml:space="preserve">returned log reduction factors below the contribution required of the step. The fitted</w:t>
      </w:r>
      <w:r>
        <w:t xml:space="preserve"> </w:t>
      </w:r>
      <w:r>
        <w:t xml:space="preserve">model agrees that the corner fails. The mitigating evidence is that the corner requires all three factors to be</w:t>
      </w:r>
      <w:r>
        <w:t xml:space="preserve"> </w:t>
      </w:r>
      <w:r>
        <w:t xml:space="preserve">at their least favourable edge at once, that the normal operating ranges are far from it,</w:t>
      </w:r>
      <w:r>
        <w:t xml:space="preserve"> </w:t>
      </w:r>
      <w:r>
        <w:t xml:space="preserve">and that the predicted margin at the least favourable corner of those ranges is</w:t>
      </w:r>
      <w:r>
        <w:t xml:space="preserve"> </w:t>
      </w:r>
      <w:r>
        <w:t xml:space="preserve">1.50 log₁₀. The residual position is that the corner is</w:t>
      </w:r>
      <w:r>
        <w:t xml:space="preserve"> </w:t>
      </w:r>
      <w:r>
        <w:t xml:space="preserve">excluded from the design space and the step is not operated there.</w:t>
      </w:r>
    </w:p>
    <w:p>
      <w:pPr>
        <w:pStyle w:val="BodyText"/>
      </w:pPr>
      <w:r>
        <w:t xml:space="preserve">Confidence in the scale-down model is high for the operating ranges and is necessarily</w:t>
      </w:r>
      <w:r>
        <w:t xml:space="preserve"> </w:t>
      </w:r>
      <w:r>
        <w:t xml:space="preserve">qualified for the clearance claim. The hold is a homogeneous reaction in which the</w:t>
      </w:r>
      <w:r>
        <w:t xml:space="preserve"> </w:t>
      </w:r>
      <w:r>
        <w:t xml:space="preserve">controlling variables are scale-independent, so the model reproduces the commercial step by</w:t>
      </w:r>
      <w:r>
        <w:t xml:space="preserve"> </w:t>
      </w:r>
      <w:r>
        <w:t xml:space="preserve">construction and its qualification confirmed that it does. The clearance data are a</w:t>
      </w:r>
      <w:r>
        <w:t xml:space="preserve"> </w:t>
      </w:r>
      <w:r>
        <w:t xml:space="preserve">different matter. They are generated with a laboratory virus preparation (a cultured XMuLV stock) spiked</w:t>
      </w:r>
      <w:r>
        <w:t xml:space="preserve"> </w:t>
      </w:r>
      <w:r>
        <w:t xml:space="preserve">into the feed. The relationship between that preparation and an adventitious contaminant is</w:t>
      </w:r>
      <w:r>
        <w:t xml:space="preserve"> </w:t>
      </w:r>
      <w:r>
        <w:t xml:space="preserve">an assumption of the method and not a result of this study</w:t>
      </w:r>
      <w:r>
        <w:t xml:space="preserve"> </w:t>
      </w:r>
      <w:r>
        <w:t xml:space="preserve">(International Council for Harmonisation 2023a)</w:t>
      </w:r>
      <w:r>
        <w:t xml:space="preserve">. That assumption is common</w:t>
      </w:r>
      <w:r>
        <w:t xml:space="preserve"> </w:t>
      </w:r>
      <w:r>
        <w:t xml:space="preserve">to every modular clearance claim and is managed by the conservatism built into the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Three further limitations should be recorded. The response-surface model for the log</w:t>
      </w:r>
      <w:r>
        <w:t xml:space="preserve"> </w:t>
      </w:r>
      <w:r>
        <w:t xml:space="preserve">reduction factor has a low predicted coefficient of determination, because the infectivity</w:t>
      </w:r>
      <w:r>
        <w:t xml:space="preserve"> </w:t>
      </w:r>
      <w:r>
        <w:t xml:space="preserve">assay contributes a large part of the observed variance, and it should be read as a model</w:t>
      </w:r>
      <w:r>
        <w:t xml:space="preserve"> </w:t>
      </w:r>
      <w:r>
        <w:t xml:space="preserve">of mean behaviour and not as a batch-level assurance statement. The design space has not</w:t>
      </w:r>
      <w:r>
        <w:t xml:space="preserve"> </w:t>
      </w:r>
      <w:r>
        <w:t xml:space="preserve">been confirmed at commercial scale at the edges of the ranges, which is a general property</w:t>
      </w:r>
      <w:r>
        <w:t xml:space="preserve"> </w:t>
      </w:r>
      <w:r>
        <w:t xml:space="preserve">of characterization work and is addressed by Stage 2. The acidic charge variant response</w:t>
      </w:r>
      <w:r>
        <w:t xml:space="preserve"> </w:t>
      </w:r>
      <w:r>
        <w:t xml:space="preserve">returned no replicate variation in either design, so the study bounds the magnitude of the</w:t>
      </w:r>
      <w:r>
        <w:t xml:space="preserve"> </w:t>
      </w:r>
      <w:r>
        <w:t xml:space="preserve">deamidation increment but provides no useful estimate of its variability.</w:t>
      </w:r>
    </w:p>
    <w:p>
      <w:pPr>
        <w:pStyle w:val="BodyText"/>
      </w:pPr>
      <w:r>
        <w:t xml:space="preserve">The study recorded 2 deviations, and both were dispositioned as retained.</w:t>
      </w:r>
      <w:r>
        <w:t xml:space="preserve"> </w:t>
      </w:r>
      <w:r>
        <w:t xml:space="preserve">Neither changed a fitted effect, a parameter classification or the operating region, and both are described</w:t>
      </w:r>
      <w:r>
        <w:t xml:space="preserve"> </w:t>
      </w:r>
      <w:r>
        <w:t xml:space="preserve">in full in the deviations section below. One of them produced a lasting control, which is</w:t>
      </w:r>
      <w:r>
        <w:t xml:space="preserve"> </w:t>
      </w:r>
      <w:r>
        <w:t xml:space="preserve">the record integrity element of the control strategy above.</w:t>
      </w:r>
    </w:p>
    <w:p>
      <w:pPr>
        <w:pStyle w:val="BodyText"/>
      </w:pPr>
      <w:r>
        <w:t xml:space="preserve">Only one parameter of this step needs the most stringent control. Inactivation pH is</w:t>
      </w:r>
      <w:r>
        <w:t xml:space="preserve"> </w:t>
      </w:r>
      <w:r>
        <w:t xml:space="preserve">classified as a critical process parameter, and hold time and temperature are</w:t>
      </w:r>
      <w:r>
        <w:t xml:space="preserve"> </w:t>
      </w:r>
      <w:r>
        <w:t xml:space="preserve">well-controlled critical process parameters, which reflects the ease with which a timer and</w:t>
      </w:r>
      <w:r>
        <w:t xml:space="preserve"> </w:t>
      </w:r>
      <w:r>
        <w:t xml:space="preserve">a jacket hold their targets compared with the consequence of a titration error.</w:t>
      </w:r>
    </w:p>
    <w:bookmarkEnd w:id="79"/>
    <w:bookmarkStart w:id="80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low-pH viral inactivation step is characterized and its operating region is defined.</w:t>
      </w:r>
      <w:r>
        <w:t xml:space="preserve"> </w:t>
      </w:r>
      <w:r>
        <w:t xml:space="preserve">The step has 4 parameters, of which 3 were studied</w:t>
      </w:r>
      <w:r>
        <w:t xml:space="preserve"> </w:t>
      </w:r>
      <w:r>
        <w:t xml:space="preserve">multivariately and 1 univariately. Inactivation pH is a</w:t>
      </w:r>
      <w:r>
        <w:t xml:space="preserve"> </w:t>
      </w:r>
      <w:r>
        <w:t xml:space="preserve">critical process parameter, hold time and temperature are well-controlled critical process</w:t>
      </w:r>
      <w:r>
        <w:t xml:space="preserve"> </w:t>
      </w:r>
      <w:r>
        <w:t xml:space="preserve">parameters, and A-Mab concentration is a general process parameter.</w:t>
      </w:r>
    </w:p>
    <w:p>
      <w:pPr>
        <w:pStyle w:val="BodyText"/>
      </w:pPr>
      <w:r>
        <w:t xml:space="preserve">The response-surface models define a region covering the characterized ranges of pH, hold</w:t>
      </w:r>
      <w:r>
        <w:t xml:space="preserve"> </w:t>
      </w:r>
      <w:r>
        <w:t xml:space="preserve">time and temperature, less the corner that combines the highest pH with the shortest hold</w:t>
      </w:r>
      <w:r>
        <w:t xml:space="preserve"> </w:t>
      </w:r>
      <w:r>
        <w:t xml:space="preserve">and the lowest temperature. Within that region the XMuLV log reduction factor meets the</w:t>
      </w:r>
      <w:r>
        <w:t xml:space="preserve"> </w:t>
      </w:r>
      <w:r>
        <w:t xml:space="preserve">step contribution of 4.93 log₁₀ required by the cumulative claim,</w:t>
      </w:r>
      <w:r>
        <w:t xml:space="preserve"> </w:t>
      </w:r>
      <w:r>
        <w:t xml:space="preserve">the pool aggregate stays below 5 % and the acidic charge variants</w:t>
      </w:r>
      <w:r>
        <w:t xml:space="preserve"> </w:t>
      </w:r>
      <w:r>
        <w:t xml:space="preserve">stay below 40 %. The normal operating ranges lie inside the region</w:t>
      </w:r>
      <w:r>
        <w:t xml:space="preserve"> </w:t>
      </w:r>
      <w:r>
        <w:t xml:space="preserve">with a predicted clearance margin of 1.50 log₁₀ at their</w:t>
      </w:r>
      <w:r>
        <w:t xml:space="preserve"> </w:t>
      </w:r>
      <w:r>
        <w:t xml:space="preserve">least favourable corner.</w:t>
      </w:r>
    </w:p>
    <w:p>
      <w:pPr>
        <w:pStyle w:val="BodyText"/>
      </w:pPr>
      <w:r>
        <w:t xml:space="preserve">At commercial scale the cumulative XMuLV clearance has a one-sided Cpk of</w:t>
      </w:r>
      <w:r>
        <w:t xml:space="preserve"> </w:t>
      </w:r>
      <w:r>
        <w:t xml:space="preserve">1.53 and a margin of 2.81 log₁₀ to</w:t>
      </w:r>
      <w:r>
        <w:t xml:space="preserve"> </w:t>
      </w:r>
      <w:r>
        <w:t xml:space="preserve">its requirement, which is the tightest of the attributes this step governs. The study</w:t>
      </w:r>
      <w:r>
        <w:t xml:space="preserve"> </w:t>
      </w:r>
      <w:r>
        <w:t xml:space="preserve">recorded 2 deviations, and both were resolved without changing a fitted</w:t>
      </w:r>
      <w:r>
        <w:t xml:space="preserve"> </w:t>
      </w:r>
      <w:r>
        <w:t xml:space="preserve">effect, a parameter classification or the reported operating region. The</w:t>
      </w:r>
      <w:r>
        <w:t xml:space="preserve"> </w:t>
      </w:r>
      <w:r>
        <w:t xml:space="preserve">step assures a defined enveloped-virus inactivation increment within bounded product</w:t>
      </w:r>
      <w:r>
        <w:t xml:space="preserve"> </w:t>
      </w:r>
      <w:r>
        <w:t xml:space="preserve">quality cost. It does not assure the viral safety of the drug substance by itself, and it</w:t>
      </w:r>
      <w:r>
        <w:t xml:space="preserve"> </w:t>
      </w:r>
      <w:r>
        <w:t xml:space="preserve">makes no parvovirus claim. The findings roll up into PCMR-001.</w:t>
      </w:r>
    </w:p>
    <w:bookmarkEnd w:id="80"/>
    <w:bookmarkStart w:id="84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The study recorded 2 deviations during execution. Each was investigated,</w:t>
      </w:r>
      <w:r>
        <w:t xml:space="preserve"> </w:t>
      </w:r>
      <w:r>
        <w:t xml:space="preserve">its root cause was established, its impact on the reported results was assessed, and both</w:t>
      </w:r>
      <w:r>
        <w:t xml:space="preserve"> </w:t>
      </w:r>
      <w:r>
        <w:t xml:space="preserve">were dispositioned as retained. 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each is described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Deviations recorded during execution of PCR-006.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3"/>
              <w:gridCol w:w="3960"/>
              <w:gridCol w:w="2014"/>
              <w:gridCol w:w="10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Hold-time record discrepancy between DCS and manual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batch-record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assay 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assay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Both entries in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were found after the affected runs were complete, one at</w:t>
      </w:r>
      <w:r>
        <w:t xml:space="preserve"> </w:t>
      </w:r>
      <w:r>
        <w:t xml:space="preserve">batch-record reconciliation and one at assay review. Neither was detected by an</w:t>
      </w:r>
      <w:r>
        <w:t xml:space="preserve"> </w:t>
      </w:r>
      <w:r>
        <w:t xml:space="preserve">in-process control at the time it occurred. The two post-execution checks that did find</w:t>
      </w:r>
      <w:r>
        <w:t xml:space="preserve"> </w:t>
      </w:r>
      <w:r>
        <w:t xml:space="preserve">them are part of the study record, and both are described below.</w:t>
      </w:r>
    </w:p>
    <w:bookmarkStart w:id="82" w:name="dev-006-01-hold-time-record-discrepancy"/>
    <w:p>
      <w:pPr>
        <w:pStyle w:val="Heading2"/>
      </w:pPr>
      <w:r>
        <w:t xml:space="preserve">13.1 DEV-006-01: hold-time record discrepancy</w:t>
      </w:r>
    </w:p>
    <w:p>
      <w:pPr>
        <w:pStyle w:val="FirstParagraph"/>
      </w:pPr>
      <w:r>
        <w:t xml:space="preserve">The recorded hold time for one run differed between two sources by</w:t>
      </w:r>
      <w:r>
        <w:t xml:space="preserve"> </w:t>
      </w:r>
      <w:r>
        <w:t xml:space="preserve">4 minutes. The distributed control system trend</w:t>
      </w:r>
      <w:r>
        <w:t xml:space="preserve"> </w:t>
      </w:r>
      <w:r>
        <w:t xml:space="preserve">and the manual batch record disagreed, and the discrepancy was found during batch-record</w:t>
      </w:r>
      <w:r>
        <w:t xml:space="preserve"> </w:t>
      </w:r>
      <w:r>
        <w:t xml:space="preserve">reconciliation after the run was complete. Until it was resolved, the hold time actually</w:t>
      </w:r>
      <w:r>
        <w:t xml:space="preserve"> </w:t>
      </w:r>
      <w:r>
        <w:t xml:space="preserve">applied to that run was uncertain by that margin.</w:t>
      </w:r>
    </w:p>
    <w:p>
      <w:pPr>
        <w:pStyle w:val="BodyText"/>
      </w:pPr>
      <w:r>
        <w:t xml:space="preserve">The investigation compared the timestamps of the two systems against a reference clock and</w:t>
      </w:r>
      <w:r>
        <w:t xml:space="preserve"> </w:t>
      </w:r>
      <w:r>
        <w:t xml:space="preserve">found an offset between the distributed control system clock and the local panel clock used</w:t>
      </w:r>
      <w:r>
        <w:t xml:space="preserve"> </w:t>
      </w:r>
      <w:r>
        <w:t xml:space="preserve">by the operator. The distributed control system record was confirmed as the accurate one</w:t>
      </w:r>
      <w:r>
        <w:t xml:space="preserve"> </w:t>
      </w:r>
      <w:r>
        <w:t xml:space="preserve">and as the controlled record for the step. No equipment fault was found, and no other run</w:t>
      </w:r>
      <w:r>
        <w:t xml:space="preserve"> </w:t>
      </w:r>
      <w:r>
        <w:t xml:space="preserve">of either design was affected.</w:t>
      </w:r>
    </w:p>
    <w:p>
      <w:pPr>
        <w:pStyle w:val="BodyText"/>
      </w:pPr>
      <w:r>
        <w:t xml:space="preserve">The impact on the study is negligible on two grounds. The uncertainty of</w:t>
      </w:r>
      <w:r>
        <w:t xml:space="preserve"> </w:t>
      </w:r>
      <w:r>
        <w:t xml:space="preserve">4 minutes is small against the characterization</w:t>
      </w:r>
      <w:r>
        <w:t xml:space="preserve"> </w:t>
      </w:r>
      <w:r>
        <w:t xml:space="preserve">range for hold time, which spans</w:t>
      </w:r>
      <w:r>
        <w:t xml:space="preserve"> </w:t>
      </w:r>
      <w:r>
        <w:t xml:space="preserve">60 to</w:t>
      </w:r>
      <w:r>
        <w:t xml:space="preserve"> </w:t>
      </w:r>
      <w:r>
        <w:t xml:space="preserve">180 minutes, so the run sits inside the studied</w:t>
      </w:r>
      <w:r>
        <w:t xml:space="preserve"> </w:t>
      </w:r>
      <w:r>
        <w:t xml:space="preserve">range under either record. The effect of that uncertainty on the response is smaller still.</w:t>
      </w:r>
      <w:r>
        <w:t xml:space="preserve"> </w:t>
      </w:r>
      <w:r>
        <w:t xml:space="preserve">Evaluating the fitted model at the set-point and again</w:t>
      </w:r>
      <w:r>
        <w:t xml:space="preserve"> </w:t>
      </w:r>
      <w:r>
        <w:t xml:space="preserve">4 minutes later changes the predicted log</w:t>
      </w:r>
      <w:r>
        <w:t xml:space="preserve"> </w:t>
      </w:r>
      <w:r>
        <w:t xml:space="preserve">reduction factor by 0.024 log₁₀, which is an order of</w:t>
      </w:r>
      <w:r>
        <w:t xml:space="preserve"> </w:t>
      </w:r>
      <w:r>
        <w:t xml:space="preserve">magnitude below the residual standard error of the model</w:t>
      </w:r>
      <w:r>
        <w:t xml:space="preserve"> </w:t>
      </w:r>
      <w:r>
        <w:t xml:space="preserve">(0.37 log₁₀). The run was retained with the</w:t>
      </w:r>
      <w:r>
        <w:t xml:space="preserve"> </w:t>
      </w:r>
      <w:r>
        <w:t xml:space="preserve">distributed control system value, and the fitted effects are unchanged. The deviation</w:t>
      </w:r>
      <w:r>
        <w:t xml:space="preserve"> </w:t>
      </w:r>
      <w:r>
        <w:t xml:space="preserve">produced the record integrity control described in the control strategy section above.</w:t>
      </w:r>
    </w:p>
    <w:bookmarkEnd w:id="82"/>
    <w:bookmarkStart w:id="83" w:name="Xdc6165fcedc2c7eed332d295db2045eadfa502f"/>
    <w:p>
      <w:pPr>
        <w:pStyle w:val="Heading2"/>
      </w:pPr>
      <w:r>
        <w:t xml:space="preserve">13.2 DEV-006-02: infectivity assay cytotoxicity at low dilution</w:t>
      </w:r>
    </w:p>
    <w:p>
      <w:pPr>
        <w:pStyle w:val="FirstParagraph"/>
      </w:pPr>
      <w:r>
        <w:t xml:space="preserve">The sample matrix was cytotoxic to the indicator cell line at the lowest dilutions of the</w:t>
      </w:r>
      <w:r>
        <w:t xml:space="preserve"> </w:t>
      </w:r>
      <w:r>
        <w:t xml:space="preserve">infectivity titration, so those wells could not be scored. The finding was made at assay</w:t>
      </w:r>
      <w:r>
        <w:t xml:space="preserve"> </w:t>
      </w:r>
      <w:r>
        <w:t xml:space="preserve">review of the titration records. Titres for the affected samples were calculated</w:t>
      </w:r>
      <w:r>
        <w:t xml:space="preserve"> </w:t>
      </w:r>
      <w:r>
        <w:t xml:space="preserve">from a dilution of one in 8 and above, following the</w:t>
      </w:r>
      <w:r>
        <w:t xml:space="preserve"> </w:t>
      </w:r>
      <w:r>
        <w:t xml:space="preserve">cytotoxicity provisions of AMV-3017. Excluding the lowest dilutions raises the effective</w:t>
      </w:r>
      <w:r>
        <w:t xml:space="preserve"> </w:t>
      </w:r>
      <w:r>
        <w:t xml:space="preserve">quantitation limit for those samples by 0.90 log₁₀ above the</w:t>
      </w:r>
      <w:r>
        <w:t xml:space="preserve"> </w:t>
      </w:r>
      <w:r>
        <w:t xml:space="preserve">validated limit of 1.5 log₁₀ TCID50/mL.</w:t>
      </w:r>
    </w:p>
    <w:p>
      <w:pPr>
        <w:pStyle w:val="BodyText"/>
      </w:pPr>
      <w:r>
        <w:t xml:space="preserve">The root cause is the sample matrix itself. The post-hold samples are at low pH and carry</w:t>
      </w:r>
      <w:r>
        <w:t xml:space="preserve"> </w:t>
      </w:r>
      <w:r>
        <w:t xml:space="preserve">the acid titrant, and both are toxic to the indicator cells at low dilution. This is a</w:t>
      </w:r>
      <w:r>
        <w:t xml:space="preserve"> </w:t>
      </w:r>
      <w:r>
        <w:t xml:space="preserve">known property of low-pH hold samples and is the reason AMV-3017 carries a cytotoxicity</w:t>
      </w:r>
      <w:r>
        <w:t xml:space="preserve"> </w:t>
      </w:r>
      <w:r>
        <w:t xml:space="preserve">control. No assay fault and no sample handling error were identified.</w:t>
      </w:r>
    </w:p>
    <w:p>
      <w:pPr>
        <w:pStyle w:val="BodyText"/>
      </w:pPr>
      <w:r>
        <w:t xml:space="preserve">The consequence for the reported data is a conservative bias in one direction only. Where</w:t>
      </w:r>
      <w:r>
        <w:t xml:space="preserve"> </w:t>
      </w:r>
      <w:r>
        <w:t xml:space="preserve">a post-hold titre could not be resolved below the raised quantitation limit, the log</w:t>
      </w:r>
      <w:r>
        <w:t xml:space="preserve"> </w:t>
      </w:r>
      <w:r>
        <w:t xml:space="preserve">reduction factor reported for that run is a minimum, so the true clearance is at least the</w:t>
      </w:r>
      <w:r>
        <w:t xml:space="preserve"> </w:t>
      </w:r>
      <w:r>
        <w:t xml:space="preserve">value used in the analysis. A bias of that sign cannot create an apparent clearance that</w:t>
      </w:r>
      <w:r>
        <w:t xml:space="preserve"> </w:t>
      </w:r>
      <w:r>
        <w:t xml:space="preserve">does not exist, and it cannot mask a failing corner, since it can only make a reported</w:t>
      </w:r>
      <w:r>
        <w:t xml:space="preserve"> </w:t>
      </w:r>
      <w:r>
        <w:t xml:space="preserve">value too small. The centre-point reproducibility of the assay across</w:t>
      </w:r>
      <w:r>
        <w:t xml:space="preserve"> </w:t>
      </w:r>
      <w:r>
        <w:t xml:space="preserve">4 replicate runs, at 0.38 log₁₀,</w:t>
      </w:r>
      <w:r>
        <w:t xml:space="preserve"> </w:t>
      </w:r>
      <w:r>
        <w:t xml:space="preserve">remains consistent with the validated intermediate precision of the method. The affected</w:t>
      </w:r>
      <w:r>
        <w:t xml:space="preserve"> </w:t>
      </w:r>
      <w:r>
        <w:t xml:space="preserve">results were retained and the analysis was not repeated.</w:t>
      </w:r>
    </w:p>
    <w:bookmarkEnd w:id="83"/>
    <w:bookmarkEnd w:id="84"/>
    <w:bookmarkStart w:id="102" w:name="appendices-ad"/>
    <w:p>
      <w:pPr>
        <w:pStyle w:val="Heading1"/>
      </w:pPr>
      <w:r>
        <w:t xml:space="preserve">14. Appendices A–D</w:t>
      </w:r>
    </w:p>
    <w:p>
      <w:pPr>
        <w:pStyle w:val="FirstParagraph"/>
      </w:pPr>
      <w:r>
        <w:t xml:space="preserve">The appendices carry the full design matrices, the complete effect and coefficient tables</w:t>
      </w:r>
      <w:r>
        <w:t xml:space="preserve"> </w:t>
      </w:r>
      <w:r>
        <w:t xml:space="preserve">for every response, and the analytical methods summary. Tables shown in the results</w:t>
      </w:r>
      <w:r>
        <w:t xml:space="preserve"> </w:t>
      </w:r>
      <w:r>
        <w:t xml:space="preserve">sections above are not repeated here.</w:t>
      </w:r>
    </w:p>
    <w:bookmarkStart w:id="87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settings of the 11 screening runs are given in</w:t>
      </w:r>
      <w:r>
        <w:t xml:space="preserve"> </w:t>
      </w:r>
      <w:hyperlink w:anchor="tbl-appa-design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the measured responses in</w:t>
      </w:r>
      <w:r>
        <w:t xml:space="preserve"> </w:t>
      </w:r>
      <w:hyperlink w:anchor="tbl-appa-resp">
        <w:r>
          <w:rPr>
            <w:rStyle w:val="Hyperlink"/>
          </w:rPr>
          <w:t xml:space="preserve">Table 21</w:t>
        </w:r>
      </w:hyperlink>
      <w:r>
        <w:t xml:space="preserve">. Factor letters are defined in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a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design,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appa-res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Screening design,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2602"/>
              <w:gridCol w:w="2376"/>
              <w:gridCol w:w="21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</w:tbl>
          <w:bookmarkEnd w:id="86"/>
          <w:p/>
        </w:tc>
      </w:tr>
    </w:tbl>
    <w:bookmarkEnd w:id="87"/>
    <w:bookmarkStart w:id="90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settings of the 18 response-surface runs are given in</w:t>
      </w:r>
      <w:r>
        <w:t xml:space="preserve"> </w:t>
      </w:r>
      <w:hyperlink w:anchor="tbl-appb-design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and the measured responses in</w:t>
      </w:r>
      <w:r>
        <w:t xml:space="preserve"> </w:t>
      </w:r>
      <w:hyperlink w:anchor="tbl-appb-resp">
        <w:r>
          <w:rPr>
            <w:rStyle w:val="Hyperlink"/>
          </w:rPr>
          <w:t xml:space="preserve">Table 23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b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Response-surface design,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b-res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Response-surface design,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2602"/>
              <w:gridCol w:w="2376"/>
              <w:gridCol w:w="21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</w:tbl>
          <w:bookmarkEnd w:id="89"/>
          <w:p/>
        </w:tc>
      </w:tr>
    </w:tbl>
    <w:bookmarkEnd w:id="90"/>
    <w:bookmarkStart w:id="99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complete screening effect tables for all three responses are given in</w:t>
      </w:r>
      <w:r>
        <w:t xml:space="preserve"> </w:t>
      </w:r>
      <w:hyperlink w:anchor="tbl-appc-agg">
        <w:r>
          <w:rPr>
            <w:rStyle w:val="Hyperlink"/>
          </w:rPr>
          <w:t xml:space="preserve">Table 24</w:t>
        </w:r>
      </w:hyperlink>
      <w:r>
        <w:t xml:space="preserve">,</w:t>
      </w:r>
      <w:r>
        <w:t xml:space="preserve"> </w:t>
      </w:r>
      <w:hyperlink w:anchor="tbl-appc-lrf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-acv">
        <w:r>
          <w:rPr>
            <w:rStyle w:val="Hyperlink"/>
          </w:rPr>
          <w:t xml:space="preserve">Table 26</w:t>
        </w:r>
      </w:hyperlink>
      <w:r>
        <w:t xml:space="preserve">. The response-surface coefficient table for the acidic</w:t>
      </w:r>
      <w:r>
        <w:t xml:space="preserve"> </w:t>
      </w:r>
      <w:r>
        <w:t xml:space="preserve">charge variant response, which is not shown in the results sections, is given in</w:t>
      </w:r>
      <w:r>
        <w:t xml:space="preserve"> </w:t>
      </w:r>
      <w:hyperlink w:anchor="tbl-appc-coef-acv">
        <w:r>
          <w:rPr>
            <w:rStyle w:val="Hyperlink"/>
          </w:rPr>
          <w:t xml:space="preserve">Table 27</w:t>
        </w:r>
      </w:hyperlink>
      <w:r>
        <w:t xml:space="preserve">. The diagnostics for the pool aggregate response-surface model are</w:t>
      </w:r>
      <w:r>
        <w:t xml:space="preserve"> </w:t>
      </w:r>
      <w:r>
        <w:t xml:space="preserve">given in</w:t>
      </w:r>
      <w:r>
        <w:t xml:space="preserve"> </w:t>
      </w:r>
      <w:hyperlink w:anchor="fig-diag-agg">
        <w:r>
          <w:rPr>
            <w:rStyle w:val="Hyperlink"/>
          </w:rPr>
          <w:t xml:space="preserve">Figure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c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Screening effects on the pool aggregate level, all terms.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c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Screening effects on the XMuLV log reduction factor, all terms.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c-a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Screening effects on the acidic charge variant level, all terms. The estimates other than</w:t>
            </w:r>
            <w:r>
              <w:t xml:space="preserve"> </w:t>
            </w:r>
            <w:r>
              <w:t xml:space="preserve">hold time are at the level of floating-point arithmetic and are not physical effects.</w:t>
            </w: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7"/>
              <w:gridCol w:w="1193"/>
              <w:gridCol w:w="1193"/>
              <w:gridCol w:w="1410"/>
              <w:gridCol w:w="1193"/>
              <w:gridCol w:w="1193"/>
              <w:gridCol w:w="8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4.86e+13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1.08e-54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-5.35e-15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appc-coef-a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Response-surface coefficients for the acidic charge variant level, all terms.</w:t>
            </w: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6.11e+15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5.79e-124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1.32e-108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agg-output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Model diagnostics for the pool aggregate response-surface model.</w:t>
            </w:r>
          </w:p>
          <w:bookmarkEnd w:id="98"/>
        </w:tc>
      </w:tr>
    </w:tbl>
    <w:bookmarkEnd w:id="99"/>
    <w:bookmarkStart w:id="101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methods used in this study are summarized in</w:t>
      </w:r>
      <w:r>
        <w:t xml:space="preserve"> </w:t>
      </w:r>
      <w:hyperlink w:anchor="tbl-appd">
        <w:r>
          <w:rPr>
            <w:rStyle w:val="Hyperlink"/>
          </w:rPr>
          <w:t xml:space="preserve">Table 28</w:t>
        </w:r>
      </w:hyperlink>
      <w:r>
        <w:t xml:space="preserve">. Method performance</w:t>
      </w:r>
      <w:r>
        <w:t xml:space="preserve"> </w:t>
      </w:r>
      <w:r>
        <w:t xml:space="preserve">characteristics are held in the validation reports listed in</w:t>
      </w:r>
      <w:r>
        <w:t xml:space="preserve"> </w:t>
      </w:r>
      <w:hyperlink w:anchor="tbl-sop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Analytical methods applied to the low-pH viral inactivation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9"/>
              <w:gridCol w:w="2687"/>
              <w:gridCol w:w="2192"/>
              <w:gridCol w:w="21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infectivity titration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 reduction factor (log10)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molecular weight species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 cent HMW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 cent acidic</w:t>
                  </w:r>
                </w:p>
              </w:tc>
            </w:tr>
          </w:tbl>
          <w:bookmarkEnd w:id="100"/>
          <w:p/>
        </w:tc>
      </w:tr>
    </w:tbl>
    <w:bookmarkEnd w:id="101"/>
    <w:bookmarkEnd w:id="102"/>
    <w:bookmarkStart w:id="110" w:name="references"/>
    <w:p>
      <w:pPr>
        <w:pStyle w:val="Heading1"/>
      </w:pPr>
      <w:r>
        <w:t xml:space="preserve">References</w:t>
      </w:r>
    </w:p>
    <w:bookmarkStart w:id="109" w:name="refs"/>
    <w:bookmarkStart w:id="10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03"/>
    <w:bookmarkStart w:id="10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4"/>
    <w:bookmarkStart w:id="10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5"/>
    <w:bookmarkStart w:id="10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06"/>
    <w:bookmarkStart w:id="10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7"/>
    <w:bookmarkStart w:id="10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95" Target="media/rId95.png" /><Relationship Type="http://schemas.openxmlformats.org/officeDocument/2006/relationships/image" Id="rId52" Target="media/rId52.png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2026-08-02T19:08:02Z</dcterms:created>
  <dcterms:modified xsi:type="dcterms:W3CDTF">2026-08-02T19:08:02Z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PCR-006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