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55.png" ContentType="image/png"/>
  <Override PartName="/word/media/rId65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Small-Virus Retentive Filtration (Step 9) — PCR-009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Small-Virus Retentive Filtration (Step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AMV, analytical method validation; CPP, critical process</w:t>
      </w:r>
      <w:r>
        <w:t xml:space="preserve"> </w:t>
      </w:r>
      <w:r>
        <w:t xml:space="preserve">parameter; Cpk, one-sided process capability index; CQA, critical quality attribute; %CV,</w:t>
      </w:r>
      <w:r>
        <w:t xml:space="preserve"> </w:t>
      </w:r>
      <w:r>
        <w:t xml:space="preserve">coefficient of variation; ICH, International Council for Harmonisation; LOQ, limit of</w:t>
      </w:r>
      <w:r>
        <w:t xml:space="preserve"> </w:t>
      </w:r>
      <w:r>
        <w:t xml:space="preserve">quantitation; LRF, log reduction factor; MSAT, Manufacturing Science and Technology; MVM,</w:t>
      </w:r>
      <w:r>
        <w:t xml:space="preserve"> </w:t>
      </w:r>
      <w:r>
        <w:t xml:space="preserve">minute virus of mice; NOR, normal operating range; PAR, proven acceptable range; PRESS,</w:t>
      </w:r>
      <w:r>
        <w:t xml:space="preserve"> </w:t>
      </w:r>
      <w:r>
        <w:t xml:space="preserve">predicted residual error sum of squares; qPCR, quantitative polymerase chain reaction; RMSE,</w:t>
      </w:r>
      <w:r>
        <w:t xml:space="preserve"> </w:t>
      </w:r>
      <w:r>
        <w:t xml:space="preserve">root mean square error; SOP, standard operating procedure; TCID50, median tissue culture</w:t>
      </w:r>
      <w:r>
        <w:t xml:space="preserve"> </w:t>
      </w:r>
      <w:r>
        <w:t xml:space="preserve">infective dose; UF/DF, ultrafiltration and diafiltration; WC-CPP, well-controlled critical</w:t>
      </w:r>
      <w:r>
        <w:t xml:space="preserve"> </w:t>
      </w:r>
      <w:r>
        <w:t xml:space="preserve">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Small-virus retentive filtration removes non-enveloped virus from the anion exchange</w:t>
      </w:r>
      <w:r>
        <w:t xml:space="preserve"> </w:t>
      </w:r>
      <w:r>
        <w:t xml:space="preserve">flow-through pool by size exclusion, and it is the largest single contributor to the</w:t>
      </w:r>
      <w:r>
        <w:t xml:space="preserve"> </w:t>
      </w:r>
      <w:r>
        <w:t xml:space="preserve">parvovirus clearance claimed for A-Mab drug substance. The step is operated in single pass</w:t>
      </w:r>
      <w:r>
        <w:t xml:space="preserve"> </w:t>
      </w:r>
      <w:r>
        <w:t xml:space="preserve">across a dedicated retentive membrane, at a controlled pressure and to a defined volumetric</w:t>
      </w:r>
      <w:r>
        <w:t xml:space="preserve"> </w:t>
      </w:r>
      <w:r>
        <w:t xml:space="preserve">load. This report presents the Stage 1 characterization executed against PCP-009 on a</w:t>
      </w:r>
      <w:r>
        <w:t xml:space="preserve"> </w:t>
      </w:r>
      <w:r>
        <w:t xml:space="preserve">qualified small-scale spiking model. The work follows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2011)</w:t>
      </w:r>
      <w:r>
        <w:t xml:space="preserve">, the enhanced development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 </w:t>
      </w:r>
      <w:r>
        <w:t xml:space="preserve">and the viral safety evaluation framework of ICH Q5A(R2)</w:t>
      </w:r>
      <w:r>
        <w:t xml:space="preserve"> </w:t>
      </w:r>
      <w:r>
        <w:t xml:space="preserve">(International Council for Harmonisation 2023a)</w:t>
      </w:r>
      <w:r>
        <w:t xml:space="preserve">. The process</w:t>
      </w:r>
      <w:r>
        <w:t xml:space="preserve"> </w:t>
      </w:r>
      <w:r>
        <w:t xml:space="preserve">model, the criticality framework and the risk-ranking method are taken from the A-Mab case</w:t>
      </w:r>
      <w:r>
        <w:t xml:space="preserve"> </w:t>
      </w:r>
      <w:r>
        <w:t xml:space="preserve">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Both parameters carried into the study, filtration volume and filtration pressure, are</w:t>
      </w:r>
      <w:r>
        <w:t xml:space="preserve"> </w:t>
      </w:r>
      <w:r>
        <w:t xml:space="preserve">classified as well-controlled critical process parameters. The step has no critical process</w:t>
      </w:r>
      <w:r>
        <w:t xml:space="preserve"> </w:t>
      </w:r>
      <w:r>
        <w:t xml:space="preserve">parameter and no key process parameter. Three responses were measured across a screening</w:t>
      </w:r>
      <w:r>
        <w:t xml:space="preserve"> </w:t>
      </w:r>
      <w:r>
        <w:t xml:space="preserve">design of 7 runs and a response-surface design of</w:t>
      </w:r>
      <w:r>
        <w:t xml:space="preserve"> </w:t>
      </w:r>
      <w:r>
        <w:t xml:space="preserve">12 runs: the MVM log reduction factor, the XMuLV log reduction factor</w:t>
      </w:r>
      <w:r>
        <w:t xml:space="preserve"> </w:t>
      </w:r>
      <w:r>
        <w:t xml:space="preserve">and step yield. The volumetric load is the only parameter with a demonstrated effect on any</w:t>
      </w:r>
      <w:r>
        <w:t xml:space="preserve"> </w:t>
      </w:r>
      <w:r>
        <w:t xml:space="preserve">response. The screening design estimates a reduction in MVM clearance of</w:t>
      </w:r>
      <w:r>
        <w:t xml:space="preserve"> </w:t>
      </w:r>
      <w:r>
        <w:t xml:space="preserve">1.61 log across the characterized load range</w:t>
      </w:r>
      <w:r>
        <w:t xml:space="preserve"> </w:t>
      </w:r>
      <w:r>
        <w:t xml:space="preserve">(p = 0.027), and the response-surface model refines that estimate</w:t>
      </w:r>
      <w:r>
        <w:t xml:space="preserve"> </w:t>
      </w:r>
      <w:r>
        <w:t xml:space="preserve">to 1.73 log.</w:t>
      </w:r>
    </w:p>
    <w:p>
      <w:pPr>
        <w:pStyle w:val="BodyText"/>
      </w:pPr>
      <w:r>
        <w:t xml:space="preserve">The response-surface model for MVM clearance is significant and adequate</w:t>
      </w:r>
      <w:r>
        <w:t xml:space="preserve"> </w:t>
      </w:r>
      <w:r>
        <w:t xml:space="preserve">(R² = 0.947, adjusted</w:t>
      </w:r>
      <w:r>
        <w:t xml:space="preserve"> </w:t>
      </w:r>
      <w:r>
        <w:t xml:space="preserve">R² = 0.903), and it is the predictive model on which the</w:t>
      </w:r>
      <w:r>
        <w:t xml:space="preserve"> </w:t>
      </w:r>
      <w:r>
        <w:t xml:space="preserve">operating region rests. Neither the XMuLV model nor the step yield model was significant over</w:t>
      </w:r>
      <w:r>
        <w:t xml:space="preserve"> </w:t>
      </w:r>
      <w:r>
        <w:t xml:space="preserve">the ranges studied, so no predictive model is claimed for either. Those two null results are</w:t>
      </w:r>
      <w:r>
        <w:t xml:space="preserve"> </w:t>
      </w:r>
      <w:r>
        <w:t xml:space="preserve">reported as evidence of robustness and are carried into the knowledge space (see §5.3). At the</w:t>
      </w:r>
      <w:r>
        <w:t xml:space="preserve"> </w:t>
      </w:r>
      <w:r>
        <w:t xml:space="preserve">worst-case corner of the characterized region the model predicts an MVM log reduction of</w:t>
      </w:r>
      <w:r>
        <w:t xml:space="preserve"> </w:t>
      </w:r>
      <w:r>
        <w:t xml:space="preserve">4.48, against a required step contribution of</w:t>
      </w:r>
      <w:r>
        <w:t xml:space="preserve"> </w:t>
      </w:r>
      <w:r>
        <w:t xml:space="preserve">3.89 log.</w:t>
      </w:r>
    </w:p>
    <w:p>
      <w:pPr>
        <w:pStyle w:val="BodyText"/>
      </w:pPr>
      <w:r>
        <w:t xml:space="preserve">At commercial scale both viral-clearance attributes clear their acceptance criteria with</w:t>
      </w:r>
      <w:r>
        <w:t xml:space="preserve"> </w:t>
      </w:r>
      <w:r>
        <w:t xml:space="preserve">margin. The cumulative parvovirus clearance has a one-sided capability index of</w:t>
      </w:r>
      <w:r>
        <w:t xml:space="preserve"> </w:t>
      </w:r>
      <w:r>
        <w:t xml:space="preserve">1.51 and sits 1.78 log above its</w:t>
      </w:r>
      <w:r>
        <w:t xml:space="preserve"> </w:t>
      </w:r>
      <w:r>
        <w:t xml:space="preserve">criterion; the enveloped-virus attribute has a capability index of</w:t>
      </w:r>
      <w:r>
        <w:t xml:space="preserve"> </w:t>
      </w:r>
      <w:r>
        <w:t xml:space="preserve">1.53. Parvovirus clearance is the tighter of the two, and this step</w:t>
      </w:r>
      <w:r>
        <w:t xml:space="preserve"> </w:t>
      </w:r>
      <w:r>
        <w:t xml:space="preserve">supplies 5.32 of the 10.03 cumulative log. Two</w:t>
      </w:r>
      <w:r>
        <w:t xml:space="preserve"> </w:t>
      </w:r>
      <w:r>
        <w:t xml:space="preserve">deviations were recorded during execution. Both were investigated, both were dispositioned as</w:t>
      </w:r>
      <w:r>
        <w:t xml:space="preserve"> </w:t>
      </w:r>
      <w:r>
        <w:t xml:space="preserve">retained, and neither altered a parameter classification or the operating region (see §13).</w:t>
      </w:r>
    </w:p>
    <w:p>
      <w:pPr>
        <w:pStyle w:val="BodyText"/>
      </w:pPr>
      <w:r>
        <w:t xml:space="preserve">The step does not deliver viral safety on its own. Parvovirus clearance is shared with anion</w:t>
      </w:r>
      <w:r>
        <w:t xml:space="preserve"> </w:t>
      </w:r>
      <w:r>
        <w:t xml:space="preserve">exchange (PCR-008), enveloped-virus clearance is shared with the low-pH hold (PCR-006) and</w:t>
      </w:r>
      <w:r>
        <w:t xml:space="preserve"> </w:t>
      </w:r>
      <w:r>
        <w:t xml:space="preserve">with anion exchange, and the cumulative claim is consolidated in PCMR-001. No clearance is</w:t>
      </w:r>
      <w:r>
        <w:t xml:space="preserve"> </w:t>
      </w:r>
      <w:r>
        <w:t xml:space="preserve">claimed for viruses other than the two model viruses used here, and the capability reported</w:t>
      </w:r>
      <w:r>
        <w:t xml:space="preserve"> </w:t>
      </w:r>
      <w:r>
        <w:t xml:space="preserve">above is an estimate from qualified scale-down models that Stage 2 confirms at commercial</w:t>
      </w:r>
      <w:r>
        <w:t xml:space="preserve"> </w:t>
      </w:r>
      <w:r>
        <w:t xml:space="preserve">scale.</w:t>
      </w:r>
    </w:p>
    <w:bookmarkEnd w:id="12"/>
    <w:bookmarkStart w:id="20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produced in a fed-batch mammalian cell culture</w:t>
      </w:r>
      <w:r>
        <w:t xml:space="preserve"> </w:t>
      </w:r>
      <w:r>
        <w:t xml:space="preserve">and purified by the Novacyte platform train. The purification sequence is Protein A capture,</w:t>
      </w:r>
      <w:r>
        <w:t xml:space="preserve"> </w:t>
      </w:r>
      <w:r>
        <w:t xml:space="preserve">low-pH viral inactivation, cation exchange, anion exchange, small-virus retentive filtration</w:t>
      </w:r>
      <w:r>
        <w:t xml:space="preserve"> </w:t>
      </w:r>
      <w:r>
        <w:t xml:space="preserve">and UF/DF. Small-virus retentive filtration is Step 9 of the drug</w:t>
      </w:r>
      <w:r>
        <w:t xml:space="preserve"> </w:t>
      </w:r>
      <w:r>
        <w:t xml:space="preserve">substance process, and it sits between the final chromatographic polish and formulation. It</w:t>
      </w:r>
      <w:r>
        <w:t xml:space="preserve"> </w:t>
      </w:r>
      <w:r>
        <w:t xml:space="preserve">receives the anion exchange flow-through pool as its load (the composition of that pool is set</w:t>
      </w:r>
      <w:r>
        <w:t xml:space="preserve"> </w:t>
      </w:r>
      <w:r>
        <w:t xml:space="preserve">by the design space of Step 8, and is reported in PCR-008) and delivers the filtrate to the</w:t>
      </w:r>
      <w:r>
        <w:t xml:space="preserve"> </w:t>
      </w:r>
      <w:r>
        <w:t xml:space="preserve">UF/DF step.</w:t>
      </w:r>
    </w:p>
    <w:p>
      <w:pPr>
        <w:pStyle w:val="BodyText"/>
      </w:pPr>
      <w:r>
        <w:t xml:space="preserve">The step removes virus by size exclusion. The membrane retains particles above its pore-size</w:t>
      </w:r>
      <w:r>
        <w:t xml:space="preserve"> </w:t>
      </w:r>
      <w:r>
        <w:t xml:space="preserve">distribution while the antibody monomer passes, so clearance depends on the physical</w:t>
      </w:r>
      <w:r>
        <w:t xml:space="preserve"> </w:t>
      </w:r>
      <w:r>
        <w:t xml:space="preserve">dimensions of the virus and on how much material the retentive layer has already seen. This</w:t>
      </w:r>
      <w:r>
        <w:t xml:space="preserve"> </w:t>
      </w:r>
      <w:r>
        <w:t xml:space="preserve">mechanism is orthogonal to the two upstream viral steps. Low-pH inactivation destroys the</w:t>
      </w:r>
      <w:r>
        <w:t xml:space="preserve"> </w:t>
      </w:r>
      <w:r>
        <w:t xml:space="preserve">lipid envelope of enveloped virus (PCR-006), and anion exchange removes virus by charge-based</w:t>
      </w:r>
      <w:r>
        <w:t xml:space="preserve"> </w:t>
      </w:r>
      <w:r>
        <w:t xml:space="preserve">binding in flow-through mode (PCR-008). A filtration step that works on size alone therefore</w:t>
      </w:r>
      <w:r>
        <w:t xml:space="preserve"> </w:t>
      </w:r>
      <w:r>
        <w:t xml:space="preserve">adds clearance that does not share a failure mode with either of them. That is the basis of</w:t>
      </w:r>
      <w:r>
        <w:t xml:space="preserve"> </w:t>
      </w:r>
      <w:r>
        <w:t xml:space="preserve">the modular claim made in ICH Q5A(R2)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The step forms no product quality attribute of its own, and it contributes to two attributes</w:t>
      </w:r>
      <w:r>
        <w:t xml:space="preserve"> </w:t>
      </w:r>
      <w:r>
        <w:t xml:space="preserve">of the drug substance: the cumulative clearance of minute virus of mice (MVM) as the</w:t>
      </w:r>
      <w:r>
        <w:t xml:space="preserve"> </w:t>
      </w:r>
      <w:r>
        <w:t xml:space="preserve">parvovirus model, and the cumulative clearance of xenotropic murine leukaemia virus (XMuLV) as</w:t>
      </w:r>
      <w:r>
        <w:t xml:space="preserve"> </w:t>
      </w:r>
      <w:r>
        <w:t xml:space="preserve">the enveloped model. MVM is the harder of the two to remove, because a parvovirus is small</w:t>
      </w:r>
      <w:r>
        <w:t xml:space="preserve"> </w:t>
      </w:r>
      <w:r>
        <w:t xml:space="preserve">enough that its retention is set by the tail of the pore-size distribution. The filter is</w:t>
      </w:r>
      <w:r>
        <w:t xml:space="preserve"> </w:t>
      </w:r>
      <w:r>
        <w:t xml:space="preserve">single use, so no resin or membrane life-cycle claim arises at this step. Performance of the</w:t>
      </w:r>
      <w:r>
        <w:t xml:space="preserve"> </w:t>
      </w:r>
      <w:r>
        <w:t xml:space="preserve">nominal batch is given in</w:t>
      </w:r>
      <w:r>
        <w:t xml:space="preserve"> </w:t>
      </w:r>
      <w:hyperlink w:anchor="tbl-nominal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Nominal-batch performance of the small-virus retentive filtration step.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Nominal batch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 (fraction of input product mass)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 mass out (g)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56,232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log reduction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log reduction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5.3221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Step yield is high and both log reduction factors sit well above the contribution the step is</w:t>
      </w:r>
      <w:r>
        <w:t xml:space="preserve"> </w:t>
      </w:r>
      <w:r>
        <w:t xml:space="preserve">required to make (that contribution is derived in §7). The nominal batch is the at-set-point</w:t>
      </w:r>
      <w:r>
        <w:t xml:space="preserve"> </w:t>
      </w:r>
      <w:r>
        <w:t xml:space="preserve">condition, so these values are the reference against which the characterization ranges were</w:t>
      </w:r>
      <w:r>
        <w:t xml:space="preserve"> </w:t>
      </w:r>
      <w:r>
        <w:t xml:space="preserve">explored.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this characterization were:</w:t>
      </w:r>
    </w:p>
    <w:p>
      <w:pPr>
        <w:pStyle w:val="Compact"/>
        <w:numPr>
          <w:ilvl w:val="0"/>
          <w:numId w:val="1001"/>
        </w:numPr>
      </w:pPr>
      <w:r>
        <w:t xml:space="preserve">to quantify the relationship between each studied process parameter and the viral</w:t>
      </w:r>
      <w:r>
        <w:t xml:space="preserve"> </w:t>
      </w:r>
      <w:r>
        <w:t xml:space="preserve">clearance and process performance responses of the step;</w:t>
      </w:r>
    </w:p>
    <w:p>
      <w:pPr>
        <w:pStyle w:val="Compact"/>
        <w:numPr>
          <w:ilvl w:val="0"/>
          <w:numId w:val="1001"/>
        </w:numPr>
      </w:pPr>
      <w:r>
        <w:t xml:space="preserve">to define the operating region over which the required clearance contribution is met;</w:t>
      </w:r>
    </w:p>
    <w:p>
      <w:pPr>
        <w:pStyle w:val="Compact"/>
        <w:numPr>
          <w:ilvl w:val="0"/>
          <w:numId w:val="1001"/>
        </w:numPr>
      </w:pPr>
      <w:r>
        <w:t xml:space="preserve">to establish proven acceptable ranges for each parameter against each governed quality</w:t>
      </w:r>
      <w:r>
        <w:t xml:space="preserve"> </w:t>
      </w:r>
      <w:r>
        <w:t xml:space="preserve">attribute;</w:t>
      </w:r>
    </w:p>
    <w:p>
      <w:pPr>
        <w:pStyle w:val="Compact"/>
        <w:numPr>
          <w:ilvl w:val="0"/>
          <w:numId w:val="1001"/>
        </w:numPr>
      </w:pPr>
      <w:r>
        <w:t xml:space="preserve">to classify each parameter according to its demonstrated effect and the risk of</w:t>
      </w:r>
      <w:r>
        <w:t xml:space="preserve"> </w:t>
      </w:r>
      <w:r>
        <w:t xml:space="preserve">operating outside the region; and</w:t>
      </w:r>
    </w:p>
    <w:p>
      <w:pPr>
        <w:pStyle w:val="Compact"/>
        <w:numPr>
          <w:ilvl w:val="0"/>
          <w:numId w:val="1001"/>
        </w:numPr>
      </w:pPr>
      <w:r>
        <w:t xml:space="preserve">to justify the ranges taken forward into Stage 2 and the controls carried into the</w:t>
      </w:r>
      <w:r>
        <w:t xml:space="preserve"> </w:t>
      </w:r>
      <w:r>
        <w:t xml:space="preserve">control strategy.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process design activity in the sense of the FDA lifecycle guidance</w:t>
      </w:r>
      <w:r>
        <w:t xml:space="preserve"> </w:t>
      </w:r>
      <w:r>
        <w:t xml:space="preserve">(U.S. Food and Drug Administration 2011)</w:t>
      </w:r>
      <w:r>
        <w:t xml:space="preserve">, and this report is the study record for that stage. The development approach is</w:t>
      </w:r>
      <w:r>
        <w:t xml:space="preserve"> </w:t>
      </w:r>
      <w:r>
        <w:t xml:space="preserve">the enhanced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, in which prior knowledge and a</w:t>
      </w:r>
      <w:r>
        <w:t xml:space="preserve"> </w:t>
      </w:r>
      <w:r>
        <w:t xml:space="preserve">formal risk assessment set the scope of experimentation and the outcome is a control strategy</w:t>
      </w:r>
      <w:r>
        <w:t xml:space="preserve"> </w:t>
      </w:r>
      <w:r>
        <w:t xml:space="preserve">supported by process understanding. Criticality is treated as a continuum in the sense of ICH</w:t>
      </w:r>
      <w:r>
        <w:t xml:space="preserve"> </w:t>
      </w:r>
      <w:r>
        <w:t xml:space="preserve">Q9</w:t>
      </w:r>
      <w:r>
        <w:t xml:space="preserve"> </w:t>
      </w:r>
      <w:r>
        <w:t xml:space="preserve">(International Council for Harmonisation 2023b)</w:t>
      </w:r>
      <w:r>
        <w:t xml:space="preserve">, so a quality attribute is assigned a level of criticality and the attributes at</w:t>
      </w:r>
      <w:r>
        <w:t xml:space="preserve"> </w:t>
      </w:r>
      <w:r>
        <w:t xml:space="preserve">high and very high criticality are called critical.</w:t>
      </w:r>
    </w:p>
    <w:p>
      <w:pPr>
        <w:pStyle w:val="BodyText"/>
      </w:pPr>
      <w:r>
        <w:t xml:space="preserve">Viral safety is evaluated under ICH Q5A(R2)</w:t>
      </w:r>
      <w:r>
        <w:t xml:space="preserve"> </w:t>
      </w:r>
      <w:r>
        <w:t xml:space="preserve">(International Council for Harmonisation 2023a)</w:t>
      </w:r>
      <w:r>
        <w:t xml:space="preserve">, a framework that requires clearance to</w:t>
      </w:r>
      <w:r>
        <w:t xml:space="preserve"> </w:t>
      </w:r>
      <w:r>
        <w:t xml:space="preserve">be demonstrated on a qualified scale-down model with deliberately spiked virus, because live</w:t>
      </w:r>
      <w:r>
        <w:t xml:space="preserve"> </w:t>
      </w:r>
      <w:r>
        <w:t xml:space="preserve">virus cannot be introduced into a manufacturing facility. It also requires that the steps</w:t>
      </w:r>
      <w:r>
        <w:t xml:space="preserve"> </w:t>
      </w:r>
      <w:r>
        <w:t xml:space="preserve">credited in a cumulative claim remove virus by mechanisms that are distinct, so that one</w:t>
      </w:r>
      <w:r>
        <w:t xml:space="preserve"> </w:t>
      </w:r>
      <w:r>
        <w:t xml:space="preserve">failure cannot remove the whole margin, and both of those requirements shape the study</w:t>
      </w:r>
      <w:r>
        <w:t xml:space="preserve"> </w:t>
      </w:r>
      <w:r>
        <w:t xml:space="preserve">reported here. The process model, the CQA register and the risk-ranking method follow the</w:t>
      </w:r>
      <w:r>
        <w:t xml:space="preserve"> </w:t>
      </w:r>
      <w:r>
        <w:t xml:space="preserve">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16"/>
    <w:bookmarkStart w:id="19" w:name="X8512eb7fd936512320bee3fc49362724622fff9"/>
    <w:p>
      <w:pPr>
        <w:pStyle w:val="Heading2"/>
      </w:pPr>
      <w:r>
        <w:t xml:space="preserve">1.4 Related documents and controlled procedures</w:t>
      </w:r>
    </w:p>
    <w:p>
      <w:pPr>
        <w:pStyle w:val="FirstParagraph"/>
      </w:pPr>
      <w:r>
        <w:t xml:space="preserve">This report is one of the per-step reports that roll up into the master report (PCMR-001), and</w:t>
      </w:r>
      <w:r>
        <w:t xml:space="preserve"> </w:t>
      </w:r>
      <w:r>
        <w:t xml:space="preserve">its place in the package is fixed by three others: its scope was set by the</w:t>
      </w:r>
      <w:r>
        <w:t xml:space="preserve"> </w:t>
      </w:r>
      <w:r>
        <w:t xml:space="preserve">pre-characterization risk assessment (RA-001), its method was fixed in advance by the paired</w:t>
      </w:r>
      <w:r>
        <w:t xml:space="preserve"> </w:t>
      </w:r>
      <w:r>
        <w:t xml:space="preserve">plan (PCP-009), and its conclusions feed the campaign-level control strategy. The package is</w:t>
      </w:r>
      <w:r>
        <w:t xml:space="preserve"> </w:t>
      </w:r>
      <w:r>
        <w:t xml:space="preserve">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5"/>
              <w:gridCol w:w="4677"/>
              <w:gridCol w:w="2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(Small-Virus Retentive Filtration (Step 9))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The controlled procedures and validated analytical methods that govern the work are listed in</w:t>
      </w:r>
      <w:r>
        <w:t xml:space="preserve"> </w:t>
      </w:r>
      <w:hyperlink w:anchor="tbl-sop">
        <w:r>
          <w:rPr>
            <w:rStyle w:val="Hyperlink"/>
          </w:rPr>
          <w:t xml:space="preserve">Table 4</w:t>
        </w:r>
      </w:hyperlink>
      <w:r>
        <w:t xml:space="preserve">. Operation of the step, the pre-use flush and the post-use filter integrity test are</w:t>
      </w:r>
      <w:r>
        <w:t xml:space="preserve"> </w:t>
      </w:r>
      <w:r>
        <w:t xml:space="preserve">covered by SOP-2012. The scale-down model was qualified under SOP-1001, the designs were</w:t>
      </w:r>
      <w:r>
        <w:t xml:space="preserve"> </w:t>
      </w:r>
      <w:r>
        <w:t xml:space="preserve">built and analysed under SOP-1002, and the classification decisions in §9 follow SOP-4001.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Controlled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8"/>
          <w:p/>
        </w:tc>
      </w:tr>
    </w:tbl>
    <w:bookmarkEnd w:id="19"/>
    <w:bookmarkEnd w:id="20"/>
    <w:bookmarkStart w:id="26" w:name="prior-knowledge-and-quality-risk-basis"/>
    <w:p>
      <w:pPr>
        <w:pStyle w:val="Heading1"/>
      </w:pPr>
      <w:r>
        <w:t xml:space="preserve">2. Prior knowledge and quality risk basis</w:t>
      </w:r>
    </w:p>
    <w:bookmarkStart w:id="21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Small-virus retentive filtration is a mature platform step at Novacyte, and the prior</w:t>
      </w:r>
      <w:r>
        <w:t xml:space="preserve"> </w:t>
      </w:r>
      <w:r>
        <w:t xml:space="preserve">knowledge available for it is substantial. The same filter type and the same operating mode</w:t>
      </w:r>
      <w:r>
        <w:t xml:space="preserve"> </w:t>
      </w:r>
      <w:r>
        <w:t xml:space="preserve">have been used for the three previously licensed antibodies on the platform, X-Mab, Y-Mab and</w:t>
      </w:r>
      <w:r>
        <w:t xml:space="preserve"> </w:t>
      </w:r>
      <w:r>
        <w:t xml:space="preserve">Z-Mab, and the step has been characterized for each of them. The mechanism of removal is</w:t>
      </w:r>
      <w:r>
        <w:t xml:space="preserve"> </w:t>
      </w:r>
      <w:r>
        <w:t xml:space="preserve">identical across those products, because retention is set by the membrane and by the size of</w:t>
      </w:r>
      <w:r>
        <w:t xml:space="preserve"> </w:t>
      </w:r>
      <w:r>
        <w:t xml:space="preserve">the virus. The antibody takes no part in it. Prior knowledge therefore transfers to A-Mab, and</w:t>
      </w:r>
      <w:r>
        <w:t xml:space="preserve"> </w:t>
      </w:r>
      <w:r>
        <w:t xml:space="preserve">the purpose of this study is to confirm and bound the platform behaviour for this molecule.</w:t>
      </w:r>
    </w:p>
    <w:p>
      <w:pPr>
        <w:pStyle w:val="BodyText"/>
      </w:pPr>
      <w:r>
        <w:t xml:space="preserve">Two expectations followed from that experience and framed the design. The first is that MVM</w:t>
      </w:r>
      <w:r>
        <w:t xml:space="preserve"> </w:t>
      </w:r>
      <w:r>
        <w:t xml:space="preserve">clearance falls as the cumulative volumetric load rises. Material deposited on and within the</w:t>
      </w:r>
      <w:r>
        <w:t xml:space="preserve"> </w:t>
      </w:r>
      <w:r>
        <w:t xml:space="preserve">retentive layer changes the effective pore-size distribution as the filtration proceeds, and a</w:t>
      </w:r>
      <w:r>
        <w:t xml:space="preserve"> </w:t>
      </w:r>
      <w:r>
        <w:t xml:space="preserve">particle as small as a parvovirus is the first to benefit from that change. Enveloped virus is</w:t>
      </w:r>
      <w:r>
        <w:t xml:space="preserve"> </w:t>
      </w:r>
      <w:r>
        <w:t xml:space="preserve">large enough that the same shift does not reach it, so XMuLV clearance was expected to be flat</w:t>
      </w:r>
      <w:r>
        <w:t xml:space="preserve"> </w:t>
      </w:r>
      <w:r>
        <w:t xml:space="preserve">across the load range. The second expectation is that pressure has little influence on</w:t>
      </w:r>
      <w:r>
        <w:t xml:space="preserve"> </w:t>
      </w:r>
      <w:r>
        <w:t xml:space="preserve">retention. Pressure sets the flux, and with it the processing time, but a size-based retention</w:t>
      </w:r>
      <w:r>
        <w:t xml:space="preserve"> </w:t>
      </w:r>
      <w:r>
        <w:t xml:space="preserve">mechanism is not driven by convective velocity over the range a filter of this type is</w:t>
      </w:r>
      <w:r>
        <w:t xml:space="preserve"> </w:t>
      </w:r>
      <w:r>
        <w:t xml:space="preserve">qualified for.</w:t>
      </w:r>
    </w:p>
    <w:p>
      <w:pPr>
        <w:pStyle w:val="BodyText"/>
      </w:pPr>
      <w:r>
        <w:t xml:space="preserve">These expectations set the ranges as much as they set the factor list. The load range was</w:t>
      </w:r>
      <w:r>
        <w:t xml:space="preserve"> </w:t>
      </w:r>
      <w:r>
        <w:t xml:space="preserve">extended well beyond the routine ceiling in order to find where clearance stops being</w:t>
      </w:r>
      <w:r>
        <w:t xml:space="preserve"> </w:t>
      </w:r>
      <w:r>
        <w:t xml:space="preserve">sufficient, and the pressure range was extended to both operating limits of the filter so that</w:t>
      </w:r>
      <w:r>
        <w:t xml:space="preserve"> </w:t>
      </w:r>
      <w:r>
        <w:t xml:space="preserve">a null result would be a bounded null result. Neither expectation was treated as established</w:t>
      </w:r>
      <w:r>
        <w:t xml:space="preserve"> </w:t>
      </w:r>
      <w:r>
        <w:t xml:space="preserve">for A-Mab before the study, and both are tested in §5.</w:t>
      </w:r>
    </w:p>
    <w:bookmarkEnd w:id="21"/>
    <w:bookmarkStart w:id="23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step sets no quality attribute of its own, and it governs the two viral-clearance</w:t>
      </w:r>
      <w:r>
        <w:t xml:space="preserve"> </w:t>
      </w:r>
      <w:r>
        <w:t xml:space="preserve">attributes of the drug substance. Both are listed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with their acceptance criteria</w:t>
      </w:r>
      <w:r>
        <w:t xml:space="preserve"> </w:t>
      </w:r>
      <w:r>
        <w:t xml:space="preserve">and their assigned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governed by the step, from the drug-substance CQA register.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056"/>
              <w:gridCol w:w="2112"/>
              <w:gridCol w:w="1131"/>
              <w:gridCol w:w="8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Both attributes are of very high criticality, which places them above the threshold at which</w:t>
      </w:r>
      <w:r>
        <w:t xml:space="preserve"> </w:t>
      </w:r>
      <w:r>
        <w:t xml:space="preserve">the A-Mab framework calls an attribute critical</w:t>
      </w:r>
      <w:r>
        <w:t xml:space="preserve"> </w:t>
      </w:r>
      <w:r>
        <w:t xml:space="preserve">(CMC Biotech Working Group 2009)</w:t>
      </w:r>
      <w:r>
        <w:t xml:space="preserve">. Both acceptance criteria are</w:t>
      </w:r>
      <w:r>
        <w:t xml:space="preserve"> </w:t>
      </w:r>
      <w:r>
        <w:t xml:space="preserve">cumulative one-sided floors on the whole purification train, so neither can be assessed</w:t>
      </w:r>
      <w:r>
        <w:t xml:space="preserve"> </w:t>
      </w:r>
      <w:r>
        <w:t xml:space="preserve">against this step alone, and the criterion this step must meet is the cumulative requirement</w:t>
      </w:r>
      <w:r>
        <w:t xml:space="preserve"> </w:t>
      </w:r>
      <w:r>
        <w:t xml:space="preserve">less the clearance credited to the other steps (the back-calculation is stated in §7). Product</w:t>
      </w:r>
      <w:r>
        <w:t xml:space="preserve"> </w:t>
      </w:r>
      <w:r>
        <w:t xml:space="preserve">quality attributes formed upstream, such as the glycan and charge variant distributions, are</w:t>
      </w:r>
      <w:r>
        <w:t xml:space="preserve"> </w:t>
      </w:r>
      <w:r>
        <w:t xml:space="preserve">not affected by a size-based filtration step and were not measured here. Aggregate was not</w:t>
      </w:r>
      <w:r>
        <w:t xml:space="preserve"> </w:t>
      </w:r>
      <w:r>
        <w:t xml:space="preserve">measured here either. No change in aggregate is expected across a filtration that separates by</w:t>
      </w:r>
      <w:r>
        <w:t xml:space="preserve"> </w:t>
      </w:r>
      <w:r>
        <w:t xml:space="preserve">size and passes the antibody monomer, and aggregate is reduced and reported at the cation</w:t>
      </w:r>
      <w:r>
        <w:t xml:space="preserve"> </w:t>
      </w:r>
      <w:r>
        <w:t xml:space="preserve">exchange step (PCR-007).</w:t>
      </w:r>
    </w:p>
    <w:bookmarkEnd w:id="23"/>
    <w:bookmarkStart w:id="25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scope of this study was fixed by RA-001. That assessment ranked every parameter of the</w:t>
      </w:r>
      <w:r>
        <w:t xml:space="preserve"> </w:t>
      </w:r>
      <w:r>
        <w:t xml:space="preserve">step before any characterization data existed, and it scored the severity of the potential</w:t>
      </w:r>
      <w:r>
        <w:t xml:space="preserve"> </w:t>
      </w:r>
      <w:r>
        <w:t xml:space="preserve">effect on a CQA together with the likelihood of occurrence and the ability to detect the</w:t>
      </w:r>
      <w:r>
        <w:t xml:space="preserve"> </w:t>
      </w:r>
      <w:r>
        <w:t xml:space="preserve">failure in routine manufacture. Its output is a study assignment, not a classification. The</w:t>
      </w:r>
      <w:r>
        <w:t xml:space="preserve"> </w:t>
      </w:r>
      <w:r>
        <w:t xml:space="preserve">rows for this step are reproduced in</w:t>
      </w:r>
      <w:r>
        <w:t xml:space="preserve"> </w:t>
      </w:r>
      <w:hyperlink w:anchor="tbl-ra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Pre-characterization risk assessment for the step (RA-001), with the assigned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6"/>
              <w:gridCol w:w="1705"/>
              <w:gridCol w:w="2355"/>
              <w:gridCol w:w="324"/>
              <w:gridCol w:w="324"/>
              <w:gridCol w:w="324"/>
              <w:gridCol w:w="609"/>
              <w:gridCol w:w="731"/>
              <w:gridCol w:w="48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Prospective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Volumetric load above 105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MVM log-reduction (parvovirus breakthrough risk)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 outside filter operating limits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impact on virus removal at high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Both parameters scored at the top of the range and both were assigned to a multivariate</w:t>
      </w:r>
      <w:r>
        <w:t xml:space="preserve"> </w:t>
      </w:r>
      <w:r>
        <w:t xml:space="preserve">design. The severity term is the same for each, because the consequence of interest is a</w:t>
      </w:r>
      <w:r>
        <w:t xml:space="preserve"> </w:t>
      </w:r>
      <w:r>
        <w:t xml:space="preserve">parvovirus breakthrough and that consequence is scored at the maximum. What separates the two</w:t>
      </w:r>
      <w:r>
        <w:t xml:space="preserve"> </w:t>
      </w:r>
      <w:r>
        <w:t xml:space="preserve">rows is the reason each parameter could reach that consequence. Volumetric load reaches it</w:t>
      </w:r>
      <w:r>
        <w:t xml:space="preserve"> </w:t>
      </w:r>
      <w:r>
        <w:t xml:space="preserve">directly, by consuming the retentive capacity of the membrane, whereas pressure reaches it</w:t>
      </w:r>
      <w:r>
        <w:t xml:space="preserve"> </w:t>
      </w:r>
      <w:r>
        <w:t xml:space="preserve">indirectly, by moving the filter away from the operating window in which its retention has</w:t>
      </w:r>
      <w:r>
        <w:t xml:space="preserve"> </w:t>
      </w:r>
      <w:r>
        <w:t xml:space="preserve">been established by the vendor and by the platform.</w:t>
      </w:r>
    </w:p>
    <w:p>
      <w:pPr>
        <w:pStyle w:val="BodyText"/>
      </w:pPr>
      <w:r>
        <w:t xml:space="preserve">No parameter at this step was assigned to univariate assessment and none was excluded from</w:t>
      </w:r>
      <w:r>
        <w:t xml:space="preserve"> </w:t>
      </w:r>
      <w:r>
        <w:t xml:space="preserve">study. That follows from the short parameter list the step has. Membrane lot, pre-use flush</w:t>
      </w:r>
      <w:r>
        <w:t xml:space="preserve"> </w:t>
      </w:r>
      <w:r>
        <w:t xml:space="preserve">volume and the post-use integrity test are attributes of the filter and of the procedure,</w:t>
      </w:r>
      <w:r>
        <w:t xml:space="preserve"> </w:t>
      </w:r>
      <w:r>
        <w:t xml:space="preserve">controlled under SOP-2012, and they are not process parameters in the sense of RA-001. The load material is the anion exchange flow-through pool,</w:t>
      </w:r>
      <w:r>
        <w:t xml:space="preserve"> </w:t>
      </w:r>
      <w:r>
        <w:t xml:space="preserve">whose composition is controlled by the design space of Step 8 (PCP-008 and PCR-008), so feed</w:t>
      </w:r>
      <w:r>
        <w:t xml:space="preserve"> </w:t>
      </w:r>
      <w:r>
        <w:t xml:space="preserve">variation was not introduced as a factor here.</w:t>
      </w:r>
    </w:p>
    <w:bookmarkEnd w:id="25"/>
    <w:bookmarkEnd w:id="26"/>
    <w:bookmarkStart w:id="33" w:name="materials-and-methods"/>
    <w:p>
      <w:pPr>
        <w:pStyle w:val="Heading1"/>
      </w:pPr>
      <w:r>
        <w:t xml:space="preserve">3. Materials and methods</w:t>
      </w:r>
    </w:p>
    <w:bookmarkStart w:id="27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executed on a qualified scale-down model of the commercial</w:t>
      </w:r>
      <w:r>
        <w:t xml:space="preserve"> </w:t>
      </w:r>
      <w:r>
        <w:t xml:space="preserve">filtration step, operated under SOP-2012 and qualified under SOP-1001. The model uses the same</w:t>
      </w:r>
      <w:r>
        <w:t xml:space="preserve"> </w:t>
      </w:r>
      <w:r>
        <w:t xml:space="preserve">membrane chemistry and the same retentive layer as the commercial filter, in a device of</w:t>
      </w:r>
      <w:r>
        <w:t xml:space="preserve"> </w:t>
      </w:r>
      <w:r>
        <w:t xml:space="preserve">smaller area from the same vendor family. Scaling is by filter area. Volumetric load is</w:t>
      </w:r>
      <w:r>
        <w:t xml:space="preserve"> </w:t>
      </w:r>
      <w:r>
        <w:t xml:space="preserve">expressed per unit membrane area, so a load in litres per square metre carries the same</w:t>
      </w:r>
      <w:r>
        <w:t xml:space="preserve"> </w:t>
      </w:r>
      <w:r>
        <w:t xml:space="preserve">meaning at both scales, and pressure is a scale-independent set-point that is matched directly</w:t>
      </w:r>
      <w:r>
        <w:t xml:space="preserve"> </w:t>
      </w:r>
      <w:r>
        <w:t xml:space="preserve">(the qualification protocol is SOP-1001). The model thus reproduces the two quantities that</w:t>
      </w:r>
      <w:r>
        <w:t xml:space="preserve"> </w:t>
      </w:r>
      <w:r>
        <w:t xml:space="preserve">the mechanism of retention depends on.</w:t>
      </w:r>
    </w:p>
    <w:p>
      <w:pPr>
        <w:pStyle w:val="BodyText"/>
      </w:pPr>
      <w:r>
        <w:t xml:space="preserve">Qualification compared the scale-down device with commercial-scale data at the target</w:t>
      </w:r>
      <w:r>
        <w:t xml:space="preserve"> </w:t>
      </w:r>
      <w:r>
        <w:t xml:space="preserve">condition, using flux decay across the filtration, filtrate quality and step yield as the</w:t>
      </w:r>
      <w:r>
        <w:t xml:space="preserve"> </w:t>
      </w:r>
      <w:r>
        <w:t xml:space="preserve">performance measures. No difference of practical consequence was found between the scales, and</w:t>
      </w:r>
      <w:r>
        <w:t xml:space="preserve"> </w:t>
      </w:r>
      <w:r>
        <w:t xml:space="preserve">the qualification record is held under SOP-1001. This is the warrant for reading the operating</w:t>
      </w:r>
      <w:r>
        <w:t xml:space="preserve"> </w:t>
      </w:r>
      <w:r>
        <w:t xml:space="preserve">ranges established here as ranges for the commercial step.</w:t>
      </w:r>
    </w:p>
    <w:p>
      <w:pPr>
        <w:pStyle w:val="BodyText"/>
      </w:pPr>
      <w:r>
        <w:t xml:space="preserve">Viral clearance cannot be measured at commercial scale, because live virus is not introduced</w:t>
      </w:r>
      <w:r>
        <w:t xml:space="preserve"> </w:t>
      </w:r>
      <w:r>
        <w:t xml:space="preserve">into a manufacturing facility. Clearance is therefore measured on a small-scale spiking model,</w:t>
      </w:r>
      <w:r>
        <w:t xml:space="preserve"> </w:t>
      </w:r>
      <w:r>
        <w:t xml:space="preserve">as ICH Q5A(R2) requires</w:t>
      </w:r>
      <w:r>
        <w:t xml:space="preserve"> </w:t>
      </w:r>
      <w:r>
        <w:t xml:space="preserve">(International Council for Harmonisation 2023a)</w:t>
      </w:r>
      <w:r>
        <w:t xml:space="preserve">. The load material for each run was the anion exchange</w:t>
      </w:r>
      <w:r>
        <w:t xml:space="preserve"> </w:t>
      </w:r>
      <w:r>
        <w:t xml:space="preserve">flow-through pool, spiked with the model virus to a titre high enough that a clearance of</w:t>
      </w:r>
      <w:r>
        <w:t xml:space="preserve"> </w:t>
      </w:r>
      <w:r>
        <w:t xml:space="preserve">several logs can still be quantified above the detection limit of the assay. Spiking adds</w:t>
      </w:r>
      <w:r>
        <w:t xml:space="preserve"> </w:t>
      </w:r>
      <w:r>
        <w:t xml:space="preserve">material to the load, so the spike volume was held to a small fraction of the load volume and</w:t>
      </w:r>
      <w:r>
        <w:t xml:space="preserve"> </w:t>
      </w:r>
      <w:r>
        <w:t xml:space="preserve">the spiked load was clarified before filtration. Both precautions are part of the qualified</w:t>
      </w:r>
      <w:r>
        <w:t xml:space="preserve"> </w:t>
      </w:r>
      <w:r>
        <w:t xml:space="preserve">method and both are recorded per run.</w:t>
      </w:r>
    </w:p>
    <w:p>
      <w:pPr>
        <w:pStyle w:val="BodyText"/>
      </w:pPr>
      <w:r>
        <w:t xml:space="preserve">The centre-point replicates of each design were executed as independent runs on independent</w:t>
      </w:r>
      <w:r>
        <w:t xml:space="preserve"> </w:t>
      </w:r>
      <w:r>
        <w:t xml:space="preserve">filter devices, and not as repeat assays of one filtrate. They carry the whole run-to-run</w:t>
      </w:r>
      <w:r>
        <w:t xml:space="preserve"> </w:t>
      </w:r>
      <w:r>
        <w:t xml:space="preserve">variability of the model, and their scatter is the pure-error term used in the lack-of-fit</w:t>
      </w:r>
      <w:r>
        <w:t xml:space="preserve"> </w:t>
      </w:r>
      <w:r>
        <w:t xml:space="preserve">assessment (§5.3).</w:t>
      </w:r>
    </w:p>
    <w:bookmarkEnd w:id="27"/>
    <w:bookmarkStart w:id="28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commercial step is a single-pass filtration at constant pressure. The filter is flushed</w:t>
      </w:r>
      <w:r>
        <w:t xml:space="preserve"> </w:t>
      </w:r>
      <w:r>
        <w:t xml:space="preserve">and pressure-tested before use, the load is delivered from the anion exchange pool at the</w:t>
      </w:r>
      <w:r>
        <w:t xml:space="preserve"> </w:t>
      </w:r>
      <w:r>
        <w:t xml:space="preserve">target pressure, and filtration continues until the batch volume has passed or the volumetric</w:t>
      </w:r>
      <w:r>
        <w:t xml:space="preserve"> </w:t>
      </w:r>
      <w:r>
        <w:t xml:space="preserve">load limit is reached. A post-use integrity test is performed on every filter, and a filter</w:t>
      </w:r>
      <w:r>
        <w:t xml:space="preserve"> </w:t>
      </w:r>
      <w:r>
        <w:t xml:space="preserve">that fails it invalidates the batch. All of this is specified in SOP-2012 and was followed in</w:t>
      </w:r>
      <w:r>
        <w:t xml:space="preserve"> </w:t>
      </w:r>
      <w:r>
        <w:t xml:space="preserve">the scale-down runs.</w:t>
      </w:r>
    </w:p>
    <w:p>
      <w:pPr>
        <w:pStyle w:val="BodyText"/>
      </w:pPr>
      <w:r>
        <w:t xml:space="preserve">Two quantities are set by the operator. The volumetric load is fixed by the batch volume and</w:t>
      </w:r>
      <w:r>
        <w:t xml:space="preserve"> </w:t>
      </w:r>
      <w:r>
        <w:t xml:space="preserve">the installed membrane area, and it is the quantity the operator manages when the filter area</w:t>
      </w:r>
      <w:r>
        <w:t xml:space="preserve"> </w:t>
      </w:r>
      <w:r>
        <w:t xml:space="preserve">is selected for a batch. The filtration pressure is set at the start of the filtration and</w:t>
      </w:r>
      <w:r>
        <w:t xml:space="preserve"> </w:t>
      </w:r>
      <w:r>
        <w:t xml:space="preserve">held, and everything else at the step is either an attribute of the filter, which is</w:t>
      </w:r>
      <w:r>
        <w:t xml:space="preserve"> </w:t>
      </w:r>
      <w:r>
        <w:t xml:space="preserve">controlled by the vendor specification and by incoming inspection, or an attribute of the</w:t>
      </w:r>
      <w:r>
        <w:t xml:space="preserve"> </w:t>
      </w:r>
      <w:r>
        <w:t xml:space="preserve">load, which is controlled by the preceding step (PCR-008).</w:t>
      </w:r>
    </w:p>
    <w:bookmarkEnd w:id="28"/>
    <w:bookmarkStart w:id="30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Two validated infectivity assays supply the responses of the study. MVM titre is determined by</w:t>
      </w:r>
      <w:r>
        <w:t xml:space="preserve"> </w:t>
      </w:r>
      <w:r>
        <w:t xml:space="preserve">AMV-3018, which combines a TCID50 endpoint assay with a qPCR confirmation, and XMuLV titre is</w:t>
      </w:r>
      <w:r>
        <w:t xml:space="preserve"> </w:t>
      </w:r>
      <w:r>
        <w:t xml:space="preserve">determined by AMV-3017, a TCID50 endpoint assay. The log reduction factor for each run is the</w:t>
      </w:r>
      <w:r>
        <w:t xml:space="preserve"> </w:t>
      </w:r>
      <w:r>
        <w:t xml:space="preserve">difference between the log titre of the spiked load and the log titre of the filtrate, both</w:t>
      </w:r>
      <w:r>
        <w:t xml:space="preserve"> </w:t>
      </w:r>
      <w:r>
        <w:t xml:space="preserve">corrected for the volumes involved. Step yield is a protein mass balance across the filter,</w:t>
      </w:r>
      <w:r>
        <w:t xml:space="preserve"> </w:t>
      </w:r>
      <w:r>
        <w:t xml:space="preserve">computed from the in-process concentration and volume records required by SOP-2012, so it is</w:t>
      </w:r>
      <w:r>
        <w:t xml:space="preserve"> </w:t>
      </w:r>
      <w:r>
        <w:t xml:space="preserve">not an assay result and has no separate method validation.</w:t>
      </w:r>
      <w:r>
        <w:t xml:space="preserve"> </w:t>
      </w:r>
      <w:hyperlink w:anchor="tbl-analyte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states which assay</w:t>
      </w:r>
      <w:r>
        <w:t xml:space="preserve"> </w:t>
      </w:r>
      <w:r>
        <w:t xml:space="preserve">supplies which response.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analy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Validated analytical methods and the response each supplies.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13"/>
              <w:gridCol w:w="2640"/>
              <w:gridCol w:w="3068"/>
              <w:gridCol w:w="149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 response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Minute virus of mice (MVM)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Xenotropic murine leukaemia virus (XMuLV)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An infectivity assay is considerably less precise than a chromatographic purity assay, and</w:t>
      </w:r>
      <w:r>
        <w:t xml:space="preserve"> </w:t>
      </w:r>
      <w:r>
        <w:t xml:space="preserve">that matters for how the results in §5 are read. The validated intermediate precision of each</w:t>
      </w:r>
      <w:r>
        <w:t xml:space="preserve"> </w:t>
      </w:r>
      <w:r>
        <w:t xml:space="preserve">method, its limit of quantitation and the share of observed variance attributable to the</w:t>
      </w:r>
      <w:r>
        <w:t xml:space="preserve"> </w:t>
      </w:r>
      <w:r>
        <w:t xml:space="preserve">method are given in Appendix D. Where an observed difference in log reduction is of the same</w:t>
      </w:r>
      <w:r>
        <w:t xml:space="preserve"> </w:t>
      </w:r>
      <w:r>
        <w:t xml:space="preserve">order as the assay precision, it is reported as such and is not interpreted as a process</w:t>
      </w:r>
      <w:r>
        <w:t xml:space="preserve"> </w:t>
      </w:r>
      <w:r>
        <w:t xml:space="preserve">effect.</w:t>
      </w:r>
    </w:p>
    <w:bookmarkEnd w:id="30"/>
    <w:bookmarkStart w:id="31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produced a spiked load sample and a filtrate sample, both assayed for the model virus</w:t>
      </w:r>
      <w:r>
        <w:t xml:space="preserve"> </w:t>
      </w:r>
      <w:r>
        <w:t xml:space="preserve">of that run, plus load and filtrate samples for the protein mass balance. Samples were drawn</w:t>
      </w:r>
      <w:r>
        <w:t xml:space="preserve"> </w:t>
      </w:r>
      <w:r>
        <w:t xml:space="preserve">under SOP-2012 and assayed within the validated hold conditions of the method.</w:t>
      </w:r>
    </w:p>
    <w:p>
      <w:pPr>
        <w:pStyle w:val="BodyText"/>
      </w:pPr>
      <w:r>
        <w:t xml:space="preserve">The screening design carried 3 centre-point replicates and the</w:t>
      </w:r>
      <w:r>
        <w:t xml:space="preserve"> </w:t>
      </w:r>
      <w:r>
        <w:t xml:space="preserve">response-surface design carried 4. Centre points were spread through</w:t>
      </w:r>
      <w:r>
        <w:t xml:space="preserve"> </w:t>
      </w:r>
      <w:r>
        <w:t xml:space="preserve">the run order and were not executed consecutively, so that a drift in the assay or in the load</w:t>
      </w:r>
      <w:r>
        <w:t xml:space="preserve"> </w:t>
      </w:r>
      <w:r>
        <w:t xml:space="preserve">material would appear as scatter between them. Run order within each design was randomized.</w:t>
      </w:r>
    </w:p>
    <w:bookmarkEnd w:id="31"/>
    <w:bookmarkStart w:id="32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so that the midpoint of each characterization range is zero, giving coded</w:t>
      </w:r>
      <w:r>
        <w:t xml:space="preserve"> </w:t>
      </w:r>
      <w:r>
        <w:t xml:space="preserve">levels of −1 / +1 at the two edges. Coding puts the two parameters on a common scale, so</w:t>
      </w:r>
      <w:r>
        <w:t xml:space="preserve"> </w:t>
      </w:r>
      <w:r>
        <w:t xml:space="preserve">effects can be compared directly, and it is the form in which every model in this report was</w:t>
      </w:r>
      <w:r>
        <w:t xml:space="preserve"> </w:t>
      </w:r>
      <w:r>
        <w:t xml:space="preserve">fitted.</w:t>
      </w:r>
    </w:p>
    <w:p>
      <w:pPr>
        <w:pStyle w:val="BodyText"/>
      </w:pPr>
      <w:r>
        <w:t xml:space="preserve">The screening data were fitted by ordinary least squares with both main effects and their</w:t>
      </w:r>
      <w:r>
        <w:t xml:space="preserve"> </w:t>
      </w:r>
      <w:r>
        <w:t xml:space="preserve">interaction. An effect is reported as twice the coded coefficient, which is the change in the</w:t>
      </w:r>
      <w:r>
        <w:t xml:space="preserve"> </w:t>
      </w:r>
      <w:r>
        <w:t xml:space="preserve">response across the full characterization range of that factor. The response-surface data were</w:t>
      </w:r>
      <w:r>
        <w:t xml:space="preserve"> </w:t>
      </w:r>
      <w:r>
        <w:t xml:space="preserve">fitted with the full quadratic model, adding a squared term for each factor. Significance is</w:t>
      </w:r>
      <w:r>
        <w:t xml:space="preserve"> </w:t>
      </w:r>
      <w:r>
        <w:t xml:space="preserve">assessed at alpha = 0.05 throughout.</w:t>
      </w:r>
    </w:p>
    <w:p>
      <w:pPr>
        <w:pStyle w:val="BodyText"/>
      </w:pPr>
      <w:r>
        <w:t xml:space="preserve">Model adequacy is judged on four measures taken together. R² and adjusted R² describe the fit,</w:t>
      </w:r>
      <w:r>
        <w:t xml:space="preserve"> </w:t>
      </w:r>
      <w:r>
        <w:t xml:space="preserve">predicted R² from the PRESS statistic describes how the model performs on data it has not</w:t>
      </w:r>
      <w:r>
        <w:t xml:space="preserve"> </w:t>
      </w:r>
      <w:r>
        <w:t xml:space="preserve">seen, the overall F test asks whether the model explains more than the residual, and the</w:t>
      </w:r>
      <w:r>
        <w:t xml:space="preserve"> </w:t>
      </w:r>
      <w:r>
        <w:t xml:space="preserve">analysis of variance partitions the residual into lack of fit and pure error so that the model</w:t>
      </w:r>
      <w:r>
        <w:t xml:space="preserve"> </w:t>
      </w:r>
      <w:r>
        <w:t xml:space="preserve">form can be tested against the replicate scatter. A response for which no term is active is</w:t>
      </w:r>
      <w:r>
        <w:t xml:space="preserve"> </w:t>
      </w:r>
      <w:r>
        <w:t xml:space="preserve">reported as robust over the ranges studied, and no predictive model is claimed for it.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 with every parameter drawn inside its normal</w:t>
      </w:r>
      <w:r>
        <w:t xml:space="preserve"> </w:t>
      </w:r>
      <w:r>
        <w:t xml:space="preserve">operating range, and is reported as a one-sided Cpk against the relevant acceptance criterion.</w:t>
      </w:r>
      <w:r>
        <w:t xml:space="preserve"> </w:t>
      </w:r>
      <w:r>
        <w:t xml:space="preserve">The proven acceptable ranges in §7 use the same fitted response-surface model, once with the</w:t>
      </w:r>
      <w:r>
        <w:t xml:space="preserve"> </w:t>
      </w:r>
      <w:r>
        <w:t xml:space="preserve">other parameter fixed and once with it varying inside its normal operating range.</w:t>
      </w:r>
    </w:p>
    <w:bookmarkEnd w:id="32"/>
    <w:bookmarkEnd w:id="33"/>
    <w:bookmarkStart w:id="40" w:name="study-design"/>
    <w:p>
      <w:pPr>
        <w:pStyle w:val="Heading1"/>
      </w:pPr>
      <w:r>
        <w:t xml:space="preserve">4. Study design</w:t>
      </w:r>
    </w:p>
    <w:bookmarkStart w:id="36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design resolves the effect of each parameter on each response and then defines the region</w:t>
      </w:r>
      <w:r>
        <w:t xml:space="preserve"> </w:t>
      </w:r>
      <w:r>
        <w:t xml:space="preserve">in which the required clearance is delivered. Both parameters of the step were studied, and</w:t>
      </w:r>
      <w:r>
        <w:t xml:space="preserve"> </w:t>
      </w:r>
      <w:r>
        <w:t xml:space="preserve">their set-points, normal operating ranges, characterization ranges and final classifications</w:t>
      </w:r>
      <w:r>
        <w:t xml:space="preserve"> </w:t>
      </w:r>
      <w:r>
        <w:t xml:space="preserve">are given in</w:t>
      </w:r>
      <w:r>
        <w:t xml:space="preserve"> </w:t>
      </w:r>
      <w:hyperlink w:anchor="tbl-params">
        <w:r>
          <w:rPr>
            <w:rStyle w:val="Hyperlink"/>
          </w:rPr>
          <w:t xml:space="preserve">Table 8</w:t>
        </w:r>
      </w:hyperlink>
      <w:r>
        <w:t xml:space="preserve">. The coded letters used in the effect and coefficient tables are</w:t>
      </w:r>
      <w:r>
        <w:t xml:space="preserve"> </w:t>
      </w:r>
      <w:r>
        <w:t xml:space="preserve">given in</w:t>
      </w:r>
      <w:r>
        <w:t xml:space="preserve"> </w:t>
      </w:r>
      <w:hyperlink w:anchor="tbl-legend">
        <w:r>
          <w:rPr>
            <w:rStyle w:val="Hyperlink"/>
          </w:rPr>
          <w:t xml:space="preserve">Table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Process parameters of the step, with normal operating range, characterization range and final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14"/>
              <w:gridCol w:w="681"/>
              <w:gridCol w:w="1107"/>
              <w:gridCol w:w="681"/>
              <w:gridCol w:w="1277"/>
              <w:gridCol w:w="766"/>
              <w:gridCol w:w="11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The characterization ranges are wider than the normal operating ranges on both axes, and the</w:t>
      </w:r>
      <w:r>
        <w:t xml:space="preserve"> </w:t>
      </w:r>
      <w:r>
        <w:t xml:space="preserve">two widenings were chosen for different reasons. Volumetric load runs from</w:t>
      </w:r>
      <w:r>
        <w:t xml:space="preserve"> </w:t>
      </w:r>
      <w:r>
        <w:t xml:space="preserve">50–140 L/m², against a normal operating range of 50–105 L/m². The</w:t>
      </w:r>
      <w:r>
        <w:t xml:space="preserve"> </w:t>
      </w:r>
      <w:r>
        <w:t xml:space="preserve">upper edge is well above the routine ceiling, because prior knowledge says clearance declines</w:t>
      </w:r>
      <w:r>
        <w:t xml:space="preserve"> </w:t>
      </w:r>
      <w:r>
        <w:t xml:space="preserve">with load, and the point of the study is to establish how far that decline can go before the</w:t>
      </w:r>
      <w:r>
        <w:t xml:space="preserve"> </w:t>
      </w:r>
      <w:r>
        <w:t xml:space="preserve">step stops meeting its required contribution (§7). A range that stopped at the routine ceiling</w:t>
      </w:r>
      <w:r>
        <w:t xml:space="preserve"> </w:t>
      </w:r>
      <w:r>
        <w:t xml:space="preserve">could not have answered that question. Filtration pressure runs from 8–30 psi</w:t>
      </w:r>
      <w:r>
        <w:t xml:space="preserve"> </w:t>
      </w:r>
      <w:r>
        <w:t xml:space="preserve">against a normal operating range of 10–20 psi, and here the edges are the</w:t>
      </w:r>
      <w:r>
        <w:t xml:space="preserve"> </w:t>
      </w:r>
      <w:r>
        <w:t xml:space="preserve">operating limits of the filter itself. Testing to the vendor limits is what turns an expected</w:t>
      </w:r>
      <w:r>
        <w:t xml:space="preserve"> </w:t>
      </w:r>
      <w:r>
        <w:t xml:space="preserve">null result into a bounded one.</w:t>
      </w:r>
    </w:p>
    <w:p>
      <w:pPr>
        <w:pStyle w:val="BodyText"/>
      </w:pPr>
      <w:r>
        <w:t xml:space="preserve">The characterization ranges together define the knowledge space of the step. The design space</w:t>
      </w:r>
      <w:r>
        <w:t xml:space="preserve"> </w:t>
      </w:r>
      <w:r>
        <w:t xml:space="preserve">established in §6 is a subset of that space, and the normal operating ranges sit inside the</w:t>
      </w:r>
      <w:r>
        <w:t xml:space="preserve"> </w:t>
      </w:r>
      <w:r>
        <w:t xml:space="preserve">design space. That nesting is the structure ICH Q8 describes, and it is what allows a</w:t>
      </w:r>
      <w:r>
        <w:t xml:space="preserve"> </w:t>
      </w:r>
      <w:r>
        <w:t xml:space="preserve">parameter excursion to be assessed against evidence rather than against judgement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bookmarkEnd w:id="36"/>
    <w:bookmarkStart w:id="37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design is a two-level full factorial in the two parameters, augmented with</w:t>
      </w:r>
      <w:r>
        <w:t xml:space="preserve"> </w:t>
      </w:r>
      <w:r>
        <w:t xml:space="preserve">3 centre points, giving 7 runs in total. A full</w:t>
      </w:r>
      <w:r>
        <w:t xml:space="preserve"> </w:t>
      </w:r>
      <w:r>
        <w:t xml:space="preserve">factorial in two factors estimates both main effects and the interaction without confounding,</w:t>
      </w:r>
      <w:r>
        <w:t xml:space="preserve"> </w:t>
      </w:r>
      <w:r>
        <w:t xml:space="preserve">so the factorial part is exactly saturated. The residual degrees of freedom come entirely from</w:t>
      </w:r>
      <w:r>
        <w:t xml:space="preserve"> </w:t>
      </w:r>
      <w:r>
        <w:t xml:space="preserve">the centre points, and those runs also supply the replicate scatter and the test for</w:t>
      </w:r>
      <w:r>
        <w:t xml:space="preserve"> </w:t>
      </w:r>
      <w:r>
        <w:t xml:space="preserve">curvature. The design matrix and the measured responses are in Appendix A.</w:t>
      </w:r>
    </w:p>
    <w:p>
      <w:pPr>
        <w:pStyle w:val="BodyText"/>
      </w:pPr>
      <w:r>
        <w:t xml:space="preserve">The purpose of this stage is to identify which parameters have an effect worth modelling. It</w:t>
      </w:r>
      <w:r>
        <w:t xml:space="preserve"> </w:t>
      </w:r>
      <w:r>
        <w:t xml:space="preserve">is not to quantify that effect precisely, and this design could not do so. With three model</w:t>
      </w:r>
      <w:r>
        <w:t xml:space="preserve"> </w:t>
      </w:r>
      <w:r>
        <w:t xml:space="preserve">terms and 7 runs the residual carries few degrees of freedom, so the</w:t>
      </w:r>
      <w:r>
        <w:t xml:space="preserve"> </w:t>
      </w:r>
      <w:r>
        <w:t xml:space="preserve">standard errors are wide and the test has limited power.</w:t>
      </w:r>
    </w:p>
    <w:bookmarkEnd w:id="37"/>
    <w:bookmarkStart w:id="38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design is a face-centred central composite design in the same two</w:t>
      </w:r>
      <w:r>
        <w:t xml:space="preserve"> </w:t>
      </w:r>
      <w:r>
        <w:t xml:space="preserve">parameters, with 4 centre points and 12 runs. The</w:t>
      </w:r>
      <w:r>
        <w:t xml:space="preserve"> </w:t>
      </w:r>
      <w:r>
        <w:t xml:space="preserve">axial points are placed on the faces of the design cube, so no run leaves the characterization</w:t>
      </w:r>
      <w:r>
        <w:t xml:space="preserve"> </w:t>
      </w:r>
      <w:r>
        <w:t xml:space="preserve">range. Adding the axial points allows a squared term for each factor, so the model can</w:t>
      </w:r>
      <w:r>
        <w:t xml:space="preserve"> </w:t>
      </w:r>
      <w:r>
        <w:t xml:space="preserve">describe curvature in the clearance surface. The design matrix and the measured responses are</w:t>
      </w:r>
      <w:r>
        <w:t xml:space="preserve"> </w:t>
      </w:r>
      <w:r>
        <w:t xml:space="preserve">in Appendix B.</w:t>
      </w:r>
    </w:p>
    <w:p>
      <w:pPr>
        <w:pStyle w:val="BodyText"/>
      </w:pPr>
      <w:r>
        <w:t xml:space="preserve">Both parameters appear in both designs, because there are only two of them. In this study the</w:t>
      </w:r>
      <w:r>
        <w:t xml:space="preserve"> </w:t>
      </w:r>
      <w:r>
        <w:t xml:space="preserve">response-surface stage is not a reduction of the factor set, as it usually is. It augments the</w:t>
      </w:r>
      <w:r>
        <w:t xml:space="preserve"> </w:t>
      </w:r>
      <w:r>
        <w:t xml:space="preserve">same factor set with the runs needed to fit curvature and to obtain a model that can be used</w:t>
      </w:r>
      <w:r>
        <w:t xml:space="preserve"> </w:t>
      </w:r>
      <w:r>
        <w:t xml:space="preserve">for prediction. The division of labour still holds. The screening design identifies which</w:t>
      </w:r>
      <w:r>
        <w:t xml:space="preserve"> </w:t>
      </w:r>
      <w:r>
        <w:t xml:space="preserve">parameters are active, and the response-surface model is the predictive model and the basis of</w:t>
      </w:r>
      <w:r>
        <w:t xml:space="preserve"> </w:t>
      </w:r>
      <w:r>
        <w:t xml:space="preserve">the design space (§6).</w:t>
      </w:r>
    </w:p>
    <w:bookmarkEnd w:id="38"/>
    <w:bookmarkStart w:id="39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No parameter of this step was assessed univariately. RA-001 assigned both parameters to the</w:t>
      </w:r>
      <w:r>
        <w:t xml:space="preserve"> </w:t>
      </w:r>
      <w:r>
        <w:t xml:space="preserve">multivariate design, and there was no third parameter left over to assess one at a time.</w:t>
      </w:r>
      <w:r>
        <w:t xml:space="preserve"> </w:t>
      </w:r>
      <w:r>
        <w:t xml:space="preserve">Attributes of the filter and of the procedure that could in principle affect retention, such</w:t>
      </w:r>
      <w:r>
        <w:t xml:space="preserve"> </w:t>
      </w:r>
      <w:r>
        <w:t xml:space="preserve">as membrane lot and pre-use flush volume, are controlled under SOP-2012 and by the vendor</w:t>
      </w:r>
      <w:r>
        <w:t xml:space="preserve"> </w:t>
      </w:r>
      <w:r>
        <w:t xml:space="preserve">specification, and they are treated as controlled inputs. One of them became the subject of a</w:t>
      </w:r>
      <w:r>
        <w:t xml:space="preserve"> </w:t>
      </w:r>
      <w:r>
        <w:t xml:space="preserve">deviation during execution, and that is reported in §13.2.</w:t>
      </w:r>
    </w:p>
    <w:bookmarkEnd w:id="39"/>
    <w:bookmarkEnd w:id="40"/>
    <w:bookmarkStart w:id="61" w:name="results"/>
    <w:p>
      <w:pPr>
        <w:pStyle w:val="Heading1"/>
      </w:pPr>
      <w:r>
        <w:t xml:space="preserve">5. Results</w:t>
      </w:r>
    </w:p>
    <w:bookmarkStart w:id="43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Reproducibility of the scale-down model is adequate for the effects the study set out to</w:t>
      </w:r>
      <w:r>
        <w:t xml:space="preserve"> </w:t>
      </w:r>
      <w:r>
        <w:t xml:space="preserve">resolve, and the two log reduction factors are the least precise of the three responses.</w:t>
      </w:r>
      <w:r>
        <w:t xml:space="preserve"> </w:t>
      </w:r>
      <w:hyperlink w:anchor="tbl-cv-rsm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gives the centre-point mean, standard deviation and coefficient of variation for</w:t>
      </w:r>
      <w:r>
        <w:t xml:space="preserve"> </w:t>
      </w:r>
      <w:r>
        <w:t xml:space="preserve">each response in the response-surface design, and</w:t>
      </w:r>
      <w:r>
        <w:t xml:space="preserve"> </w:t>
      </w:r>
      <w:hyperlink w:anchor="tbl-cv-scr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gives the same for the screening</w:t>
      </w:r>
      <w:r>
        <w:t xml:space="preserve"> </w:t>
      </w:r>
      <w:r>
        <w:t xml:space="preserve">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cv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Centre-point reproducibility in the response-surface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v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Centre-point reproducibility in the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0.777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Step yield reproduces most tightly, at a coefficient of variation of</w:t>
      </w:r>
      <w:r>
        <w:t xml:space="preserve"> </w:t>
      </w:r>
      <w:r>
        <w:t xml:space="preserve">0.85 % in the response-surface design. A mass</w:t>
      </w:r>
      <w:r>
        <w:t xml:space="preserve"> </w:t>
      </w:r>
      <w:r>
        <w:t xml:space="preserve">balance across a filter that plugs very little should reproduce about that well. The two log</w:t>
      </w:r>
      <w:r>
        <w:t xml:space="preserve"> </w:t>
      </w:r>
      <w:r>
        <w:t xml:space="preserve">reduction factors are less precise, at 2.10 % for</w:t>
      </w:r>
      <w:r>
        <w:t xml:space="preserve"> </w:t>
      </w:r>
      <w:r>
        <w:t xml:space="preserve">MVM and 2.87 % for XMuLV, and the enveloped-virus</w:t>
      </w:r>
      <w:r>
        <w:t xml:space="preserve"> </w:t>
      </w:r>
      <w:r>
        <w:t xml:space="preserve">response is the noisier of the two in this design. In absolute terms the MVM</w:t>
      </w:r>
      <w:r>
        <w:t xml:space="preserve"> </w:t>
      </w:r>
      <w:r>
        <w:t xml:space="preserve">centre-point standard deviation is 0.116 log, against</w:t>
      </w:r>
      <w:r>
        <w:t xml:space="preserve"> </w:t>
      </w:r>
      <w:r>
        <w:t xml:space="preserve">a validated intermediate precision of 0.32 log for AMV-3018.</w:t>
      </w:r>
      <w:r>
        <w:t xml:space="preserve"> </w:t>
      </w:r>
      <w:r>
        <w:t xml:space="preserve">The observed run-to-run scatter is below the intermediate precision of the assay, so the</w:t>
      </w:r>
      <w:r>
        <w:t xml:space="preserve"> </w:t>
      </w:r>
      <w:r>
        <w:t xml:space="preserve">reproducibility of the model cannot be resolved separately from the method at this sample</w:t>
      </w:r>
      <w:r>
        <w:t xml:space="preserve"> </w:t>
      </w:r>
      <w:r>
        <w:t xml:space="preserve">size. The validation of AMV-3018 attributes a fraction of</w:t>
      </w:r>
      <w:r>
        <w:t xml:space="preserve"> </w:t>
      </w:r>
      <w:r>
        <w:t xml:space="preserve">0.3 of observed variance to the method (Appendix D).</w:t>
      </w:r>
    </w:p>
    <w:p>
      <w:pPr>
        <w:pStyle w:val="BodyText"/>
      </w:pPr>
      <w:r>
        <w:t xml:space="preserve">The screening centre points are noisier for MVM, at</w:t>
      </w:r>
      <w:r>
        <w:t xml:space="preserve"> </w:t>
      </w:r>
      <w:r>
        <w:t xml:space="preserve">8.99 %, with a standard deviation of</w:t>
      </w:r>
      <w:r>
        <w:t xml:space="preserve"> </w:t>
      </w:r>
      <w:r>
        <w:t xml:space="preserve">0.488 log. That scatter is of the same order as the</w:t>
      </w:r>
      <w:r>
        <w:t xml:space="preserve"> </w:t>
      </w:r>
      <w:r>
        <w:t xml:space="preserve">assay precision quoted above, and it rests on only 3 replicates, so it</w:t>
      </w:r>
      <w:r>
        <w:t xml:space="preserve"> </w:t>
      </w:r>
      <w:r>
        <w:t xml:space="preserve">is read here as assay variability in a small sample. It is the reason the screening standard</w:t>
      </w:r>
      <w:r>
        <w:t xml:space="preserve"> </w:t>
      </w:r>
      <w:r>
        <w:t xml:space="preserve">errors in §5.2 are wide. The response-surface design carries more centre points and shows the</w:t>
      </w:r>
      <w:r>
        <w:t xml:space="preserve"> </w:t>
      </w:r>
      <w:r>
        <w:t xml:space="preserve">tighter figure.</w:t>
      </w:r>
    </w:p>
    <w:bookmarkEnd w:id="43"/>
    <w:bookmarkStart w:id="47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stage identified volumetric load as the only active parameter, and it identified</w:t>
      </w:r>
      <w:r>
        <w:t xml:space="preserve"> </w:t>
      </w:r>
      <w:r>
        <w:t xml:space="preserve">it on one response only. Model-level statistics for the three screening fits are given in</w:t>
      </w:r>
      <w:r>
        <w:t xml:space="preserve"> </w:t>
      </w:r>
      <w:hyperlink w:anchor="tbl-fit-scr">
        <w:r>
          <w:rPr>
            <w:rStyle w:val="Hyperlink"/>
          </w:rPr>
          <w:t xml:space="preserve">Table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fit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Screening model adequacy, all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04"/>
              <w:gridCol w:w="501"/>
              <w:gridCol w:w="701"/>
              <w:gridCol w:w="1102"/>
              <w:gridCol w:w="1203"/>
              <w:gridCol w:w="6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0.0073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None of the three screening models is significant overall at alpha = 0.05, including the MVM</w:t>
      </w:r>
      <w:r>
        <w:t xml:space="preserve"> </w:t>
      </w:r>
      <w:r>
        <w:t xml:space="preserve">model, whose overall p-value is 0.096. The screening design</w:t>
      </w:r>
      <w:r>
        <w:t xml:space="preserve"> </w:t>
      </w:r>
      <w:r>
        <w:t xml:space="preserve">has 7 runs against three model terms, so the residual carries few</w:t>
      </w:r>
      <w:r>
        <w:t xml:space="preserve"> </w:t>
      </w:r>
      <w:r>
        <w:t xml:space="preserve">degrees of freedom and the overall F test is weak by construction. What the MVM model does</w:t>
      </w:r>
      <w:r>
        <w:t xml:space="preserve"> </w:t>
      </w:r>
      <w:r>
        <w:t xml:space="preserve">show is a single large term against a small residual, and the finding rests on that term. The</w:t>
      </w:r>
      <w:r>
        <w:t xml:space="preserve"> </w:t>
      </w:r>
      <w:r>
        <w:t xml:space="preserve">step yield model has a negative predicted R², which means it predicts a held-out run worse</w:t>
      </w:r>
      <w:r>
        <w:t xml:space="preserve"> </w:t>
      </w:r>
      <w:r>
        <w:t xml:space="preserve">than the response mean does, and no conclusion is drawn from any of these three fits beyond</w:t>
      </w:r>
      <w:r>
        <w:t xml:space="preserve"> </w:t>
      </w:r>
      <w:r>
        <w:t xml:space="preserve">which terms are worth carrying into the response-surface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eff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Screening effect estimates for MVM log reduction.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Volumetric load reduces MVM clearance by 1.61 log across the</w:t>
      </w:r>
      <w:r>
        <w:t xml:space="preserve"> </w:t>
      </w:r>
      <w:r>
        <w:t xml:space="preserve">characterized load range, and it is the only term in</w:t>
      </w:r>
      <w:r>
        <w:t xml:space="preserve"> </w:t>
      </w:r>
      <w:hyperlink w:anchor="tbl-eff-mvm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that reaches significance</w:t>
      </w:r>
      <w:r>
        <w:t xml:space="preserve"> </w:t>
      </w:r>
      <w:r>
        <w:t xml:space="preserve">(p = 0.027). The sign is the one prior knowledge predicted, since</w:t>
      </w:r>
      <w:r>
        <w:t xml:space="preserve"> </w:t>
      </w:r>
      <w:r>
        <w:t xml:space="preserve">clearance falls as more material passes the membrane. Pressure has an effect of</w:t>
      </w:r>
      <w:r>
        <w:t xml:space="preserve"> </w:t>
      </w:r>
      <w:r>
        <w:t xml:space="preserve">0.246 log in the same direction. That</w:t>
      </w:r>
      <w:r>
        <w:t xml:space="preserve"> </w:t>
      </w:r>
      <w:r>
        <w:t xml:space="preserve">estimate is smaller than the centre-point scatter of the same design and does not approach</w:t>
      </w:r>
      <w:r>
        <w:t xml:space="preserve"> </w:t>
      </w:r>
      <w:r>
        <w:t xml:space="preserve">significance. The interaction term is smaller still, and its estimate of</w:t>
      </w:r>
      <w:r>
        <w:t xml:space="preserve"> </w:t>
      </w:r>
      <w:r>
        <w:t xml:space="preserve">0.019 log is two orders of magnitude</w:t>
      </w:r>
      <w:r>
        <w:t xml:space="preserve"> </w:t>
      </w:r>
      <w:r>
        <w:t xml:space="preserve">below the load effect.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eff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Screening effect estimates for XMuLV log reduction.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Enveloped-virus clearance shows no significant dependence on either parameter (</w:t>
      </w:r>
      <w:hyperlink w:anchor="tbl-eff-xmulv">
        <w:r>
          <w:rPr>
            <w:rStyle w:val="Hyperlink"/>
          </w:rPr>
          <w:t xml:space="preserve">Table 14</w:t>
        </w:r>
      </w:hyperlink>
      <w:r>
        <w:t xml:space="preserve">).</w:t>
      </w:r>
      <w:r>
        <w:t xml:space="preserve"> </w:t>
      </w:r>
      <w:r>
        <w:t xml:space="preserve">The largest term is pressure, at 0.262</w:t>
      </w:r>
      <w:r>
        <w:t xml:space="preserve"> </w:t>
      </w:r>
      <w:r>
        <w:t xml:space="preserve">log across the pressure range, and it does not reach significance. Load, which drives the MVM</w:t>
      </w:r>
      <w:r>
        <w:t xml:space="preserve"> </w:t>
      </w:r>
      <w:r>
        <w:t xml:space="preserve">response, is the smallest of the three terms here. The contrast between the two model viruses</w:t>
      </w:r>
      <w:r>
        <w:t xml:space="preserve"> </w:t>
      </w:r>
      <w:r>
        <w:t xml:space="preserve">is exactly the contrast prior knowledge expected, and §5.4 takes it up. Step yield shows no</w:t>
      </w:r>
      <w:r>
        <w:t xml:space="preserve"> </w:t>
      </w:r>
      <w:r>
        <w:t xml:space="preserve">significant term either, and its full effect table is in Appendix C.</w:t>
      </w:r>
    </w:p>
    <w:p>
      <w:pPr>
        <w:pStyle w:val="BodyText"/>
      </w:pPr>
      <w:r>
        <w:t xml:space="preserve">The screening stage carried one active term forward. The magnitudes above are estimates from a</w:t>
      </w:r>
      <w:r>
        <w:t xml:space="preserve"> </w:t>
      </w:r>
      <w:r>
        <w:t xml:space="preserve">design built to detect effects, and they are refined by the response-surface model (§5.3),</w:t>
      </w:r>
      <w:r>
        <w:t xml:space="preserve"> </w:t>
      </w:r>
      <w:r>
        <w:t xml:space="preserve">which is the model used for prediction.</w:t>
      </w:r>
    </w:p>
    <w:bookmarkEnd w:id="47"/>
    <w:bookmarkStart w:id="59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One of the three response-surface models is adequate and predictive, and it is the model for</w:t>
      </w:r>
      <w:r>
        <w:t xml:space="preserve"> </w:t>
      </w:r>
      <w:r>
        <w:t xml:space="preserve">the response that governs the step. Model-level statistics for all three are given in</w:t>
      </w:r>
      <w:r>
        <w:t xml:space="preserve"> </w:t>
      </w:r>
      <w:hyperlink w:anchor="tbl-fit-rsm">
        <w:r>
          <w:rPr>
            <w:rStyle w:val="Hyperlink"/>
          </w:rPr>
          <w:t xml:space="preserve">Table 15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fit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Response-surface model adequacy, all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35"/>
              <w:gridCol w:w="482"/>
              <w:gridCol w:w="676"/>
              <w:gridCol w:w="1062"/>
              <w:gridCol w:w="1159"/>
              <w:gridCol w:w="772"/>
              <w:gridCol w:w="1062"/>
              <w:gridCol w:w="8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0.00685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The MVM model explains R² = 0.947 of the variation with an</w:t>
      </w:r>
      <w:r>
        <w:t xml:space="preserve"> </w:t>
      </w:r>
      <w:r>
        <w:t xml:space="preserve">adjusted R² of 0.903, and the overall F test gives</w:t>
      </w:r>
      <w:r>
        <w:t xml:space="preserve"> </w:t>
      </w:r>
      <w:r>
        <w:t xml:space="preserve">p = 0.0009. Its predicted R² is</w:t>
      </w:r>
      <w:r>
        <w:t xml:space="preserve"> </w:t>
      </w:r>
      <w:r>
        <w:t xml:space="preserve">0.527, which is materially lower than the fitted R² and</w:t>
      </w:r>
      <w:r>
        <w:t xml:space="preserve"> </w:t>
      </w:r>
      <w:r>
        <w:t xml:space="preserve">is the honest measure of how the model behaves on a run it has not seen, so predictions near</w:t>
      </w:r>
      <w:r>
        <w:t xml:space="preserve"> </w:t>
      </w:r>
      <w:r>
        <w:t xml:space="preserve">the edge of the region should be read with that gap in mind. The residual standard error is</w:t>
      </w:r>
      <w:r>
        <w:t xml:space="preserve"> </w:t>
      </w:r>
      <w:r>
        <w:t xml:space="preserve">0.211 log, of the same order as the assay precision</w:t>
      </w:r>
      <w:r>
        <w:t xml:space="preserve"> </w:t>
      </w:r>
      <w:r>
        <w:t xml:space="preserve">quoted in §5.1.</w:t>
      </w:r>
    </w:p>
    <w:p>
      <w:pPr>
        <w:pStyle w:val="BodyText"/>
      </w:pPr>
      <w:r>
        <w:t xml:space="preserve">Neither of the other two models is significant. The XMuLV model gives</w:t>
      </w:r>
      <w:r>
        <w:t xml:space="preserve"> </w:t>
      </w:r>
      <w:r>
        <w:t xml:space="preserve">p = 0.398 with an adjusted R² of</w:t>
      </w:r>
      <w:r>
        <w:t xml:space="preserve"> </w:t>
      </w:r>
      <w:r>
        <w:t xml:space="preserve">0.095, and the step yield model gives</w:t>
      </w:r>
      <w:r>
        <w:t xml:space="preserve"> </w:t>
      </w:r>
      <w:r>
        <w:t xml:space="preserve">p = 0.819. Both have negative predicted R². These are</w:t>
      </w:r>
      <w:r>
        <w:t xml:space="preserve"> </w:t>
      </w:r>
      <w:r>
        <w:t xml:space="preserve">null results and they are reported as such. No predictive model is claimed for enveloped-virus</w:t>
      </w:r>
      <w:r>
        <w:t xml:space="preserve"> </w:t>
      </w:r>
      <w:r>
        <w:t xml:space="preserve">clearance or for step yield at this step, and neither response is used to constrain the</w:t>
      </w:r>
      <w:r>
        <w:t xml:space="preserve"> </w:t>
      </w:r>
      <w:r>
        <w:t xml:space="preserve">operating region. Both remain in the knowledge space as evidence that the step is insensitive</w:t>
      </w:r>
      <w:r>
        <w:t xml:space="preserve"> </w:t>
      </w:r>
      <w:r>
        <w:t xml:space="preserve">to load and to pressure over the ranges studied. Their coefficient tables and analyses of</w:t>
      </w:r>
      <w:r>
        <w:t xml:space="preserve"> </w:t>
      </w:r>
      <w:r>
        <w:t xml:space="preserve">variance are 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coef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Response-surface coefficients for MVM log reduction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1.87e-09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5.57e-05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The coefficient table confirms the screening result and adds the curvature terms</w:t>
      </w:r>
      <w:r>
        <w:t xml:space="preserve"> </w:t>
      </w:r>
      <w:r>
        <w:t xml:space="preserve">(</w:t>
      </w:r>
      <w:hyperlink w:anchor="tbl-coef-mvm">
        <w:r>
          <w:rPr>
            <w:rStyle w:val="Hyperlink"/>
          </w:rPr>
          <w:t xml:space="preserve">Table 16</w:t>
        </w:r>
      </w:hyperlink>
      <w:r>
        <w:t xml:space="preserve">). The load coefficient is the only term significant at alpha = 0.05, and its</w:t>
      </w:r>
      <w:r>
        <w:t xml:space="preserve"> </w:t>
      </w:r>
      <w:r>
        <w:t xml:space="preserve">standard error is small enough that the effect is resolved rather than merely detected. The</w:t>
      </w:r>
      <w:r>
        <w:t xml:space="preserve"> </w:t>
      </w:r>
      <w:r>
        <w:t xml:space="preserve">squared term in pressure has a p-value of</w:t>
      </w:r>
      <w:r>
        <w:t xml:space="preserve"> </w:t>
      </w:r>
      <w:r>
        <w:t xml:space="preserve">0.058,</w:t>
      </w:r>
      <w:r>
        <w:t xml:space="preserve"> </w:t>
      </w:r>
      <w:r>
        <w:t xml:space="preserve">close to the threshold without crossing it. It describes a shallow maximum in</w:t>
      </w:r>
      <w:r>
        <w:t xml:space="preserve"> </w:t>
      </w:r>
      <w:r>
        <w:t xml:space="preserve">clearance near the middle of the pressure range, and its practical size is small. Since it is</w:t>
      </w:r>
      <w:r>
        <w:t xml:space="preserve"> </w:t>
      </w:r>
      <w:r>
        <w:t xml:space="preserve">not significant it is not treated as a mechanism. It is nevertheless retained in the model,</w:t>
      </w:r>
      <w:r>
        <w:t xml:space="preserve"> </w:t>
      </w:r>
      <w:r>
        <w:t xml:space="preserve">for two reasons. Dropping a term this close to the threshold in order to refit a five-term</w:t>
      </w:r>
      <w:r>
        <w:t xml:space="preserve"> </w:t>
      </w:r>
      <w:r>
        <w:t xml:space="preserve">model on 12 runs would overstate the precision of the coefficients that</w:t>
      </w:r>
      <w:r>
        <w:t xml:space="preserve"> </w:t>
      </w:r>
      <w:r>
        <w:t xml:space="preserve">remain. The surface fitted with the term in place is also the more conservative basis for the</w:t>
      </w:r>
      <w:r>
        <w:t xml:space="preserve"> </w:t>
      </w:r>
      <w:r>
        <w:t xml:space="preserve">worst-case corner evaluated in §6. The interaction term is not significant, which means the</w:t>
      </w:r>
      <w:r>
        <w:t xml:space="preserve"> </w:t>
      </w:r>
      <w:r>
        <w:t xml:space="preserve">effect of load on clearance does not depend on the pressure the filter is run at.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anova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Analysis of variance with lack-of-fit partition for the MVM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0.000921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The analysis of variance in</w:t>
      </w:r>
      <w:r>
        <w:t xml:space="preserve"> </w:t>
      </w:r>
      <w:hyperlink w:anchor="tbl-anova-mvm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supports the model form with one qualification.</w:t>
      </w:r>
      <w:r>
        <w:t xml:space="preserve"> </w:t>
      </w:r>
      <w:r>
        <w:t xml:space="preserve">Lack of fit is not significant at alpha = 0.05, with</w:t>
      </w:r>
      <w:r>
        <w:t xml:space="preserve"> </w:t>
      </w:r>
      <w:r>
        <w:t xml:space="preserve">p = 0.096, so the quadratic surface is not rejected</w:t>
      </w:r>
      <w:r>
        <w:t xml:space="preserve"> </w:t>
      </w:r>
      <w:r>
        <w:t xml:space="preserve">against the replicate scatter. The margin is small, and the pure-error estimate rests on</w:t>
      </w:r>
      <w:r>
        <w:t xml:space="preserve"> </w:t>
      </w:r>
      <w:r>
        <w:t xml:space="preserve">3 degrees of freedom, so this test is not a strong one.</w:t>
      </w:r>
      <w:r>
        <w:t xml:space="preserve"> </w:t>
      </w:r>
      <w:r>
        <w:t xml:space="preserve">Taken with the modest predicted R², it means the model should be used to define an operating</w:t>
      </w:r>
      <w:r>
        <w:t xml:space="preserve"> </w:t>
      </w:r>
      <w:r>
        <w:t xml:space="preserve">region (§6) and to predict mean levels inside it, and not to make point predictions at the</w:t>
      </w:r>
      <w:r>
        <w:t xml:space="preserve"> </w:t>
      </w:r>
      <w:r>
        <w:t xml:space="preserve">corners with a claimed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CR-009_virus_filtration_files/figure-docx/fig-contours-output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across the characterized load and pressure ranges, for each of the three measured responses.</w:t>
            </w:r>
          </w:p>
          <w:bookmarkEnd w:id="54"/>
        </w:tc>
      </w:tr>
    </w:tbl>
    <w:p>
      <w:pPr>
        <w:pStyle w:val="BodyText"/>
      </w:pPr>
      <w:r>
        <w:t xml:space="preserve">The surfaces in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make the shape of the result visible. MVM clearance falls</w:t>
      </w:r>
      <w:r>
        <w:t xml:space="preserve"> </w:t>
      </w:r>
      <w:r>
        <w:t xml:space="preserve">steadily from left to right across the load axis and is almost flat along the pressure axis,</w:t>
      </w:r>
      <w:r>
        <w:t xml:space="preserve"> </w:t>
      </w:r>
      <w:r>
        <w:t xml:space="preserve">so its contours are close to vertical lines. The XMuLV and step yield panels are drawn from</w:t>
      </w:r>
      <w:r>
        <w:t xml:space="preserve"> </w:t>
      </w:r>
      <w:r>
        <w:t xml:space="preserve">models that are not significant, and the small tilts they show should not be read as effects.</w:t>
      </w:r>
      <w:r>
        <w:t xml:space="preserve"> </w:t>
      </w:r>
      <w:r>
        <w:t xml:space="preserve">They are shown for completeness, and because a flat surface is the visual form of the</w:t>
      </w:r>
      <w:r>
        <w:t xml:space="preserve"> </w:t>
      </w:r>
      <w:r>
        <w:t xml:space="preserve">robustness claim made above.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iag-mvm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PCR-009_virus_filtration_files/figure-docx/fig-diag-mvm-outpu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Model diagnostics for the MVM response-surface model: standardized residuals against predicted values, normal quantile plot, and actual against predicted.</w:t>
            </w:r>
          </w:p>
          <w:bookmarkEnd w:id="58"/>
        </w:tc>
      </w:tr>
    </w:tbl>
    <w:p>
      <w:pPr>
        <w:pStyle w:val="BodyText"/>
      </w:pPr>
      <w:r>
        <w:t xml:space="preserve">Diagnostics for the MVM model are given in</w:t>
      </w:r>
      <w:r>
        <w:t xml:space="preserve"> </w:t>
      </w:r>
      <w:hyperlink w:anchor="fig-diag-mvm">
        <w:r>
          <w:rPr>
            <w:rStyle w:val="Hyperlink"/>
          </w:rPr>
          <w:t xml:space="preserve">Figure 2</w:t>
        </w:r>
      </w:hyperlink>
      <w:r>
        <w:t xml:space="preserve">. The residuals show no structure</w:t>
      </w:r>
      <w:r>
        <w:t xml:space="preserve"> </w:t>
      </w:r>
      <w:r>
        <w:t xml:space="preserve">against the predicted value, so the variance is stable across the range of clearance the model</w:t>
      </w:r>
      <w:r>
        <w:t xml:space="preserve"> </w:t>
      </w:r>
      <w:r>
        <w:t xml:space="preserve">covers. The normal quantile plot is close to a straight line, with no point far enough from it</w:t>
      </w:r>
      <w:r>
        <w:t xml:space="preserve"> </w:t>
      </w:r>
      <w:r>
        <w:t xml:space="preserve">to suggest an outlier or a failed run. The actual against predicted panel sits on the identity</w:t>
      </w:r>
      <w:r>
        <w:t xml:space="preserve"> </w:t>
      </w:r>
      <w:r>
        <w:t xml:space="preserve">line across the whole range. Nothing in the diagnostics contradicts the model form, which is</w:t>
      </w:r>
      <w:r>
        <w:t xml:space="preserve"> </w:t>
      </w:r>
      <w:r>
        <w:t xml:space="preserve">the most that diagnostics on 12 runs can establish.</w:t>
      </w:r>
    </w:p>
    <w:bookmarkEnd w:id="59"/>
    <w:bookmarkStart w:id="60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results are consistent with retention by size exclusion on a membrane whose effective</w:t>
      </w:r>
      <w:r>
        <w:t xml:space="preserve"> </w:t>
      </w:r>
      <w:r>
        <w:t xml:space="preserve">pore-size distribution changes as material accumulates. Every finding of the study follows</w:t>
      </w:r>
      <w:r>
        <w:t xml:space="preserve"> </w:t>
      </w:r>
      <w:r>
        <w:t xml:space="preserve">from that one mechanism, and the two model viruses behave differently for the reason that</w:t>
      </w:r>
      <w:r>
        <w:t xml:space="preserve"> </w:t>
      </w:r>
      <w:r>
        <w:t xml:space="preserve">mechanism predicts.</w:t>
      </w:r>
    </w:p>
    <w:p>
      <w:pPr>
        <w:pStyle w:val="BodyText"/>
      </w:pPr>
      <w:r>
        <w:t xml:space="preserve">MVM is at the small end of what the membrane can retain. Its retention depends on the tail of</w:t>
      </w:r>
      <w:r>
        <w:t xml:space="preserve"> </w:t>
      </w:r>
      <w:r>
        <w:t xml:space="preserve">the pore-size distribution, so anything that shifts that tail changes clearance. As the</w:t>
      </w:r>
      <w:r>
        <w:t xml:space="preserve"> </w:t>
      </w:r>
      <w:r>
        <w:t xml:space="preserve">volumetric load rises, protein and other load components deposit within the retentive layer,</w:t>
      </w:r>
      <w:r>
        <w:t xml:space="preserve"> </w:t>
      </w:r>
      <w:r>
        <w:t xml:space="preserve">and the passage available to a particle of parvovirus size changes with them. Clearance</w:t>
      </w:r>
      <w:r>
        <w:t xml:space="preserve"> </w:t>
      </w:r>
      <w:r>
        <w:t xml:space="preserve">declines steadily with load, and the load coefficient in</w:t>
      </w:r>
      <w:r>
        <w:t xml:space="preserve"> </w:t>
      </w:r>
      <w:hyperlink w:anchor="tbl-coef-mvm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measures that decline.</w:t>
      </w:r>
      <w:r>
        <w:t xml:space="preserve"> </w:t>
      </w:r>
      <w:r>
        <w:t xml:space="preserve">XMuLV is several times larger and is retained with a wide margin over the whole range, so the</w:t>
      </w:r>
      <w:r>
        <w:t xml:space="preserve"> </w:t>
      </w:r>
      <w:r>
        <w:t xml:space="preserve">same shift in the tail of the distribution does not reach it. The flat XMuLV surface is not an</w:t>
      </w:r>
      <w:r>
        <w:t xml:space="preserve"> </w:t>
      </w:r>
      <w:r>
        <w:t xml:space="preserve">absence of information. It is the expected consequence of a size-based mechanism acting on a</w:t>
      </w:r>
      <w:r>
        <w:t xml:space="preserve"> </w:t>
      </w:r>
      <w:r>
        <w:t xml:space="preserve">virus that is comfortably above the retention threshold.</w:t>
      </w:r>
    </w:p>
    <w:p>
      <w:pPr>
        <w:pStyle w:val="BodyText"/>
      </w:pPr>
      <w:r>
        <w:t xml:space="preserve">Pressure behaves as expected as well. Over the range tested, pressure sets the flux, and with</w:t>
      </w:r>
      <w:r>
        <w:t xml:space="preserve"> </w:t>
      </w:r>
      <w:r>
        <w:t xml:space="preserve">it the time the filtration takes, and it does not change what the membrane retains.</w:t>
      </w:r>
      <w:r>
        <w:t xml:space="preserve"> </w:t>
      </w:r>
      <w:r>
        <w:t xml:space="preserve">That is why the pressure terms are small on every response and why the interaction with load</w:t>
      </w:r>
      <w:r>
        <w:t xml:space="preserve"> </w:t>
      </w:r>
      <w:r>
        <w:t xml:space="preserve">is negligible. The practical consequence is that the two parameters can be treated as acting</w:t>
      </w:r>
      <w:r>
        <w:t xml:space="preserve"> </w:t>
      </w:r>
      <w:r>
        <w:t xml:space="preserve">independently inside the region, so the operating region is close to a rectangle in the two</w:t>
      </w:r>
      <w:r>
        <w:t xml:space="preserve"> </w:t>
      </w:r>
      <w:r>
        <w:t xml:space="preserve">parameters.</w:t>
      </w:r>
    </w:p>
    <w:p>
      <w:pPr>
        <w:pStyle w:val="BodyText"/>
      </w:pPr>
      <w:r>
        <w:t xml:space="preserve">A multivariate design was still the right instrument, because independence is a finding of the</w:t>
      </w:r>
      <w:r>
        <w:t xml:space="preserve"> </w:t>
      </w:r>
      <w:r>
        <w:t xml:space="preserve">study and not an assumption of it, and the interaction term had to be estimated in order to be</w:t>
      </w:r>
      <w:r>
        <w:t xml:space="preserve"> </w:t>
      </w:r>
      <w:r>
        <w:t xml:space="preserve">dismissed. Had the interaction been active, univariate ranges on the two parameters would have</w:t>
      </w:r>
      <w:r>
        <w:t xml:space="preserve"> </w:t>
      </w:r>
      <w:r>
        <w:t xml:space="preserve">described a region the process does not have. The step yield result belongs to the same</w:t>
      </w:r>
      <w:r>
        <w:t xml:space="preserve"> </w:t>
      </w:r>
      <w:r>
        <w:t xml:space="preserve">picture. Yield stays high across the whole region, including at the highest load. The membrane</w:t>
      </w:r>
      <w:r>
        <w:t xml:space="preserve"> </w:t>
      </w:r>
      <w:r>
        <w:t xml:space="preserve">is therefore not plugging to any appreciable degree over the loads tested, and the decline in</w:t>
      </w:r>
      <w:r>
        <w:t xml:space="preserve"> </w:t>
      </w:r>
      <w:r>
        <w:t xml:space="preserve">MVM clearance comes from a change in the retentive layer rather than from gross fouling.</w:t>
      </w:r>
    </w:p>
    <w:bookmarkEnd w:id="60"/>
    <w:bookmarkEnd w:id="61"/>
    <w:bookmarkStart w:id="62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of the step is the whole characterized region, bounded by the load and</w:t>
      </w:r>
      <w:r>
        <w:t xml:space="preserve"> </w:t>
      </w:r>
      <w:r>
        <w:t xml:space="preserve">pressure ranges studied. Within 50–140 L/m² of volumetric load and</w:t>
      </w:r>
      <w:r>
        <w:t xml:space="preserve"> </w:t>
      </w:r>
      <w:r>
        <w:t xml:space="preserve">8–30 psi of filtration pressure, the fitted response-surface model predicts an</w:t>
      </w:r>
      <w:r>
        <w:t xml:space="preserve"> </w:t>
      </w:r>
      <w:r>
        <w:t xml:space="preserve">MVM log reduction at or above the contribution the step is required to make, and no corner of</w:t>
      </w:r>
      <w:r>
        <w:t xml:space="preserve"> </w:t>
      </w:r>
      <w:r>
        <w:t xml:space="preserve">that region breaches it. The region has one principal plane, load against pressure, because</w:t>
      </w:r>
      <w:r>
        <w:t xml:space="preserve"> </w:t>
      </w:r>
      <w:r>
        <w:t xml:space="preserve">those are the only two parameters of the step.</w:t>
      </w:r>
    </w:p>
    <w:p>
      <w:pPr>
        <w:pStyle w:val="BodyText"/>
      </w:pPr>
      <w:r>
        <w:t xml:space="preserve">The worst case in that region is the corner at the highest load and the highest pressure. The</w:t>
      </w:r>
      <w:r>
        <w:t xml:space="preserve"> </w:t>
      </w:r>
      <w:r>
        <w:t xml:space="preserve">model predicts an MVM log reduction of 4.48 there, against a required</w:t>
      </w:r>
      <w:r>
        <w:t xml:space="preserve"> </w:t>
      </w:r>
      <w:r>
        <w:t xml:space="preserve">step contribution of 3.89 log, leaving a margin of</w:t>
      </w:r>
      <w:r>
        <w:t xml:space="preserve"> </w:t>
      </w:r>
      <w:r>
        <w:t xml:space="preserve">0.59 log. Load is what puts that corner where it is. The shallow</w:t>
      </w:r>
      <w:r>
        <w:t xml:space="preserve"> </w:t>
      </w:r>
      <w:r>
        <w:t xml:space="preserve">curvature term discussed in §5.3 places the pressure minimum at an edge of the pressure range</w:t>
      </w:r>
      <w:r>
        <w:t xml:space="preserve"> </w:t>
      </w:r>
      <w:r>
        <w:t xml:space="preserve">instead of in the middle of it, and the two pressure edges then differ by</w:t>
      </w:r>
      <w:r>
        <w:t xml:space="preserve"> </w:t>
      </w:r>
      <w:r>
        <w:t xml:space="preserve">0.01 log at the highest load, against a residual standard error of</w:t>
      </w:r>
      <w:r>
        <w:t xml:space="preserve"> </w:t>
      </w:r>
      <w:r>
        <w:t xml:space="preserve">0.211 log. That difference is well inside the scatter of</w:t>
      </w:r>
      <w:r>
        <w:t xml:space="preserve"> </w:t>
      </w:r>
      <w:r>
        <w:t xml:space="preserve">the model, so load alone sets the worst case, and a reader tracking the limiting condition of</w:t>
      </w:r>
      <w:r>
        <w:t xml:space="preserve"> </w:t>
      </w:r>
      <w:r>
        <w:t xml:space="preserve">this step should track the load axis. At the upper corner of the normal operating ranges the</w:t>
      </w:r>
      <w:r>
        <w:t xml:space="preserve"> </w:t>
      </w:r>
      <w:r>
        <w:t xml:space="preserve">predicted clearance is 5.33 log, a margin of</w:t>
      </w:r>
      <w:r>
        <w:t xml:space="preserve"> </w:t>
      </w:r>
      <w:r>
        <w:t xml:space="preserve">1.44 log over the requirement, and at the set-point it is</w:t>
      </w:r>
      <w:r>
        <w:t xml:space="preserve"> </w:t>
      </w:r>
      <w:r>
        <w:t xml:space="preserve">5.55 log.</w:t>
      </w:r>
    </w:p>
    <w:p>
      <w:pPr>
        <w:pStyle w:val="BodyText"/>
      </w:pPr>
      <w:r>
        <w:t xml:space="preserve">The operating ranges are nested inside the design space in the way ICH Q8 describes</w:t>
      </w:r>
      <w:r>
        <w:t xml:space="preserve"> </w:t>
      </w:r>
      <w:r>
        <w:t xml:space="preserve">(International Council for Harmonisation 2009)</w:t>
      </w:r>
      <w:r>
        <w:t xml:space="preserve">.</w:t>
      </w:r>
      <w:r>
        <w:t xml:space="preserve"> </w:t>
      </w:r>
      <w:r>
        <w:t xml:space="preserve">The normal operating range for load, 50–105 L/m², is a strict subset of the</w:t>
      </w:r>
      <w:r>
        <w:t xml:space="preserve"> </w:t>
      </w:r>
      <w:r>
        <w:t xml:space="preserve">characterized range, and the same holds for pressure at 10–20 psi. The knowledge</w:t>
      </w:r>
      <w:r>
        <w:t xml:space="preserve"> </w:t>
      </w:r>
      <w:r>
        <w:t xml:space="preserve">space is wider than both, since the study deliberately explored loads well above the routine</w:t>
      </w:r>
      <w:r>
        <w:t xml:space="preserve"> </w:t>
      </w:r>
      <w:r>
        <w:t xml:space="preserve">ceiling. Movement within the design space is not a regulatory change, though it is still</w:t>
      </w:r>
      <w:r>
        <w:t xml:space="preserve"> </w:t>
      </w:r>
      <w:r>
        <w:t xml:space="preserve">assessed under the pharmaceutical quality system before it is made</w:t>
      </w:r>
      <w:r>
        <w:t xml:space="preserve"> </w:t>
      </w:r>
      <w:r>
        <w:t xml:space="preserve">(International Council for Harmonisation 2008)</w:t>
      </w:r>
      <w:r>
        <w:t xml:space="preserve">. Movement outside</w:t>
      </w:r>
      <w:r>
        <w:t xml:space="preserve"> </w:t>
      </w:r>
      <w:r>
        <w:t xml:space="preserve">the design space requires change control and, for a viral clearance step, a fresh assessment</w:t>
      </w:r>
      <w:r>
        <w:t xml:space="preserve"> </w:t>
      </w:r>
      <w:r>
        <w:t xml:space="preserve">of whether the clearance credited in the cumulative claim still holds.</w:t>
      </w:r>
    </w:p>
    <w:p>
      <w:pPr>
        <w:pStyle w:val="BodyText"/>
      </w:pPr>
      <w:r>
        <w:t xml:space="preserve">Three bounds apply to this design space. It is bounded by the ranges studied, and nothing is</w:t>
      </w:r>
      <w:r>
        <w:t xml:space="preserve"> </w:t>
      </w:r>
      <w:r>
        <w:t xml:space="preserve">claimed for a load above 140 L/m² or a pressure outside</w:t>
      </w:r>
      <w:r>
        <w:t xml:space="preserve"> </w:t>
      </w:r>
      <w:r>
        <w:t xml:space="preserve">8–30 psi. It is bounded by the model, which predicts mean levels of clearance</w:t>
      </w:r>
      <w:r>
        <w:t xml:space="preserve"> </w:t>
      </w:r>
      <w:r>
        <w:t xml:space="preserve">from 12 runs and has a predicted R² of</w:t>
      </w:r>
      <w:r>
        <w:t xml:space="preserve"> </w:t>
      </w:r>
      <w:r>
        <w:t xml:space="preserve">0.527, so the assurance available at the very edge of</w:t>
      </w:r>
      <w:r>
        <w:t xml:space="preserve"> </w:t>
      </w:r>
      <w:r>
        <w:t xml:space="preserve">the region is lower than at its centre. It is bounded by the scale-down spiking model, which</w:t>
      </w:r>
      <w:r>
        <w:t xml:space="preserve"> </w:t>
      </w:r>
      <w:r>
        <w:t xml:space="preserve">is the only place clearance can be measured, and by the assumption that the load material</w:t>
      </w:r>
      <w:r>
        <w:t xml:space="preserve"> </w:t>
      </w:r>
      <w:r>
        <w:t xml:space="preserve">stays within the composition the anion exchange design space delivers (PCR-008). The design</w:t>
      </w:r>
      <w:r>
        <w:t xml:space="preserve"> </w:t>
      </w:r>
      <w:r>
        <w:t xml:space="preserve">space is also constrained by things the model does not describe. A filter that fails its</w:t>
      </w:r>
      <w:r>
        <w:t xml:space="preserve"> </w:t>
      </w:r>
      <w:r>
        <w:t xml:space="preserve">post-use integrity test invalidates the batch whatever the model predicts, and the vendor</w:t>
      </w:r>
      <w:r>
        <w:t xml:space="preserve"> </w:t>
      </w:r>
      <w:r>
        <w:t xml:space="preserve">operating limits for the device remain in force at both edges of the pressure range.</w:t>
      </w:r>
    </w:p>
    <w:bookmarkEnd w:id="62"/>
    <w:bookmarkStart w:id="73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proven acceptable ranges complement the design space by stating, for each governed quality</w:t>
      </w:r>
      <w:r>
        <w:t xml:space="preserve"> </w:t>
      </w:r>
      <w:r>
        <w:t xml:space="preserve">attribute and each parameter separately, the range over which the attribute stays within</w:t>
      </w:r>
      <w:r>
        <w:t xml:space="preserve"> </w:t>
      </w:r>
      <w:r>
        <w:t xml:space="preserve">acceptance. The acceptance basis comes first, because for a viral clearance response it is not</w:t>
      </w:r>
      <w:r>
        <w:t xml:space="preserve"> </w:t>
      </w:r>
      <w:r>
        <w:t xml:space="preserve">the drug substance specification. The specification is a cumulative floor over the whole</w:t>
      </w:r>
      <w:r>
        <w:t xml:space="preserve"> </w:t>
      </w:r>
      <w:r>
        <w:t xml:space="preserve">train, so the criterion for this step is that floor less the clearance credited to the other</w:t>
      </w:r>
      <w:r>
        <w:t xml:space="preserve"> </w:t>
      </w:r>
      <w:r>
        <w:t xml:space="preserve">steps that contribute.</w:t>
      </w:r>
      <w:r>
        <w:t xml:space="preserve"> </w:t>
      </w:r>
      <w:hyperlink w:anchor="tbl-accept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states the resulting criterion for each response.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acce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Acceptance criterion for each measured response, with its basis.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5"/>
              <w:gridCol w:w="1723"/>
              <w:gridCol w:w="1118"/>
              <w:gridCol w:w="885"/>
              <w:gridCol w:w="3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 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log₁₀ (this step)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requirement less the clearance credited to the other steps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log₁₀ (this step)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requirement less the clearance credited to the other steps</w:t>
                  </w: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t xml:space="preserve">The step must deliver at least 3.89 log of MVM clearance and at least</w:t>
      </w:r>
      <w:r>
        <w:t xml:space="preserve"> </w:t>
      </w:r>
      <w:r>
        <w:t xml:space="preserve">3.65 log of XMuLV clearance. Both criteria are well below what the</w:t>
      </w:r>
      <w:r>
        <w:t xml:space="preserve"> </w:t>
      </w:r>
      <w:r>
        <w:t xml:space="preserve">step achieves at its set-point. Step yield maps to no quality attribute and so has no</w:t>
      </w:r>
      <w:r>
        <w:t xml:space="preserve"> </w:t>
      </w:r>
      <w:r>
        <w:t xml:space="preserve">acceptance criterion here; it is a process performance measure and is treated as such.</w:t>
      </w:r>
    </w:p>
    <w:p>
      <w:pPr>
        <w:pStyle w:val="BodyText"/>
      </w:pPr>
      <w:r>
        <w:t xml:space="preserve">Two analyses were run for each pairing of attribute and parameter. The first holds the other</w:t>
      </w:r>
      <w:r>
        <w:t xml:space="preserve"> </w:t>
      </w:r>
      <w:r>
        <w:t xml:space="preserve">parameter at its set-point and evaluates the fitted response-surface model across the</w:t>
      </w:r>
      <w:r>
        <w:t xml:space="preserve"> </w:t>
      </w:r>
      <w:r>
        <w:t xml:space="preserve">parameter’s characterization range. The second propagates the normal operating range of the</w:t>
      </w:r>
      <w:r>
        <w:t xml:space="preserve"> </w:t>
      </w:r>
      <w:r>
        <w:t xml:space="preserve">other parameter by Monte-Carlo simulation of the fitted model, with</w:t>
      </w:r>
      <w:r>
        <w:t xml:space="preserve"> </w:t>
      </w:r>
      <w:r>
        <w:t xml:space="preserve">2,000 draws at each grid point and the model residual added, and takes</w:t>
      </w:r>
      <w:r>
        <w:t xml:space="preserve"> </w:t>
      </w:r>
      <w:r>
        <w:t xml:space="preserve">the range over which the predictive interval stays within acceptance. The second is the</w:t>
      </w:r>
      <w:r>
        <w:t xml:space="preserve"> </w:t>
      </w:r>
      <w:r>
        <w:t xml:space="preserve">reproducible default, because it asks whether the range still holds when the rest of the</w:t>
      </w:r>
      <w:r>
        <w:t xml:space="preserve"> </w:t>
      </w:r>
      <w:r>
        <w:t xml:space="preserve">operating point moves as it normally does. The results are in</w:t>
      </w:r>
      <w:r>
        <w:t xml:space="preserve"> </w:t>
      </w:r>
      <w:hyperlink w:anchor="tbl-par">
        <w:r>
          <w:rPr>
            <w:rStyle w:val="Hyperlink"/>
          </w:rPr>
          <w:t xml:space="preserve">Table 19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Proven acceptable ranges per governed quality attribute and parameter, from both analyses.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04"/>
              <w:gridCol w:w="2059"/>
              <w:gridCol w:w="1188"/>
              <w:gridCol w:w="633"/>
              <w:gridCol w:w="1504"/>
              <w:gridCol w:w="10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Every entry in</w:t>
      </w:r>
      <w:r>
        <w:t xml:space="preserve"> </w:t>
      </w:r>
      <w:hyperlink w:anchor="tbl-par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spans the full characterization range, and the two analyses agree on</w:t>
      </w:r>
      <w:r>
        <w:t xml:space="preserve"> </w:t>
      </w:r>
      <w:r>
        <w:t xml:space="preserve">every row. The whole studied range of volumetric load is a proven acceptable range for MVM</w:t>
      </w:r>
      <w:r>
        <w:t xml:space="preserve"> </w:t>
      </w:r>
      <w:r>
        <w:t xml:space="preserve">clearance, and it stays a proven acceptable range when pressure varies across its normal</w:t>
      </w:r>
      <w:r>
        <w:t xml:space="preserve"> </w:t>
      </w:r>
      <w:r>
        <w:t xml:space="preserve">operating range. The same holds for pressure, and both parameters behave the same way against</w:t>
      </w:r>
      <w:r>
        <w:t xml:space="preserve"> </w:t>
      </w:r>
      <w:r>
        <w:t xml:space="preserve">the XMuLV attribute. Nothing narrows. There is no binding univariate constraint anywhere in</w:t>
      </w:r>
      <w:r>
        <w:t xml:space="preserve"> </w:t>
      </w:r>
      <w:r>
        <w:t xml:space="preserve">this step, and clearance never falls to its floor inside the region (§5.4).</w:t>
      </w:r>
    </w:p>
    <w:p>
      <w:pPr>
        <w:pStyle w:val="BodyText"/>
      </w:pPr>
      <w:r>
        <w:t xml:space="preserve">That result has a consequence for how the ranges should be used. Because no proven acceptable</w:t>
      </w:r>
      <w:r>
        <w:t xml:space="preserve"> </w:t>
      </w:r>
      <w:r>
        <w:t xml:space="preserve">range is narrower than the characterization range, the binding constraint on the operating</w:t>
      </w:r>
      <w:r>
        <w:t xml:space="preserve"> </w:t>
      </w:r>
      <w:r>
        <w:t xml:space="preserve">region is not any univariate range. It is the multivariate corner identified in §6, the point</w:t>
      </w:r>
      <w:r>
        <w:t xml:space="preserve"> </w:t>
      </w:r>
      <w:r>
        <w:t xml:space="preserve">of highest load and highest pressure, where the margin over the requirement is smallest. A</w:t>
      </w:r>
      <w:r>
        <w:t xml:space="preserve"> </w:t>
      </w:r>
      <w:r>
        <w:t xml:space="preserve">reader looking for the limiting condition of this step should look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par-mvm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CR-009_virus_filtration_files/figure-docx/fig-par-mvm-output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Proven acceptable range for MVM log reduction against volumetric load. The acceptance limit is drawn, the acceptable region is shaded green, and the set-point and normal operating range are marked. Left panel: the other parameter at set-point. Right panel: the other parameter varying within its normal operating range.</w:t>
            </w:r>
          </w:p>
          <w:bookmarkEnd w:id="68"/>
        </w:tc>
      </w:tr>
    </w:tbl>
    <w:p>
      <w:pPr>
        <w:pStyle w:val="BodyText"/>
      </w:pPr>
      <w:hyperlink w:anchor="fig-par-mvm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governing pairing of the step, MVM clearance against volumetric load.</w:t>
      </w:r>
      <w:r>
        <w:t xml:space="preserve"> </w:t>
      </w:r>
      <w:r>
        <w:t xml:space="preserve">The predicted clearance declines across the load range in both panels and stays above the</w:t>
      </w:r>
      <w:r>
        <w:t xml:space="preserve"> </w:t>
      </w:r>
      <w:r>
        <w:t xml:space="preserve">acceptance limit throughout, so the shaded acceptable region covers the whole axis. The right</w:t>
      </w:r>
      <w:r>
        <w:t xml:space="preserve"> </w:t>
      </w:r>
      <w:r>
        <w:t xml:space="preserve">panel shows the predictive interval widening around the median once pressure is allowed to</w:t>
      </w:r>
      <w:r>
        <w:t xml:space="preserve"> </w:t>
      </w:r>
      <w:r>
        <w:t xml:space="preserve">vary within its normal operating range, and the lower bound of that interval still clears the</w:t>
      </w:r>
      <w:r>
        <w:t xml:space="preserve"> </w:t>
      </w:r>
      <w:r>
        <w:t xml:space="preserve">limit at the highest load. The set-point sits in the left half of the range, with the normal</w:t>
      </w:r>
      <w:r>
        <w:t xml:space="preserve"> </w:t>
      </w:r>
      <w:r>
        <w:t xml:space="preserve">operating range around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ar-xmulv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CR-009_virus_filtration_files/figure-docx/fig-par-xmulv-output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for XMuLV log reduction against filtration pressure, with the acceptance limit drawn and the acceptable region shaded green.</w:t>
            </w:r>
          </w:p>
          <w:bookmarkEnd w:id="72"/>
        </w:tc>
      </w:tr>
    </w:tbl>
    <w:p>
      <w:pPr>
        <w:pStyle w:val="BodyText"/>
      </w:pPr>
      <w:hyperlink w:anchor="fig-par-xmulv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equivalent pairing for enveloped virus, plotted against pressure</w:t>
      </w:r>
      <w:r>
        <w:t xml:space="preserve"> </w:t>
      </w:r>
      <w:r>
        <w:t xml:space="preserve">because that is the parameter with the largest main effect on the XMuLV response. The</w:t>
      </w:r>
      <w:r>
        <w:t xml:space="preserve"> </w:t>
      </w:r>
      <w:r>
        <w:t xml:space="preserve">predicted clearance is essentially flat and sits far above the acceptance limit at every</w:t>
      </w:r>
      <w:r>
        <w:t xml:space="preserve"> </w:t>
      </w:r>
      <w:r>
        <w:t xml:space="preserve">pressure tested. No effect was found, the range over which no effect was found is stated, and</w:t>
      </w:r>
      <w:r>
        <w:t xml:space="preserve"> </w:t>
      </w:r>
      <w:r>
        <w:t xml:space="preserve">the distance to the limit is visible.</w:t>
      </w:r>
    </w:p>
    <w:p>
      <w:pPr>
        <w:pStyle w:val="BodyText"/>
      </w:pPr>
      <w:r>
        <w:t xml:space="preserve">Two bounds apply to the ranges in</w:t>
      </w:r>
      <w:r>
        <w:t xml:space="preserve"> </w:t>
      </w:r>
      <w:hyperlink w:anchor="tbl-par">
        <w:r>
          <w:rPr>
            <w:rStyle w:val="Hyperlink"/>
          </w:rPr>
          <w:t xml:space="preserve">Table 19</w:t>
        </w:r>
      </w:hyperlink>
      <w:r>
        <w:t xml:space="preserve">. They are conditional on the fitted</w:t>
      </w:r>
      <w:r>
        <w:t xml:space="preserve"> </w:t>
      </w:r>
      <w:r>
        <w:t xml:space="preserve">response-surface model, so they inherit the predicted R² and the residual scatter reported in</w:t>
      </w:r>
      <w:r>
        <w:t xml:space="preserve"> </w:t>
      </w:r>
      <w:r>
        <w:t xml:space="preserve">§5.3, and they extend no further than the characterization ranges over which that model was</w:t>
      </w:r>
      <w:r>
        <w:t xml:space="preserve"> </w:t>
      </w:r>
      <w:r>
        <w:t xml:space="preserve">fitted. They are also conditional on the step’s acceptance criterion, a back-calculation from</w:t>
      </w:r>
      <w:r>
        <w:t xml:space="preserve"> </w:t>
      </w:r>
      <w:r>
        <w:t xml:space="preserve">the cumulative requirement. If the clearance credited to anion exchange</w:t>
      </w:r>
      <w:r>
        <w:t xml:space="preserve"> </w:t>
      </w:r>
      <w:r>
        <w:t xml:space="preserve">or to the low-pH hold changed, the criterion for this step would change with it, and the</w:t>
      </w:r>
      <w:r>
        <w:t xml:space="preserve"> </w:t>
      </w:r>
      <w:r>
        <w:t xml:space="preserve">ranges would have to be re-evaluated against the new floor.</w:t>
      </w:r>
    </w:p>
    <w:bookmarkEnd w:id="73"/>
    <w:bookmarkStart w:id="76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Both viral-clearance attributes of the drug substance meet their acceptance criteria at</w:t>
      </w:r>
      <w:r>
        <w:t xml:space="preserve"> </w:t>
      </w:r>
      <w:r>
        <w:t xml:space="preserve">commercial scale with margin, and the parvovirus attribute is the tighter of the two.</w:t>
      </w:r>
      <w:r>
        <w:t xml:space="preserve"> </w:t>
      </w:r>
      <w:hyperlink w:anchor="tbl-cap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gives the simulated distribution and the one-sided capability index for each.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Commercial-scale capability of the viral-clearance attributes the step governs.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30"/>
              <w:gridCol w:w="810"/>
              <w:gridCol w:w="720"/>
              <w:gridCol w:w="1260"/>
              <w:gridCol w:w="1170"/>
              <w:gridCol w:w="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74"/>
          <w:p/>
        </w:tc>
      </w:tr>
    </w:tbl>
    <w:p>
      <w:pPr>
        <w:pStyle w:val="BodyText"/>
      </w:pPr>
      <w:r>
        <w:t xml:space="preserve">Cumulative parvovirus clearance has a capability index of 1.51 and a</w:t>
      </w:r>
      <w:r>
        <w:t xml:space="preserve"> </w:t>
      </w:r>
      <w:r>
        <w:t xml:space="preserve">simulated mean 1.78 log above its acceptance floor. Cumulative</w:t>
      </w:r>
      <w:r>
        <w:t xml:space="preserve"> </w:t>
      </w:r>
      <w:r>
        <w:t xml:space="preserve">enveloped-virus clearance has a capability index of 1.53 and a mean</w:t>
      </w:r>
      <w:r>
        <w:t xml:space="preserve"> </w:t>
      </w:r>
      <w:r>
        <w:t xml:space="preserve">2.81 log above its floor. The parvovirus figure is the tighter</w:t>
      </w:r>
      <w:r>
        <w:t xml:space="preserve"> </w:t>
      </w:r>
      <w:r>
        <w:t xml:space="preserve">capability of the two, and it is the one this step contributes most to.</w:t>
      </w:r>
    </w:p>
    <w:p>
      <w:pPr>
        <w:pStyle w:val="BodyText"/>
      </w:pPr>
      <w:r>
        <w:t xml:space="preserve">Three bounds apply to this claim. The estimate comes from Monte-Carlo simulation of</w:t>
      </w:r>
      <w:r>
        <w:t xml:space="preserve"> </w:t>
      </w:r>
      <w:r>
        <w:t xml:space="preserve">2,000 batches on qualified scale-down models, so it is a</w:t>
      </w:r>
      <w:r>
        <w:t xml:space="preserve"> </w:t>
      </w:r>
      <w:r>
        <w:t xml:space="preserve">prediction of commercial-scale behaviour and not a measurement of it, and Stage 2 confirms it</w:t>
      </w:r>
      <w:r>
        <w:t xml:space="preserve"> </w:t>
      </w:r>
      <w:r>
        <w:t xml:space="preserve">at scale. Every parameter in the simulation is drawn inside its normal operating range, which</w:t>
      </w:r>
      <w:r>
        <w:t xml:space="preserve"> </w:t>
      </w:r>
      <w:r>
        <w:t xml:space="preserve">for this step means loads up to 105 L/m² and not the wider range</w:t>
      </w:r>
      <w:r>
        <w:t xml:space="preserve"> </w:t>
      </w:r>
      <w:r>
        <w:t xml:space="preserve">explored in the characterization. The simulation propagates the fitted models, so it inherits</w:t>
      </w:r>
      <w:r>
        <w:t xml:space="preserve"> </w:t>
      </w:r>
      <w:r>
        <w:t xml:space="preserve">their limitations, including the modest predicted R² of the MVM model.</w:t>
      </w:r>
    </w:p>
    <w:p>
      <w:pPr>
        <w:pStyle w:val="BodyText"/>
      </w:pPr>
      <w:r>
        <w:t xml:space="preserve">Neither capability figure belongs to this step alone.</w:t>
      </w:r>
      <w:r>
        <w:t xml:space="preserve"> </w:t>
      </w:r>
      <w:hyperlink w:anchor="tbl-vc">
        <w:r>
          <w:rPr>
            <w:rStyle w:val="Hyperlink"/>
          </w:rPr>
          <w:t xml:space="preserve">Table 21</w:t>
        </w:r>
      </w:hyperlink>
      <w:r>
        <w:t xml:space="preserve"> </w:t>
      </w:r>
      <w:r>
        <w:t xml:space="preserve">gives the modular clearance</w:t>
      </w:r>
      <w:r>
        <w:t xml:space="preserve"> </w:t>
      </w:r>
      <w:r>
        <w:t xml:space="preserve">claim for the nominal batch, step by step, and the simulated mean in</w:t>
      </w:r>
      <w:r>
        <w:t xml:space="preserve"> </w:t>
      </w:r>
      <w:hyperlink w:anchor="tbl-cap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distribution of that same claim across the 2,000 simulated</w:t>
      </w:r>
      <w:r>
        <w:t xml:space="preserve"> </w:t>
      </w:r>
      <w:r>
        <w:t xml:space="preserve">batches.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v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Modular viral clearance across the drug-substance process, by step (log₁₀).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10.03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Filtration supplies 5.32 log of the 10.03 log</w:t>
      </w:r>
      <w:r>
        <w:t xml:space="preserve"> </w:t>
      </w:r>
      <w:r>
        <w:t xml:space="preserve">cumulative parvovirus claim, and anion exchange supplies 4.71 log of it</w:t>
      </w:r>
      <w:r>
        <w:t xml:space="preserve"> </w:t>
      </w:r>
      <w:r>
        <w:t xml:space="preserve">(PCR-008). The low-pH hold contributes nothing to parvovirus clearance, because a</w:t>
      </w:r>
      <w:r>
        <w:t xml:space="preserve"> </w:t>
      </w:r>
      <w:r>
        <w:t xml:space="preserve">non-enveloped virus is not inactivated by low pH, and it is not credited for it. For enveloped</w:t>
      </w:r>
      <w:r>
        <w:t xml:space="preserve"> </w:t>
      </w:r>
      <w:r>
        <w:t xml:space="preserve">virus the picture is different. Filtration supplies 5.82 log of the</w:t>
      </w:r>
      <w:r>
        <w:t xml:space="preserve"> </w:t>
      </w:r>
      <w:r>
        <w:t xml:space="preserve">18.87 log cumulative claim, the low-pH hold supplies</w:t>
      </w:r>
      <w:r>
        <w:t xml:space="preserve"> </w:t>
      </w:r>
      <w:r>
        <w:t xml:space="preserve">7.10 log (PCR-006), and anion exchange supplies the rest. Protein A</w:t>
      </w:r>
      <w:r>
        <w:t xml:space="preserve"> </w:t>
      </w:r>
      <w:r>
        <w:t xml:space="preserve">and cation exchange remove virus as well, and neither is credited in the claim. The</w:t>
      </w:r>
      <w:r>
        <w:t xml:space="preserve"> </w:t>
      </w:r>
      <w:r>
        <w:t xml:space="preserve">consolidated position is in PCMR-001.</w:t>
      </w:r>
    </w:p>
    <w:p>
      <w:pPr>
        <w:pStyle w:val="BodyText"/>
      </w:pPr>
      <w:r>
        <w:t xml:space="preserve">Robustness across the operating region rests on two findings from §5. Neither enveloped-virus</w:t>
      </w:r>
      <w:r>
        <w:t xml:space="preserve"> </w:t>
      </w:r>
      <w:r>
        <w:t xml:space="preserve">clearance nor step yield varied significantly with load or with pressure over the ranges</w:t>
      </w:r>
      <w:r>
        <w:t xml:space="preserve"> </w:t>
      </w:r>
      <w:r>
        <w:t xml:space="preserve">studied, so the only response that moves with an operating parameter is the one the step is</w:t>
      </w:r>
      <w:r>
        <w:t xml:space="preserve"> </w:t>
      </w:r>
      <w:r>
        <w:t xml:space="preserve">designed to deliver. Both parameters are also easy to hold in practice. The volumetric load is</w:t>
      </w:r>
      <w:r>
        <w:t xml:space="preserve"> </w:t>
      </w:r>
      <w:r>
        <w:t xml:space="preserve">fixed when the filter area is selected for the batch, and the pressure is set at the start of</w:t>
      </w:r>
      <w:r>
        <w:t xml:space="preserve"> </w:t>
      </w:r>
      <w:r>
        <w:t xml:space="preserve">the filtration and monitored throughout under SOP-2012. The margins on both viral-clearance</w:t>
      </w:r>
      <w:r>
        <w:t xml:space="preserve"> </w:t>
      </w:r>
      <w:r>
        <w:t xml:space="preserve">attributes are wide, and on that basis the small-virus safety of A-Mab drug substance is</w:t>
      </w:r>
      <w:r>
        <w:t xml:space="preserve"> </w:t>
      </w:r>
      <w:r>
        <w:t xml:space="preserve">assured at commercial scale.</w:t>
      </w:r>
    </w:p>
    <w:bookmarkEnd w:id="76"/>
    <w:bookmarkStart w:id="77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Both parameters of the step are classified as well-controlled critical process parameters</w:t>
      </w:r>
      <w:r>
        <w:t xml:space="preserve"> </w:t>
      </w:r>
      <w:r>
        <w:t xml:space="preserve">under SOP-4001. Each is linked to a critical quality attribute, and each has a low risk of</w:t>
      </w:r>
      <w:r>
        <w:t xml:space="preserve"> </w:t>
      </w:r>
      <w:r>
        <w:t xml:space="preserve">leaving the design space in routine operation, which is the distinction the A-Mab framework</w:t>
      </w:r>
      <w:r>
        <w:t xml:space="preserve"> </w:t>
      </w:r>
      <w:r>
        <w:t xml:space="preserve">draws between a CPP and a WC-CPP</w:t>
      </w:r>
      <w:r>
        <w:t xml:space="preserve"> </w:t>
      </w:r>
      <w:r>
        <w:t xml:space="preserve">(CMC Biotech Working Group 2009)</w:t>
      </w:r>
      <w:r>
        <w:t xml:space="preserve">. The classifications are recorded in</w:t>
      </w:r>
      <w:r>
        <w:t xml:space="preserve"> </w:t>
      </w:r>
      <w:hyperlink w:anchor="tbl-param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and the reasoning for each is given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Filtration volume (load), WC-CPP.</w:t>
      </w:r>
      <w:r>
        <w:t xml:space="preserve"> </w:t>
      </w:r>
      <w:r>
        <w:t xml:space="preserve">It has a demonstrated and quantified effect on MVM</w:t>
      </w:r>
      <w:r>
        <w:t xml:space="preserve"> </w:t>
      </w:r>
      <w:r>
        <w:t xml:space="preserve">clearance, which is a very high criticality attribute, so it cannot be a general process</w:t>
      </w:r>
      <w:r>
        <w:t xml:space="preserve"> </w:t>
      </w:r>
      <w:r>
        <w:t xml:space="preserve">parameter. It is not a CPP because the risk of leaving the design space is low. The load is</w:t>
      </w:r>
      <w:r>
        <w:t xml:space="preserve"> </w:t>
      </w:r>
      <w:r>
        <w:t xml:space="preserve">fixed when the filter area is chosen for a batch and does not drift during operation, and</w:t>
      </w:r>
      <w:r>
        <w:t xml:space="preserve"> </w:t>
      </w:r>
      <w:r>
        <w:t xml:space="preserve">its normal operating range sits well inside a characterized range over which the acceptance</w:t>
      </w:r>
      <w:r>
        <w:t xml:space="preserve"> </w:t>
      </w:r>
      <w:r>
        <w:t xml:space="preserve">criterion is met everywhere (§7).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Filtration pressure, WC-CPP.</w:t>
      </w:r>
      <w:r>
        <w:t xml:space="preserve"> </w:t>
      </w:r>
      <w:r>
        <w:t xml:space="preserve">No effect of pressure on any response reached significance</w:t>
      </w:r>
      <w:r>
        <w:t xml:space="preserve"> </w:t>
      </w:r>
      <w:r>
        <w:t xml:space="preserve">over 8–30 psi, and that null result is the evidence for the class, not an</w:t>
      </w:r>
      <w:r>
        <w:t xml:space="preserve"> </w:t>
      </w:r>
      <w:r>
        <w:t xml:space="preserve">absence of evidence. Pressure is retained as a well-controlled critical process parameter,</w:t>
      </w:r>
      <w:r>
        <w:t xml:space="preserve"> </w:t>
      </w:r>
      <w:r>
        <w:t xml:space="preserve">because it is the parameter that keeps the filter inside the operating window in which its</w:t>
      </w:r>
      <w:r>
        <w:t xml:space="preserve"> </w:t>
      </w:r>
      <w:r>
        <w:t xml:space="preserve">retention has been established, and because the null result rests on a design with limited</w:t>
      </w:r>
      <w:r>
        <w:t xml:space="preserve"> </w:t>
      </w:r>
      <w:r>
        <w:t xml:space="preserve">residual degrees of freedom. It is easy to</w:t>
      </w:r>
      <w:r>
        <w:t xml:space="preserve"> </w:t>
      </w:r>
      <w:r>
        <w:t xml:space="preserve">control and it is monitored continuously, so it carries no risk of leaving the design space</w:t>
      </w:r>
      <w:r>
        <w:t xml:space="preserve"> </w:t>
      </w:r>
      <w:r>
        <w:t xml:space="preserve">unnoticed.</w:t>
      </w:r>
    </w:p>
    <w:p>
      <w:pPr>
        <w:pStyle w:val="FirstParagraph"/>
      </w:pPr>
      <w:r>
        <w:t xml:space="preserve">The step has no critical process parameter, and it has no key process parameter. There is no</w:t>
      </w:r>
      <w:r>
        <w:t xml:space="preserve"> </w:t>
      </w:r>
      <w:r>
        <w:t xml:space="preserve">parameter here whose control capability is poor relative to the width of its design space,</w:t>
      </w:r>
      <w:r>
        <w:t xml:space="preserve"> </w:t>
      </w:r>
      <w:r>
        <w:t xml:space="preserve">which is the condition that would force the CPP designation. A key process parameter would</w:t>
      </w:r>
      <w:r>
        <w:t xml:space="preserve"> </w:t>
      </w:r>
      <w:r>
        <w:t xml:space="preserve">drive process consistency without touching quality, and the step has no such parameter either.</w:t>
      </w:r>
      <w:r>
        <w:t xml:space="preserve"> </w:t>
      </w:r>
      <w:r>
        <w:t xml:space="preserve">Step yield at this step is high and insensitive, and it is monitored as a process attribute.</w:t>
      </w:r>
    </w:p>
    <w:p>
      <w:pPr>
        <w:pStyle w:val="BodyText"/>
      </w:pPr>
      <w:r>
        <w:t xml:space="preserve">The null pressure result is kept in the knowledge space. It is the evidence that the step</w:t>
      </w:r>
      <w:r>
        <w:t xml:space="preserve"> </w:t>
      </w:r>
      <w:r>
        <w:t xml:space="preserve">tolerates the full operating window of the filter, and the control strategy in §10 relies on</w:t>
      </w:r>
      <w:r>
        <w:t xml:space="preserve"> </w:t>
      </w:r>
      <w:r>
        <w:t xml:space="preserve">it when it assesses a pressure excursion against the design space.</w:t>
      </w:r>
    </w:p>
    <w:bookmarkEnd w:id="77"/>
    <w:bookmarkStart w:id="78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four things to the control strategy of the drug substance process. Each</w:t>
      </w:r>
      <w:r>
        <w:t xml:space="preserve"> </w:t>
      </w:r>
      <w:r>
        <w:t xml:space="preserve">follows from a result reported above, and each is carried into the campaign-level strategy in</w:t>
      </w:r>
      <w:r>
        <w:t xml:space="preserve"> </w:t>
      </w:r>
      <w:r>
        <w:t xml:space="preserve">PCMR-001.</w:t>
      </w:r>
    </w:p>
    <w:p>
      <w:pPr>
        <w:pStyle w:val="BodyText"/>
      </w:pPr>
      <w:r>
        <w:t xml:space="preserve">The first is a pair of controlled ranges. Volumetric load is controlled to</w:t>
      </w:r>
      <w:r>
        <w:t xml:space="preserve"> </w:t>
      </w:r>
      <w:r>
        <w:t xml:space="preserve">50–105 L/m² and filtration pressure to 10–20 psi, both inside the</w:t>
      </w:r>
      <w:r>
        <w:t xml:space="preserve"> </w:t>
      </w:r>
      <w:r>
        <w:t xml:space="preserve">design space established in §6. The load range is the one that matters for quality, and its</w:t>
      </w:r>
      <w:r>
        <w:t xml:space="preserve"> </w:t>
      </w:r>
      <w:r>
        <w:t xml:space="preserve">upper limit is the operative control on parvovirus clearance at this step.</w:t>
      </w:r>
    </w:p>
    <w:p>
      <w:pPr>
        <w:pStyle w:val="BodyText"/>
      </w:pPr>
      <w:r>
        <w:t xml:space="preserve">The second is in-process monitoring. Filtration pressure is recorded throughout the</w:t>
      </w:r>
      <w:r>
        <w:t xml:space="preserve"> </w:t>
      </w:r>
      <w:r>
        <w:t xml:space="preserve">filtration, and the volume filtered per unit membrane area is recorded and reconciled against</w:t>
      </w:r>
      <w:r>
        <w:t xml:space="preserve"> </w:t>
      </w:r>
      <w:r>
        <w:t xml:space="preserve">the batch volume, both under SOP-2012. An excursion in either is assessed against the design</w:t>
      </w:r>
      <w:r>
        <w:t xml:space="preserve"> </w:t>
      </w:r>
      <w:r>
        <w:t xml:space="preserve">space and against the proven acceptable ranges in §7. The pump ramp profile is now specified</w:t>
      </w:r>
      <w:r>
        <w:t xml:space="preserve"> </w:t>
      </w:r>
      <w:r>
        <w:t xml:space="preserve">in SOP-2012 as well, following the deviation in §13.1, so that the set-point is reached</w:t>
      </w:r>
      <w:r>
        <w:t xml:space="preserve"> </w:t>
      </w:r>
      <w:r>
        <w:t xml:space="preserve">without an overshoot. Neither enveloped-virus clearance nor step yield is monitored as a</w:t>
      </w:r>
      <w:r>
        <w:t xml:space="preserve"> </w:t>
      </w:r>
      <w:r>
        <w:t xml:space="preserve">control point, because neither varied with load or with pressure over the ranges studied</w:t>
      </w:r>
      <w:r>
        <w:t xml:space="preserve"> </w:t>
      </w:r>
      <w:r>
        <w:t xml:space="preserve">(§5.3).</w:t>
      </w:r>
    </w:p>
    <w:p>
      <w:pPr>
        <w:pStyle w:val="BodyText"/>
      </w:pPr>
      <w:r>
        <w:t xml:space="preserve">The third is the filter itself. Every filter is flushed and pressure-tested before use and</w:t>
      </w:r>
      <w:r>
        <w:t xml:space="preserve"> </w:t>
      </w:r>
      <w:r>
        <w:t xml:space="preserve">integrity-tested after use under SOP-2012, and a failed post-use integrity test invalidates</w:t>
      </w:r>
      <w:r>
        <w:t xml:space="preserve"> </w:t>
      </w:r>
      <w:r>
        <w:t xml:space="preserve">the batch. Membrane lots are controlled by the vendor specification and by incoming</w:t>
      </w:r>
      <w:r>
        <w:t xml:space="preserve"> </w:t>
      </w:r>
      <w:r>
        <w:t xml:space="preserve">verification, and the deviation in §13.2 led to the pre-use flux verification being retained</w:t>
      </w:r>
      <w:r>
        <w:t xml:space="preserve"> </w:t>
      </w:r>
      <w:r>
        <w:t xml:space="preserve">as a routine record.</w:t>
      </w:r>
    </w:p>
    <w:p>
      <w:pPr>
        <w:pStyle w:val="BodyText"/>
      </w:pPr>
      <w:r>
        <w:t xml:space="preserve">The fourth is the clearance credit itself. The log reduction this step delivers is claimed as</w:t>
      </w:r>
      <w:r>
        <w:t xml:space="preserve"> </w:t>
      </w:r>
      <w:r>
        <w:t xml:space="preserve">a module of the cumulative viral clearance under ICH Q5A(R2)</w:t>
      </w:r>
      <w:r>
        <w:t xml:space="preserve"> </w:t>
      </w:r>
      <w:r>
        <w:t xml:space="preserve">(International Council for Harmonisation 2023a)</w:t>
      </w:r>
      <w:r>
        <w:t xml:space="preserve">, and it is claimed on</w:t>
      </w:r>
      <w:r>
        <w:t xml:space="preserve"> </w:t>
      </w:r>
      <w:r>
        <w:t xml:space="preserve">the basis that its mechanism is independent of the mechanisms credited to the other steps.</w:t>
      </w:r>
      <w:r>
        <w:t xml:space="preserve"> </w:t>
      </w:r>
      <w:r>
        <w:t xml:space="preserve">That independence is an argument about mechanism and not a measurement, and it is made in</w:t>
      </w:r>
      <w:r>
        <w:t xml:space="preserve"> </w:t>
      </w:r>
      <w:r>
        <w:t xml:space="preserve">PCMR-001 where the whole claim is assembled.</w:t>
      </w:r>
    </w:p>
    <w:p>
      <w:pPr>
        <w:pStyle w:val="BodyText"/>
      </w:pPr>
      <w:r>
        <w:t xml:space="preserve">The step does not control viral safety by itself, and nothing in this report should be read</w:t>
      </w:r>
      <w:r>
        <w:t xml:space="preserve"> </w:t>
      </w:r>
      <w:r>
        <w:t xml:space="preserve">that way. Parvovirus clearance is shared with anion exchange (PCR-008) and enveloped-virus</w:t>
      </w:r>
      <w:r>
        <w:t xml:space="preserve"> </w:t>
      </w:r>
      <w:r>
        <w:t xml:space="preserve">clearance with the low-pH hold (PCR-006) and anion exchange. Nor does the step control the</w:t>
      </w:r>
      <w:r>
        <w:t xml:space="preserve"> </w:t>
      </w:r>
      <w:r>
        <w:t xml:space="preserve">quality of the material it receives. The composition of the anion exchange flow-through pool</w:t>
      </w:r>
      <w:r>
        <w:t xml:space="preserve"> </w:t>
      </w:r>
      <w:r>
        <w:t xml:space="preserve">is set by the design space of Step 8, and a load outside that composition is outside what was</w:t>
      </w:r>
      <w:r>
        <w:t xml:space="preserve"> </w:t>
      </w:r>
      <w:r>
        <w:t xml:space="preserve">characterized here.</w:t>
      </w:r>
    </w:p>
    <w:bookmarkEnd w:id="78"/>
    <w:bookmarkStart w:id="79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understood, and the understanding is concentrated in one relationship. MVM</w:t>
      </w:r>
      <w:r>
        <w:t xml:space="preserve"> </w:t>
      </w:r>
      <w:r>
        <w:t xml:space="preserve">clearance declines with volumetric load, the decline is quantified across a range that extends</w:t>
      </w:r>
      <w:r>
        <w:t xml:space="preserve"> </w:t>
      </w:r>
      <w:r>
        <w:t xml:space="preserve">well past the routine ceiling, and the required contribution is met at every point of that</w:t>
      </w:r>
      <w:r>
        <w:t xml:space="preserve"> </w:t>
      </w:r>
      <w:r>
        <w:t xml:space="preserve">range including its worst corner. Everything else the study measured was flat. That is a</w:t>
      </w:r>
      <w:r>
        <w:t xml:space="preserve"> </w:t>
      </w:r>
      <w:r>
        <w:t xml:space="preserve">simple result, and its simplicity is a property of the step. A size-based retention mechanism</w:t>
      </w:r>
      <w:r>
        <w:t xml:space="preserve"> </w:t>
      </w:r>
      <w:r>
        <w:t xml:space="preserve">has few ways to fail, and the ones it has are covered by the post-use integrity test and by</w:t>
      </w:r>
      <w:r>
        <w:t xml:space="preserve"> </w:t>
      </w:r>
      <w:r>
        <w:t xml:space="preserve">the load limit.</w:t>
      </w:r>
    </w:p>
    <w:p>
      <w:pPr>
        <w:pStyle w:val="BodyText"/>
      </w:pPr>
      <w:r>
        <w:t xml:space="preserve">Confidence in the scale-down model is good for the operating-range conclusions and is</w:t>
      </w:r>
      <w:r>
        <w:t xml:space="preserve"> </w:t>
      </w:r>
      <w:r>
        <w:t xml:space="preserve">necessarily weaker for the clearance figures themselves. Load per unit membrane area and</w:t>
      </w:r>
      <w:r>
        <w:t xml:space="preserve"> </w:t>
      </w:r>
      <w:r>
        <w:t xml:space="preserve">pressure are the two quantities retention depends on, and both are matched between scales, so</w:t>
      </w:r>
      <w:r>
        <w:t xml:space="preserve"> </w:t>
      </w:r>
      <w:r>
        <w:t xml:space="preserve">a range established on the model is a range for the commercial step. The clearance values are</w:t>
      </w:r>
      <w:r>
        <w:t xml:space="preserve"> </w:t>
      </w:r>
      <w:r>
        <w:t xml:space="preserve">a different matter. They come from a spiked small-scale system that no commercial batch can</w:t>
      </w:r>
      <w:r>
        <w:t xml:space="preserve"> </w:t>
      </w:r>
      <w:r>
        <w:t xml:space="preserve">reproduce, which is why ICH Q5A(R2) treats them as a modular claim supported by mechanism and</w:t>
      </w:r>
      <w:r>
        <w:t xml:space="preserve"> </w:t>
      </w:r>
      <w:r>
        <w:t xml:space="preserve">not as a batch release measurement</w:t>
      </w:r>
      <w:r>
        <w:t xml:space="preserve"> </w:t>
      </w:r>
      <w:r>
        <w:t xml:space="preserve">(International Council for Harmonisation 2023a)</w:t>
      </w:r>
      <w:r>
        <w:t xml:space="preserve">. The margins reported in §6 and §8 should be read</w:t>
      </w:r>
      <w:r>
        <w:t xml:space="preserve"> </w:t>
      </w:r>
      <w:r>
        <w:t xml:space="preserve">in that light.</w:t>
      </w:r>
    </w:p>
    <w:p>
      <w:pPr>
        <w:pStyle w:val="BodyText"/>
      </w:pPr>
      <w:r>
        <w:t xml:space="preserve">Two deviations occurred during execution and both were dispositioned as retained. The pressure</w:t>
      </w:r>
      <w:r>
        <w:t xml:space="preserve"> </w:t>
      </w:r>
      <w:r>
        <w:t xml:space="preserve">excursion reached 22 psi, above the normal operating range,</w:t>
      </w:r>
      <w:r>
        <w:t xml:space="preserve"> </w:t>
      </w:r>
      <w:r>
        <w:t xml:space="preserve">and the membrane lot in the second deviation was 12</w:t>
      </w:r>
      <w:r>
        <w:t xml:space="preserve"> </w:t>
      </w:r>
      <w:r>
        <w:t xml:space="preserve">% below the vendor-typical flux. Neither changed a fitted effect, a classification or the</w:t>
      </w:r>
      <w:r>
        <w:t xml:space="preserve"> </w:t>
      </w:r>
      <w:r>
        <w:t xml:space="preserve">operating region, and both are reported in full in §13. They are mentioned here because they</w:t>
      </w:r>
      <w:r>
        <w:t xml:space="preserve"> </w:t>
      </w:r>
      <w:r>
        <w:t xml:space="preserve">are the only two places where the executed study departed from PCP-009.</w:t>
      </w:r>
    </w:p>
    <w:p>
      <w:pPr>
        <w:pStyle w:val="BodyText"/>
      </w:pPr>
      <w:r>
        <w:t xml:space="preserve">Four limitations bound what this report establishes. The clearance figures rest on a</w:t>
      </w:r>
      <w:r>
        <w:t xml:space="preserve"> </w:t>
      </w:r>
      <w:r>
        <w:t xml:space="preserve">small-scale spiking model, as noted above. The study used two model viruses, so nothing is</w:t>
      </w:r>
      <w:r>
        <w:t xml:space="preserve"> </w:t>
      </w:r>
      <w:r>
        <w:t xml:space="preserve">established about the clearance of any other virus, and the parvovirus result should not be</w:t>
      </w:r>
      <w:r>
        <w:t xml:space="preserve"> </w:t>
      </w:r>
      <w:r>
        <w:t xml:space="preserve">extended to other non-enveloped viruses without a mechanistic argument about size. The</w:t>
      </w:r>
      <w:r>
        <w:t xml:space="preserve"> </w:t>
      </w:r>
      <w:r>
        <w:t xml:space="preserve">response-surface model has a modest predicted R² and rests on</w:t>
      </w:r>
      <w:r>
        <w:t xml:space="preserve"> </w:t>
      </w:r>
      <w:r>
        <w:t xml:space="preserve">12 runs, so it defines a region and predicts mean levels within it, and it</w:t>
      </w:r>
      <w:r>
        <w:t xml:space="preserve"> </w:t>
      </w:r>
      <w:r>
        <w:t xml:space="preserve">does not support precise point predictions at the corners. Finally, the design space is not</w:t>
      </w:r>
      <w:r>
        <w:t xml:space="preserve"> </w:t>
      </w:r>
      <w:r>
        <w:t xml:space="preserve">confirmed at scale at its edges, which is a general property of a characterization package and</w:t>
      </w:r>
      <w:r>
        <w:t xml:space="preserve"> </w:t>
      </w:r>
      <w:r>
        <w:t xml:space="preserve">is addressed by the Stage 2 programme.</w:t>
      </w:r>
    </w:p>
    <w:p>
      <w:pPr>
        <w:pStyle w:val="BodyText"/>
      </w:pPr>
      <w:r>
        <w:t xml:space="preserve">Each limitation is managed forward in a stated way. The spiking model and the choice of model</w:t>
      </w:r>
      <w:r>
        <w:t xml:space="preserve"> </w:t>
      </w:r>
      <w:r>
        <w:t xml:space="preserve">viruses are the accepted approach of ICH Q5A(R2), and the claim they support is a modular one</w:t>
      </w:r>
      <w:r>
        <w:t xml:space="preserve"> </w:t>
      </w:r>
      <w:r>
        <w:t xml:space="preserve">consolidated in PCMR-001. The precision of the model is managed by operating well inside the</w:t>
      </w:r>
      <w:r>
        <w:t xml:space="preserve"> </w:t>
      </w:r>
      <w:r>
        <w:t xml:space="preserve">region, since the normal operating range for load stops far below the load at which the margin</w:t>
      </w:r>
      <w:r>
        <w:t xml:space="preserve"> </w:t>
      </w:r>
      <w:r>
        <w:t xml:space="preserve">becomes small. Edge confirmation is a Stage 2 activity. No parameter at this step required the</w:t>
      </w:r>
      <w:r>
        <w:t xml:space="preserve"> </w:t>
      </w:r>
      <w:r>
        <w:t xml:space="preserve">most stringent control, and the reasoning for that is in §9.</w:t>
      </w:r>
    </w:p>
    <w:bookmarkEnd w:id="79"/>
    <w:bookmarkStart w:id="80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small-virus retentive filtration step is well understood and robust across the ranges</w:t>
      </w:r>
      <w:r>
        <w:t xml:space="preserve"> </w:t>
      </w:r>
      <w:r>
        <w:t xml:space="preserve">studied, and it delivers the clearance contribution the cumulative viral safety claim requires</w:t>
      </w:r>
      <w:r>
        <w:t xml:space="preserve"> </w:t>
      </w:r>
      <w:r>
        <w:t xml:space="preserve">of it. Volumetric load governs parvovirus clearance and is the only parameter with a</w:t>
      </w:r>
      <w:r>
        <w:t xml:space="preserve"> </w:t>
      </w:r>
      <w:r>
        <w:t xml:space="preserve">demonstrated effect on any response. Filtration pressure has no demonstrated effect over the</w:t>
      </w:r>
      <w:r>
        <w:t xml:space="preserve"> </w:t>
      </w:r>
      <w:r>
        <w:t xml:space="preserve">full operating window of the filter, and enveloped-virus clearance and step yield are</w:t>
      </w:r>
      <w:r>
        <w:t xml:space="preserve"> </w:t>
      </w:r>
      <w:r>
        <w:t xml:space="preserve">insensitive to both parameters over the ranges studied.</w:t>
      </w:r>
    </w:p>
    <w:p>
      <w:pPr>
        <w:pStyle w:val="BodyText"/>
      </w:pPr>
      <w:r>
        <w:t xml:space="preserve">The design space is the characterized region of 50–140 L/m² of load and</w:t>
      </w:r>
      <w:r>
        <w:t xml:space="preserve"> </w:t>
      </w:r>
      <w:r>
        <w:t xml:space="preserve">8–30 psi of pressure. At its worst corner the fitted model predicts</w:t>
      </w:r>
      <w:r>
        <w:t xml:space="preserve"> </w:t>
      </w:r>
      <w:r>
        <w:t xml:space="preserve">4.48 log of MVM clearance against a required contribution of</w:t>
      </w:r>
      <w:r>
        <w:t xml:space="preserve"> </w:t>
      </w:r>
      <w:r>
        <w:t xml:space="preserve">3.89 log. Every proven acceptable range in §7 spans the whole</w:t>
      </w:r>
      <w:r>
        <w:t xml:space="preserve"> </w:t>
      </w:r>
      <w:r>
        <w:t xml:space="preserve">characterization range under both analyses, so the binding constraint on the operating region</w:t>
      </w:r>
      <w:r>
        <w:t xml:space="preserve"> </w:t>
      </w:r>
      <w:r>
        <w:t xml:space="preserve">is the multivariate corner and not any univariate range. Both parameters are classified as</w:t>
      </w:r>
      <w:r>
        <w:t xml:space="preserve"> </w:t>
      </w:r>
      <w:r>
        <w:t xml:space="preserve">well-controlled critical process parameters, and the step has no critical process parameter and</w:t>
      </w:r>
      <w:r>
        <w:t xml:space="preserve"> </w:t>
      </w:r>
      <w:r>
        <w:t xml:space="preserve">no key process parameter.</w:t>
      </w:r>
    </w:p>
    <w:p>
      <w:pPr>
        <w:pStyle w:val="BodyText"/>
      </w:pPr>
      <w:r>
        <w:t xml:space="preserve">At commercial scale both governed attributes meet their acceptance criteria. Cumulative</w:t>
      </w:r>
      <w:r>
        <w:t xml:space="preserve"> </w:t>
      </w:r>
      <w:r>
        <w:t xml:space="preserve">parvovirus clearance is the tighter capability at 1.51, with a mean</w:t>
      </w:r>
      <w:r>
        <w:t xml:space="preserve"> </w:t>
      </w:r>
      <w:r>
        <w:t xml:space="preserve">1.78 log above its floor. Two deviations were recorded and both</w:t>
      </w:r>
      <w:r>
        <w:t xml:space="preserve"> </w:t>
      </w:r>
      <w:r>
        <w:t xml:space="preserve">were resolved without impact on the classifications or on the operating region. These</w:t>
      </w:r>
      <w:r>
        <w:t xml:space="preserve"> </w:t>
      </w:r>
      <w:r>
        <w:t xml:space="preserve">conclusions are bounded by the characterization ranges, by the fitted response-surface model</w:t>
      </w:r>
      <w:r>
        <w:t xml:space="preserve"> </w:t>
      </w:r>
      <w:r>
        <w:t xml:space="preserve">and by the qualified small-scale spiking model on which clearance was measured. They do not by</w:t>
      </w:r>
      <w:r>
        <w:t xml:space="preserve"> </w:t>
      </w:r>
      <w:r>
        <w:t xml:space="preserve">themselves establish viral safety, which is a cumulative claim consolidated in PCMR-001 and</w:t>
      </w:r>
      <w:r>
        <w:t xml:space="preserve"> </w:t>
      </w:r>
      <w:r>
        <w:t xml:space="preserve">confirmed at commercial scale in Stage 2.</w:t>
      </w:r>
    </w:p>
    <w:bookmarkEnd w:id="80"/>
    <w:bookmarkStart w:id="84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Two deviations from PCP-009 were recorded during execution of the study. Each was</w:t>
      </w:r>
      <w:r>
        <w:t xml:space="preserve"> </w:t>
      </w:r>
      <w:r>
        <w:t xml:space="preserve">investigated, each was assessed for impact on the reported results, and each was dispositioned</w:t>
      </w:r>
      <w:r>
        <w:t xml:space="preserve"> </w:t>
      </w:r>
      <w:r>
        <w:t xml:space="preserve">as retained, meaning that the affected runs remain in the analysis reported above.</w:t>
      </w:r>
      <w:r>
        <w:t xml:space="preserve"> </w:t>
      </w:r>
      <w:hyperlink w:anchor="tbl-dev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summarizes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Deviations recorded during execution of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1"/>
              <w:gridCol w:w="3714"/>
              <w:gridCol w:w="2242"/>
              <w:gridCol w:w="10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DEV-009-01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Transient filtration-pressure excursion above 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pressure monitoring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DEV-009-02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Filter membrane lot flux below vendor-typical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pre-use flux verification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The two deviations are unrelated to each other. The first is an equipment event during a run</w:t>
      </w:r>
      <w:r>
        <w:t xml:space="preserve"> </w:t>
      </w:r>
      <w:r>
        <w:t xml:space="preserve">and was found by in-process monitoring, and the second is a material attribute found before</w:t>
      </w:r>
      <w:r>
        <w:t xml:space="preserve"> </w:t>
      </w:r>
      <w:r>
        <w:t xml:space="preserve">the affected runs began. Neither invalidated a design and neither required a study to be</w:t>
      </w:r>
      <w:r>
        <w:t xml:space="preserve"> </w:t>
      </w:r>
      <w:r>
        <w:t xml:space="preserve">re-executed.</w:t>
      </w:r>
    </w:p>
    <w:bookmarkStart w:id="82" w:name="X317c6fffa55c4e510336d4af6520ff209012c15"/>
    <w:p>
      <w:pPr>
        <w:pStyle w:val="Heading2"/>
      </w:pPr>
      <w:r>
        <w:t xml:space="preserve">13.1 DEV-009-01 — transient filtration-pressure excursion above the normal operating range</w:t>
      </w:r>
    </w:p>
    <w:p>
      <w:pPr>
        <w:pStyle w:val="FirstParagraph"/>
      </w:pPr>
      <w:r>
        <w:t xml:space="preserve">Filtration pressure rose to 22 psi during one run, above</w:t>
      </w:r>
      <w:r>
        <w:t xml:space="preserve"> </w:t>
      </w:r>
      <w:r>
        <w:t xml:space="preserve">the upper edge of the normal operating range of 10–20 psi. The excursion was</w:t>
      </w:r>
      <w:r>
        <w:t xml:space="preserve"> </w:t>
      </w:r>
      <w:r>
        <w:t xml:space="preserve">transient and was detected by the in-process pressure record required by SOP-2012.</w:t>
      </w:r>
    </w:p>
    <w:p>
      <w:pPr>
        <w:pStyle w:val="BodyText"/>
      </w:pPr>
      <w:r>
        <w:t xml:space="preserve">The investigation identified an overshoot on the pump ramp at the start of the filtration as</w:t>
      </w:r>
      <w:r>
        <w:t xml:space="preserve"> </w:t>
      </w:r>
      <w:r>
        <w:t xml:space="preserve">the root cause. The pressure controller reached its set-point through an initial overshoot</w:t>
      </w:r>
      <w:r>
        <w:t xml:space="preserve"> </w:t>
      </w:r>
      <w:r>
        <w:t xml:space="preserve">that decayed within the first part of the filtration, and the recorded maximum is that</w:t>
      </w:r>
      <w:r>
        <w:t xml:space="preserve"> </w:t>
      </w:r>
      <w:r>
        <w:t xml:space="preserve">overshoot. No equipment fault was found, and the same behaviour was not seen on the other runs</w:t>
      </w:r>
      <w:r>
        <w:t xml:space="preserve"> </w:t>
      </w:r>
      <w:r>
        <w:t xml:space="preserve">of the design.</w:t>
      </w:r>
    </w:p>
    <w:p>
      <w:pPr>
        <w:pStyle w:val="BodyText"/>
      </w:pPr>
      <w:r>
        <w:t xml:space="preserve">The impact assessment rests on two facts. The excursion peak is inside the characterization</w:t>
      </w:r>
      <w:r>
        <w:t xml:space="preserve"> </w:t>
      </w:r>
      <w:r>
        <w:t xml:space="preserve">range of 8–30 psi, at a coded position of</w:t>
      </w:r>
      <w:r>
        <w:t xml:space="preserve"> </w:t>
      </w:r>
      <w:r>
        <w:t xml:space="preserve">+0.27, so the affected run sits inside the region the study</w:t>
      </w:r>
      <w:r>
        <w:t xml:space="preserve"> </w:t>
      </w:r>
      <w:r>
        <w:t xml:space="preserve">explored. The fitted model predicts an MVM log reduction of</w:t>
      </w:r>
      <w:r>
        <w:t xml:space="preserve"> </w:t>
      </w:r>
      <w:r>
        <w:t xml:space="preserve">5.59 at that pressure and the set-point load, against a</w:t>
      </w:r>
      <w:r>
        <w:t xml:space="preserve"> </w:t>
      </w:r>
      <w:r>
        <w:t xml:space="preserve">required step contribution of 3.89 log, and pressure was in any case</w:t>
      </w:r>
      <w:r>
        <w:t xml:space="preserve"> </w:t>
      </w:r>
      <w:r>
        <w:t xml:space="preserve">shown in §5.3 to have no significant effect on any response. The deviation is therefore</w:t>
      </w:r>
      <w:r>
        <w:t xml:space="preserve"> </w:t>
      </w:r>
      <w:r>
        <w:t xml:space="preserve">retained, the affected run remains in the analysis, and the classification of filtration</w:t>
      </w:r>
      <w:r>
        <w:t xml:space="preserve"> </w:t>
      </w:r>
      <w:r>
        <w:t xml:space="preserve">pressure in §9 is unchanged. The pump ramp profile has been added to the operating parameters</w:t>
      </w:r>
      <w:r>
        <w:t xml:space="preserve"> </w:t>
      </w:r>
      <w:r>
        <w:t xml:space="preserve">specified in SOP-2012 so that the overshoot is not repeated at commercial scale.</w:t>
      </w:r>
    </w:p>
    <w:bookmarkEnd w:id="82"/>
    <w:bookmarkStart w:id="83" w:name="X27c59e20fa7f6955e3b2c48373584469dcba751"/>
    <w:p>
      <w:pPr>
        <w:pStyle w:val="Heading2"/>
      </w:pPr>
      <w:r>
        <w:t xml:space="preserve">13.2 DEV-009-02 — filter membrane lot flux below the vendor-typical value</w:t>
      </w:r>
    </w:p>
    <w:p>
      <w:pPr>
        <w:pStyle w:val="FirstParagraph"/>
      </w:pPr>
      <w:r>
        <w:t xml:space="preserve">The membrane lot used for part of the study, LOT-VF-9331, showed a flux</w:t>
      </w:r>
      <w:r>
        <w:t xml:space="preserve"> </w:t>
      </w:r>
      <w:r>
        <w:t xml:space="preserve">12 % below the vendor-typical value at pre-use flux</w:t>
      </w:r>
      <w:r>
        <w:t xml:space="preserve"> </w:t>
      </w:r>
      <w:r>
        <w:t xml:space="preserve">verification. A permeability deficit of that size raises a legitimate question about whether</w:t>
      </w:r>
      <w:r>
        <w:t xml:space="preserve"> </w:t>
      </w:r>
      <w:r>
        <w:t xml:space="preserve">the lot is representative, and therefore about whether the retention characterized on it can</w:t>
      </w:r>
      <w:r>
        <w:t xml:space="preserve"> </w:t>
      </w:r>
      <w:r>
        <w:t xml:space="preserve">be read as platform behaviour.</w:t>
      </w:r>
    </w:p>
    <w:p>
      <w:pPr>
        <w:pStyle w:val="BodyText"/>
      </w:pPr>
      <w:r>
        <w:t xml:space="preserve">The investigation attributed the deficit to lot-to-lot variation in membrane permeability</w:t>
      </w:r>
      <w:r>
        <w:t xml:space="preserve"> </w:t>
      </w:r>
      <w:r>
        <w:t xml:space="preserve">within the vendor specification. The lot met every release criterion of its certificate of</w:t>
      </w:r>
      <w:r>
        <w:t xml:space="preserve"> </w:t>
      </w:r>
      <w:r>
        <w:t xml:space="preserve">analysis, including the vendor’s own retention test, and the deficit is a shift within the</w:t>
      </w:r>
      <w:r>
        <w:t xml:space="preserve"> </w:t>
      </w:r>
      <w:r>
        <w:t xml:space="preserve">specified permeability window.</w:t>
      </w:r>
    </w:p>
    <w:p>
      <w:pPr>
        <w:pStyle w:val="BodyText"/>
      </w:pPr>
      <w:r>
        <w:t xml:space="preserve">The impact assessment rests on mechanism and on the reproducibility already reported. Flux is</w:t>
      </w:r>
      <w:r>
        <w:t xml:space="preserve"> </w:t>
      </w:r>
      <w:r>
        <w:t xml:space="preserve">a permeability property of the membrane and is set by the open structure of the support,</w:t>
      </w:r>
      <w:r>
        <w:t xml:space="preserve"> </w:t>
      </w:r>
      <w:r>
        <w:t xml:space="preserve">whereas retention is set by the pore-size distribution of the retentive layer, and the two are</w:t>
      </w:r>
      <w:r>
        <w:t xml:space="preserve"> </w:t>
      </w:r>
      <w:r>
        <w:t xml:space="preserve">specified and released separately by the vendor. Any contribution the lot did make to the</w:t>
      </w:r>
      <w:r>
        <w:t xml:space="preserve"> </w:t>
      </w:r>
      <w:r>
        <w:t xml:space="preserve">results is contained in the run-to-run scatter reported in §5.1, which was small enough to</w:t>
      </w:r>
      <w:r>
        <w:t xml:space="preserve"> </w:t>
      </w:r>
      <w:r>
        <w:t xml:space="preserve">resolve the load effect without difficulty and a substantial part of which the method</w:t>
      </w:r>
      <w:r>
        <w:t xml:space="preserve"> </w:t>
      </w:r>
      <w:r>
        <w:t xml:space="preserve">validation attributes to the infectivity assay (Appendix D).</w:t>
      </w:r>
      <w:r>
        <w:t xml:space="preserve"> </w:t>
      </w:r>
      <w:r>
        <w:t xml:space="preserve">The MVM clearance of the affected runs was determined by AMV-3018 in the same way as every</w:t>
      </w:r>
      <w:r>
        <w:t xml:space="preserve"> </w:t>
      </w:r>
      <w:r>
        <w:t xml:space="preserve">other run, and nothing in the diagnostics of</w:t>
      </w:r>
      <w:r>
        <w:t xml:space="preserve"> </w:t>
      </w:r>
      <w:hyperlink w:anchor="fig-diag-mvm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marks those runs out. Every filter</w:t>
      </w:r>
      <w:r>
        <w:t xml:space="preserve"> </w:t>
      </w:r>
      <w:r>
        <w:t xml:space="preserve">in the study passed its post-use integrity test.</w:t>
      </w:r>
    </w:p>
    <w:p>
      <w:pPr>
        <w:pStyle w:val="BodyText"/>
      </w:pPr>
      <w:r>
        <w:t xml:space="preserve">The deviation is retained and the affected runs remain in the analysis. One change was made</w:t>
      </w:r>
      <w:r>
        <w:t xml:space="preserve"> </w:t>
      </w:r>
      <w:r>
        <w:t xml:space="preserve">forward. Pre-use flux verification is now a routine record for the commercial step under</w:t>
      </w:r>
      <w:r>
        <w:t xml:space="preserve"> </w:t>
      </w:r>
      <w:r>
        <w:t xml:space="preserve">SOP-2012, so that a lot at the edge of the vendor permeability window is identified before the</w:t>
      </w:r>
      <w:r>
        <w:t xml:space="preserve"> </w:t>
      </w:r>
      <w:r>
        <w:t xml:space="preserve">batch is loaded.</w:t>
      </w:r>
    </w:p>
    <w:bookmarkEnd w:id="83"/>
    <w:bookmarkEnd w:id="84"/>
    <w:bookmarkStart w:id="97" w:name="appendices-a-d"/>
    <w:p>
      <w:pPr>
        <w:pStyle w:val="Heading1"/>
      </w:pPr>
      <w:r>
        <w:t xml:space="preserve">14. Appendices A-D</w:t>
      </w:r>
    </w:p>
    <w:p>
      <w:pPr>
        <w:pStyle w:val="FirstParagraph"/>
      </w:pPr>
      <w:r>
        <w:t xml:space="preserve">The appendices carry the complete design matrices, the full effect and coefficient tables for</w:t>
      </w:r>
      <w:r>
        <w:t xml:space="preserve"> </w:t>
      </w:r>
      <w:r>
        <w:t xml:space="preserve">every response, and the validated performance of the analytical methods. They are the primary</w:t>
      </w:r>
      <w:r>
        <w:t xml:space="preserve"> </w:t>
      </w:r>
      <w:r>
        <w:t xml:space="preserve">record of the data summarized in §5.</w:t>
      </w:r>
    </w:p>
    <w:bookmarkStart w:id="86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r>
        <w:t xml:space="preserve">The coded screening design and the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23</w:t>
        </w:r>
      </w:hyperlink>
      <w:r>
        <w:t xml:space="preserve">. The</w:t>
      </w:r>
      <w:r>
        <w:t xml:space="preserve"> </w:t>
      </w:r>
      <w:r>
        <w:t xml:space="preserve">coded settings of −1 / +1 mark the edges of the characterization range of each factor, and 0</w:t>
      </w:r>
      <w:r>
        <w:t xml:space="preserve"> </w:t>
      </w:r>
      <w:r>
        <w:t xml:space="preserve">marks its midpoint.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Screening design matrix in coded factors, with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6"/>
              <w:gridCol w:w="1062"/>
              <w:gridCol w:w="482"/>
              <w:gridCol w:w="482"/>
              <w:gridCol w:w="1835"/>
              <w:gridCol w:w="2028"/>
              <w:gridCol w:w="13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r>
        <w:t xml:space="preserve">The coded face-centred central composite design and the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24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Response-surface design matrix in coded factors, with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6"/>
              <w:gridCol w:w="1062"/>
              <w:gridCol w:w="482"/>
              <w:gridCol w:w="482"/>
              <w:gridCol w:w="1835"/>
              <w:gridCol w:w="2028"/>
              <w:gridCol w:w="13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0.982</w:t>
                  </w:r>
                </w:p>
              </w:tc>
            </w:tr>
          </w:tbl>
          <w:bookmarkEnd w:id="87"/>
          <w:p/>
        </w:tc>
      </w:tr>
    </w:tbl>
    <w:bookmarkEnd w:id="88"/>
    <w:bookmarkStart w:id="94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r>
        <w:t xml:space="preserve">The screening effect table for step yield, which is referred to in §5.2, is given in</w:t>
      </w:r>
      <w:r>
        <w:t xml:space="preserve"> </w:t>
      </w:r>
      <w:hyperlink w:anchor="tbl-appc1">
        <w:r>
          <w:rPr>
            <w:rStyle w:val="Hyperlink"/>
          </w:rPr>
          <w:t xml:space="preserve">Table 25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Screening effect estimates for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 response-surface coefficient tables for the two responses not shown in §5.3 are given in</w:t>
      </w:r>
      <w:r>
        <w:t xml:space="preserve"> </w:t>
      </w:r>
      <w:hyperlink w:anchor="tbl-appc2">
        <w:r>
          <w:rPr>
            <w:rStyle w:val="Hyperlink"/>
          </w:rPr>
          <w:t xml:space="preserve">Table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c3">
        <w:r>
          <w:rPr>
            <w:rStyle w:val="Hyperlink"/>
          </w:rPr>
          <w:t xml:space="preserve">Table 27</w:t>
        </w:r>
      </w:hyperlink>
      <w:r>
        <w:t xml:space="preserve">, with their analyses of variance in</w:t>
      </w:r>
      <w:r>
        <w:t xml:space="preserve"> </w:t>
      </w:r>
      <w:hyperlink w:anchor="tbl-appc4">
        <w:r>
          <w:rPr>
            <w:rStyle w:val="Hyperlink"/>
          </w:rPr>
          <w:t xml:space="preserve">Table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c5">
        <w:r>
          <w:rPr>
            <w:rStyle w:val="Hyperlink"/>
          </w:rPr>
          <w:t xml:space="preserve">Table 29</w:t>
        </w:r>
      </w:hyperlink>
      <w:r>
        <w:t xml:space="preserve">.</w:t>
      </w:r>
      <w:r>
        <w:t xml:space="preserve"> </w:t>
      </w:r>
      <w:r>
        <w:t xml:space="preserve">Neither model is significant overall, so neither table supports a predictive claim.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Response-surface coefficients for XMuLV log reduction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Response-surface coefficients for step yield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7.02e-14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Analysis of variance with lack-of-fit partition, XMuLV log reduction.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Analysis of variance with lack-of-fit partition, step yield.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7.02e-05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7.05e-05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r>
        <w:t xml:space="preserve">The validated performance of the two infectivity assays used in the study is given in</w:t>
      </w:r>
      <w:r>
        <w:t xml:space="preserve"> </w:t>
      </w:r>
      <w:hyperlink w:anchor="tbl-appd">
        <w:r>
          <w:rPr>
            <w:rStyle w:val="Hyperlink"/>
          </w:rPr>
          <w:t xml:space="preserve">Table 30</w:t>
        </w:r>
      </w:hyperlink>
      <w:r>
        <w:t xml:space="preserve">. Precision for both is reported as a log10 standard deviation, which is the natural</w:t>
      </w:r>
      <w:r>
        <w:t xml:space="preserve"> </w:t>
      </w:r>
      <w:r>
        <w:t xml:space="preserve">unit for a titre-based method, and the variance share is the fraction of observed variability</w:t>
      </w:r>
      <w:r>
        <w:t xml:space="preserve"> </w:t>
      </w:r>
      <w:r>
        <w:t xml:space="preserve">the validation attributes to the method.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30: Validated performance of the analytical methods used at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18"/>
              <w:gridCol w:w="2289"/>
              <w:gridCol w:w="1608"/>
              <w:gridCol w:w="1299"/>
              <w:gridCol w:w="990"/>
              <w:gridCol w:w="11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 precision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 share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 log10 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 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 log10 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 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</w:t>
                  </w:r>
                </w:p>
              </w:tc>
            </w:tr>
          </w:tbl>
          <w:bookmarkEnd w:id="95"/>
          <w:p/>
        </w:tc>
      </w:tr>
    </w:tbl>
    <w:bookmarkEnd w:id="96"/>
    <w:bookmarkEnd w:id="97"/>
    <w:bookmarkStart w:id="106" w:name="references"/>
    <w:p>
      <w:pPr>
        <w:pStyle w:val="Heading1"/>
      </w:pPr>
      <w:r>
        <w:t xml:space="preserve">References</w:t>
      </w:r>
    </w:p>
    <w:bookmarkStart w:id="105" w:name="refs"/>
    <w:bookmarkStart w:id="98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98"/>
    <w:bookmarkStart w:id="99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99"/>
    <w:bookmarkStart w:id="100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00"/>
    <w:bookmarkStart w:id="101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01"/>
    <w:bookmarkStart w:id="102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02"/>
    <w:bookmarkStart w:id="103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03"/>
    <w:bookmarkStart w:id="104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5" Target="media/rId65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2026-08-02T19:09:55Z</dcterms:created>
  <dcterms:modified xsi:type="dcterms:W3CDTF">2026-08-02T19:09:55Z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Small-Virus Retentive Filtration (Step 9) — PCR-009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