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Ultrafiltration / Diafiltration (Step 10) — PCR-010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Cpk, process capability index; CPP, critical process</w:t>
      </w:r>
      <w:r>
        <w:t xml:space="preserve"> </w:t>
      </w:r>
      <w:r>
        <w:t xml:space="preserve">parameter; CQA, critical quality attribute; DS, drug substance; DV, diavolume; HCP, host</w:t>
      </w:r>
      <w:r>
        <w:t xml:space="preserve"> </w:t>
      </w:r>
      <w:r>
        <w:t xml:space="preserve">cell protein; icIEF, imaged capillary isoelectric focusing; KPP, key process parameter;</w:t>
      </w:r>
      <w:r>
        <w:t xml:space="preserve"> </w:t>
      </w:r>
      <w:r>
        <w:t xml:space="preserve">LOQ, limit of quantitation; MSAT, Manufacturing Science and Technology; MVM, minute virus</w:t>
      </w:r>
      <w:r>
        <w:t xml:space="preserve"> </w:t>
      </w:r>
      <w:r>
        <w:t xml:space="preserve">of mice; NOR, normal operating range; PAR, proven acceptable range; RPN, risk priority</w:t>
      </w:r>
      <w:r>
        <w:t xml:space="preserve"> </w:t>
      </w:r>
      <w:r>
        <w:t xml:space="preserve">number; RSD, relative standard deviation; SEC-HPLC, size exclusion high performance liquid</w:t>
      </w:r>
      <w:r>
        <w:t xml:space="preserve"> </w:t>
      </w:r>
      <w:r>
        <w:t xml:space="preserve">chromatography; SOP, standard operating procedure; TFF, tangential flow filtration; TMP,</w:t>
      </w:r>
      <w:r>
        <w:t xml:space="preserve"> </w:t>
      </w:r>
      <w:r>
        <w:t xml:space="preserve">transmembrane pressure; UF/DF, ultrafiltration and diafiltration; UV, ultraviolet</w:t>
      </w:r>
      <w:r>
        <w:t xml:space="preserve"> </w:t>
      </w:r>
      <w:r>
        <w:t xml:space="preserve">absorbance at 280 nm; WC-CPP, well controlled critical process parameter; XMuLV,</w:t>
      </w:r>
      <w:r>
        <w:t xml:space="preserve"> </w:t>
      </w:r>
      <w:r>
        <w:t xml:space="preserve">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Ultrafiltration and diafiltration is the last unit operation of the A-Mab drug substance</w:t>
      </w:r>
      <w:r>
        <w:t xml:space="preserve"> </w:t>
      </w:r>
      <w:r>
        <w:t xml:space="preserve">process, and it concentrates the virus filtrate, exchanges it into the formulation buffer</w:t>
      </w:r>
      <w:r>
        <w:t xml:space="preserve"> </w:t>
      </w:r>
      <w:r>
        <w:t xml:space="preserve">and delivers the drug substance at its target concentration. The step forms no critical</w:t>
      </w:r>
      <w:r>
        <w:t xml:space="preserve"> </w:t>
      </w:r>
      <w:r>
        <w:t xml:space="preserve">quality attribute and is credited with no impurity or virus clearance. The studies reported</w:t>
      </w:r>
      <w:r>
        <w:t xml:space="preserve"> </w:t>
      </w:r>
      <w:r>
        <w:t xml:space="preserve">here were executed against PCP-010 on a qualified scale-down model of the commercial</w:t>
      </w:r>
      <w:r>
        <w:t xml:space="preserve"> </w:t>
      </w:r>
      <w:r>
        <w:t xml:space="preserve">tangential flow filtration skid (SOP-1001 and SOP-2013), and their scope was set by the</w:t>
      </w:r>
      <w:r>
        <w:t xml:space="preserve"> </w:t>
      </w:r>
      <w:r>
        <w:t xml:space="preserve">pre-characterization risk assessment RA-001. This report is the Stage 1 process design</w:t>
      </w:r>
      <w:r>
        <w:t xml:space="preserve"> </w:t>
      </w:r>
      <w:r>
        <w:t xml:space="preserve">record for the step in the sense used by the process validation lifecycle guidance</w:t>
      </w:r>
      <w:r>
        <w:t xml:space="preserve"> </w:t>
      </w:r>
      <w:r>
        <w:t xml:space="preserve">(U.S. Food and Drug Administration 2011)</w:t>
      </w:r>
      <w:r>
        <w:t xml:space="preserve">, and the development approach behind it is the enhanced approach of ICH Q8 and</w:t>
      </w:r>
      <w:r>
        <w:t xml:space="preserve"> </w:t>
      </w:r>
      <w:r>
        <w:t xml:space="preserve">ICH Q11</w:t>
      </w:r>
      <w:r>
        <w:t xml:space="preserve"> </w:t>
      </w:r>
      <w:r>
        <w:t xml:space="preserve">(International Council for Harmonisation 2009, 2012)</w:t>
      </w:r>
      <w:r>
        <w:t xml:space="preserve">.</w:t>
      </w:r>
    </w:p>
    <w:p>
      <w:pPr>
        <w:pStyle w:val="BodyText"/>
      </w:pPr>
      <w:r>
        <w:t xml:space="preserve">The characterization covered 3 parameters, which are the number of</w:t>
      </w:r>
      <w:r>
        <w:t xml:space="preserve"> </w:t>
      </w:r>
      <w:r>
        <w:t xml:space="preserve">diavolumes, the transmembrane pressure and the final drug substance concentration, and all</w:t>
      </w:r>
      <w:r>
        <w:t xml:space="preserve"> </w:t>
      </w:r>
      <w:r>
        <w:t xml:space="preserve">of them are classified as key process parameters. None is linked to a critical quality</w:t>
      </w:r>
      <w:r>
        <w:t xml:space="preserve"> </w:t>
      </w:r>
      <w:r>
        <w:t xml:space="preserve">attribute, so the step contributes no element to the design space and no proven acceptable</w:t>
      </w:r>
      <w:r>
        <w:t xml:space="preserve"> </w:t>
      </w:r>
      <w:r>
        <w:t xml:space="preserve">range is claimed for any of its parameters. At its set-points the step delivered a product</w:t>
      </w:r>
      <w:r>
        <w:t xml:space="preserve"> </w:t>
      </w:r>
      <w:r>
        <w:t xml:space="preserve">yield of 97.1% and 54.6 kg of drug</w:t>
      </w:r>
      <w:r>
        <w:t xml:space="preserve"> </w:t>
      </w:r>
      <w:r>
        <w:t xml:space="preserve">substance at 75 g/L, which closes the train at a cumulative product</w:t>
      </w:r>
      <w:r>
        <w:t xml:space="preserve"> </w:t>
      </w:r>
      <w:r>
        <w:t xml:space="preserve">yield of 83.2%.</w:t>
      </w:r>
    </w:p>
    <w:p>
      <w:pPr>
        <w:pStyle w:val="BodyText"/>
      </w:pPr>
      <w:r>
        <w:t xml:space="preserve">The drug substance attributes measured on the pool this step delivers meet their acceptance</w:t>
      </w:r>
      <w:r>
        <w:t xml:space="preserve"> </w:t>
      </w:r>
      <w:r>
        <w:t xml:space="preserve">criteria at commercial scale. Across 2,000 simulated batches,</w:t>
      </w:r>
      <w:r>
        <w:t xml:space="preserve"> </w:t>
      </w:r>
      <w:r>
        <w:t xml:space="preserve">with every process parameter of every step drawn about its set-point at one sixth of its</w:t>
      </w:r>
      <w:r>
        <w:t xml:space="preserve"> </w:t>
      </w:r>
      <w:r>
        <w:t xml:space="preserve">normal operating range, aggregate reached at most 1.15 % HMW against a</w:t>
      </w:r>
      <w:r>
        <w:t xml:space="preserve"> </w:t>
      </w:r>
      <w:r>
        <w:t xml:space="preserve">limit of 5 %, and acidic charge variants reached at most</w:t>
      </w:r>
      <w:r>
        <w:t xml:space="preserve"> </w:t>
      </w:r>
      <w:r>
        <w:t xml:space="preserve">27.2 % against a limit of 40 %. Acidic</w:t>
      </w:r>
      <w:r>
        <w:t xml:space="preserve"> </w:t>
      </w:r>
      <w:r>
        <w:t xml:space="preserve">charge variants carry the tightest capability of the three attributes confirmed here, at a</w:t>
      </w:r>
      <w:r>
        <w:t xml:space="preserve"> </w:t>
      </w:r>
      <w:r>
        <w:t xml:space="preserve">Cpk of 4.26. The tightest capability of the drug substance as a whole</w:t>
      </w:r>
      <w:r>
        <w:t xml:space="preserve"> </w:t>
      </w:r>
      <w:r>
        <w:t xml:space="preserve">belongs to Viral clearance — MVM (parvovirus), at a Cpk of 1.51, and it is</w:t>
      </w:r>
      <w:r>
        <w:t xml:space="preserve"> </w:t>
      </w:r>
      <w:r>
        <w:t xml:space="preserve">credited to anion exchange and small virus retentive filtration (PCR-008 and PCR-009), which</w:t>
      </w:r>
      <w:r>
        <w:t xml:space="preserve"> </w:t>
      </w:r>
      <w:r>
        <w:t xml:space="preserve">are the two steps that clear parvovirus.</w:t>
      </w:r>
    </w:p>
    <w:p>
      <w:pPr>
        <w:pStyle w:val="BodyText"/>
      </w:pPr>
      <w:r>
        <w:t xml:space="preserve">Execution recorded 2 deviations, both of which were investigated and impact</w:t>
      </w:r>
      <w:r>
        <w:t xml:space="preserve"> </w:t>
      </w:r>
      <w:r>
        <w:t xml:space="preserve">assessed, both of which were dispositioned as retained, and neither of which changed a</w:t>
      </w:r>
      <w:r>
        <w:t xml:space="preserve"> </w:t>
      </w:r>
      <w:r>
        <w:t xml:space="preserve">parameter range, a classification or a conclusion of this report (§13). The step delivers</w:t>
      </w:r>
      <w:r>
        <w:t xml:space="preserve"> </w:t>
      </w:r>
      <w:r>
        <w:t xml:space="preserve">the drug substance at its target concentration and, by the diavolume count set in §4.1, in</w:t>
      </w:r>
      <w:r>
        <w:t xml:space="preserve"> </w:t>
      </w:r>
      <w:r>
        <w:t xml:space="preserve">the formulation buffer, within 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on the scale-down model</w:t>
      </w:r>
      <w:r>
        <w:t xml:space="preserve"> </w:t>
      </w:r>
      <w:r>
        <w:t xml:space="preserve">described in §3.1. Residual load buffer was not assayed, and the completeness of the</w:t>
      </w:r>
      <w:r>
        <w:t xml:space="preserve"> </w:t>
      </w:r>
      <w:r>
        <w:t xml:space="preserve">exchange is taken from the washout relation given in §4.1. The step assures no critical</w:t>
      </w:r>
      <w:r>
        <w:t xml:space="preserve"> </w:t>
      </w:r>
      <w:r>
        <w:t xml:space="preserve">quality attribute on its own, and its outcome rolls up into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 is</w:t>
      </w:r>
      <w:r>
        <w:t xml:space="preserve"> </w:t>
      </w:r>
      <w:r>
        <w:t xml:space="preserve">antibody dependent cellular cytotoxicity. The drug substance process runs from the</w:t>
      </w:r>
      <w:r>
        <w:t xml:space="preserve"> </w:t>
      </w:r>
      <w:r>
        <w:t xml:space="preserve">production bioreactor through harvest and clarification, Protein A capture, low pH viral</w:t>
      </w:r>
      <w:r>
        <w:t xml:space="preserve"> </w:t>
      </w:r>
      <w:r>
        <w:t xml:space="preserve">inactivation, cation exchange, anion exchange and small virus retentive filtration to this</w:t>
      </w:r>
      <w:r>
        <w:t xml:space="preserve"> </w:t>
      </w:r>
      <w:r>
        <w:t xml:space="preserve">step, which is the formulation operation of that train. It takes the virus filtrate, brings</w:t>
      </w:r>
      <w:r>
        <w:t xml:space="preserve"> </w:t>
      </w:r>
      <w:r>
        <w:t xml:space="preserve">it to the drug substance concentration and buffer, and hands the material on for storage and</w:t>
      </w:r>
      <w:r>
        <w:t xml:space="preserve"> </w:t>
      </w:r>
      <w:r>
        <w:t xml:space="preserve">fill.</w:t>
      </w:r>
    </w:p>
    <w:p>
      <w:pPr>
        <w:pStyle w:val="BodyText"/>
      </w:pPr>
      <w:r>
        <w:t xml:space="preserve">The operation is a tangential flow filtration process, in which the retentate is</w:t>
      </w:r>
      <w:r>
        <w:t xml:space="preserve"> </w:t>
      </w:r>
      <w:r>
        <w:t xml:space="preserve">recirculated across a membrane whose nominal cut off retains the antibody while</w:t>
      </w:r>
      <w:r>
        <w:t xml:space="preserve"> </w:t>
      </w:r>
      <w:r>
        <w:t xml:space="preserve">the permeate carries the small solutes (buffer salts, excipients and residual process</w:t>
      </w:r>
      <w:r>
        <w:t xml:space="preserve"> </w:t>
      </w:r>
      <w:r>
        <w:t xml:space="preserve">chemicals) to waste. It runs in three phases.</w:t>
      </w:r>
      <w:r>
        <w:t xml:space="preserve"> </w:t>
      </w:r>
      <w:r>
        <w:t xml:space="preserve">The load is first concentrated, then diafiltered against the formulation buffer for a set</w:t>
      </w:r>
      <w:r>
        <w:t xml:space="preserve"> </w:t>
      </w:r>
      <w:r>
        <w:t xml:space="preserve">number of diavolumes, then concentrated a second time to the target and recovered from the</w:t>
      </w:r>
      <w:r>
        <w:t xml:space="preserve"> </w:t>
      </w:r>
      <w:r>
        <w:t xml:space="preserve">skid with a buffer flush.</w:t>
      </w:r>
    </w:p>
    <w:p>
      <w:pPr>
        <w:pStyle w:val="BodyText"/>
      </w:pPr>
      <w:r>
        <w:t xml:space="preserve">Each of the three parameters acts through a different physical mechanism. The number of</w:t>
      </w:r>
      <w:r>
        <w:t xml:space="preserve"> </w:t>
      </w:r>
      <w:r>
        <w:t xml:space="preserve">diavolumes sets how completely the load buffer is replaced by the formulation buffer, while</w:t>
      </w:r>
      <w:r>
        <w:t xml:space="preserve"> </w:t>
      </w:r>
      <w:r>
        <w:t xml:space="preserve">transmembrane pressure sets the permeate flux and with it both the processing time and the</w:t>
      </w:r>
      <w:r>
        <w:t xml:space="preserve"> </w:t>
      </w:r>
      <w:r>
        <w:t xml:space="preserve">shear the product sees at the membrane surface. The final concentration sets the</w:t>
      </w:r>
      <w:r>
        <w:t xml:space="preserve"> </w:t>
      </w:r>
      <w:r>
        <w:t xml:space="preserve">concentration of the drug substance and the viscosity at which the pool is recovered. The</w:t>
      </w:r>
      <w:r>
        <w:t xml:space="preserve"> </w:t>
      </w:r>
      <w:r>
        <w:t xml:space="preserve">product leaves the step at 75 g/L, which is about</w:t>
      </w:r>
      <w:r>
        <w:t xml:space="preserve"> </w:t>
      </w:r>
      <w:r>
        <w:t xml:space="preserve">17 times the titre of the harvested culture fluid.</w:t>
      </w:r>
    </w:p>
    <w:p>
      <w:pPr>
        <w:pStyle w:val="BodyText"/>
      </w:pPr>
      <w:r>
        <w:t xml:space="preserve">No critical quality attribute is formed at this step and none is cleared. The glycan, charge</w:t>
      </w:r>
      <w:r>
        <w:t xml:space="preserve"> </w:t>
      </w:r>
      <w:r>
        <w:t xml:space="preserve">variant and aggregate attributes are established in the production bioreactor (PCR-003), and</w:t>
      </w:r>
      <w:r>
        <w:t xml:space="preserve"> </w:t>
      </w:r>
      <w:r>
        <w:t xml:space="preserve">host cell protein, residual DNA and leached Protein A are cleared by the chromatography steps</w:t>
      </w:r>
      <w:r>
        <w:t xml:space="preserve"> </w:t>
      </w:r>
      <w:r>
        <w:t xml:space="preserve">(PCR-005, PCR-007 and PCR-008). Viral safety rests on low pH inactivation, anion exchange and</w:t>
      </w:r>
      <w:r>
        <w:t xml:space="preserve"> </w:t>
      </w:r>
      <w:r>
        <w:t xml:space="preserve">small virus retentive filtration (PCR-006, PCR-008 and PCR-009). Some clearance</w:t>
      </w:r>
      <w:r>
        <w:t xml:space="preserve"> </w:t>
      </w:r>
      <w:r>
        <w:t xml:space="preserve">of small solutes occurs across any membrane operation, but it is not predictable and no claim</w:t>
      </w:r>
      <w:r>
        <w:t xml:space="preserve"> </w:t>
      </w:r>
      <w:r>
        <w:t xml:space="preserve">is made for it, so the impurity levels entering this step are taken to carry through unchanged</w:t>
      </w:r>
      <w:r>
        <w:t xml:space="preserve"> </w:t>
      </w:r>
      <w:r>
        <w:t xml:space="preserve">to the drug substance.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was designed to meet the objectives listed below.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Confirm that the step delivers drug substance at its target concentration and closes</w:t>
      </w:r>
      <w:r>
        <w:t xml:space="preserve"> </w:t>
      </w:r>
      <w:r>
        <w:t xml:space="preserve">the product mass balance for the batch.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Establish a normal operating range and a wider characterization range for each of the</w:t>
      </w:r>
      <w:r>
        <w:t xml:space="preserve"> </w:t>
      </w:r>
      <w:r>
        <w:t xml:space="preserve">parameters that govern the operation.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Confirm that the drug substance quality attributes measured after the step remain</w:t>
      </w:r>
      <w:r>
        <w:t xml:space="preserve"> </w:t>
      </w:r>
      <w:r>
        <w:t xml:space="preserve">within their acceptance criteria.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Classify each parameter under the decision logic of SOP-4001, and record the evidence</w:t>
      </w:r>
      <w:r>
        <w:t xml:space="preserve"> </w:t>
      </w:r>
      <w:r>
        <w:t xml:space="preserve">the classification rests on.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Provide the ranges and the controls that the Stage 2 process performance qualification</w:t>
      </w:r>
      <w:r>
        <w:t xml:space="preserve"> </w:t>
      </w:r>
      <w:r>
        <w:t xml:space="preserve">will be run against.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characterization follows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, and</w:t>
      </w:r>
      <w:r>
        <w:t xml:space="preserve"> </w:t>
      </w:r>
      <w:r>
        <w:t xml:space="preserve">this report is the Stage 1 record for the step, so the ranges it establishes are the ranges</w:t>
      </w:r>
      <w:r>
        <w:t xml:space="preserve"> </w:t>
      </w:r>
      <w:r>
        <w:t xml:space="preserve">Stage 2 qualifies. Development follows the enhanced approach of ICH Q8 and ICH Q11</w:t>
      </w:r>
      <w:r>
        <w:t xml:space="preserve"> </w:t>
      </w:r>
      <w:r>
        <w:t xml:space="preserve">(International Council for Harmonisation 2009, 2012)</w:t>
      </w:r>
      <w:r>
        <w:t xml:space="preserve">, in which process understanding and quality risk management together</w:t>
      </w:r>
      <w:r>
        <w:t xml:space="preserve"> </w:t>
      </w:r>
      <w:r>
        <w:t xml:space="preserve">decide what is controlled and how tightly</w:t>
      </w:r>
      <w:r>
        <w:t xml:space="preserve"> </w:t>
      </w:r>
      <w:r>
        <w:t xml:space="preserve">(International Council for Harmonisation 2023b)</w:t>
      </w:r>
      <w:r>
        <w:t xml:space="preserve">. Criticality is treated as a continuum</w:t>
      </w:r>
      <w:r>
        <w:t xml:space="preserve"> </w:t>
      </w:r>
      <w:r>
        <w:t xml:space="preserve">and not as a binary label, which is the convention used throughout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ICH Q5A governs the evaluation of viral safety</w:t>
      </w:r>
      <w:r>
        <w:t xml:space="preserve"> </w:t>
      </w:r>
      <w:r>
        <w:t xml:space="preserve">(International Council for Harmonisation 2023a)</w:t>
      </w:r>
      <w:r>
        <w:t xml:space="preserve">, and it is named here only to</w:t>
      </w:r>
      <w:r>
        <w:t xml:space="preserve"> </w:t>
      </w:r>
      <w:r>
        <w:t xml:space="preserve">record that this step contributes nothing to the viral clearance claim for the drug</w:t>
      </w:r>
      <w:r>
        <w:t xml:space="preserve"> </w:t>
      </w:r>
      <w:r>
        <w:t xml:space="preserve">substance. The modular clearance argument is built in PCR-006, PCR-008 and PCR-009 and is</w:t>
      </w:r>
      <w:r>
        <w:t xml:space="preserve"> </w:t>
      </w:r>
      <w:r>
        <w:t xml:space="preserve">consolidated in PCMR-001.</w:t>
      </w:r>
    </w:p>
    <w:bookmarkEnd w:id="15"/>
    <w:bookmarkStart w:id="17" w:name="related-documents"/>
    <w:p>
      <w:pPr>
        <w:pStyle w:val="Heading2"/>
      </w:pPr>
      <w:r>
        <w:t xml:space="preserve">1.4 Related documents</w:t>
      </w:r>
    </w:p>
    <w:p>
      <w:pPr>
        <w:pStyle w:val="FirstParagraph"/>
      </w:pPr>
      <w:r>
        <w:t xml:space="preserve">The documents this report depends on, and the document it rolls up into,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The paired protocol is PCP-010, which fixed the study design and the</w:t>
      </w:r>
      <w:r>
        <w:t xml:space="preserve"> </w:t>
      </w:r>
      <w:r>
        <w:t xml:space="preserve">acceptance criteria before any data existed, while the controlled procedures and the</w:t>
      </w:r>
      <w:r>
        <w:t xml:space="preserve"> </w:t>
      </w:r>
      <w:r>
        <w:t xml:space="preserve">validated analytical methods used at the step are listed separately in §3.3.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4" w:name="prior-knowledge-and-quality-risk-basis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 product knowledge</w:t>
      </w:r>
    </w:p>
    <w:p>
      <w:pPr>
        <w:pStyle w:val="FirstParagraph"/>
      </w:pPr>
      <w:r>
        <w:t xml:space="preserve">Formulation by tangential flow filtration is a platform operation at Novacyte Biologics, and</w:t>
      </w:r>
      <w:r>
        <w:t xml:space="preserve"> </w:t>
      </w:r>
      <w:r>
        <w:t xml:space="preserve">the same membrane chemistry, the same formulation buffer and the same membrane loading have</w:t>
      </w:r>
      <w:r>
        <w:t xml:space="preserve"> </w:t>
      </w:r>
      <w:r>
        <w:t xml:space="preserve">been used for three earlier humanized IgG1 products (X-Mab, Y-Mab and Z-Mab) and throughout</w:t>
      </w:r>
      <w:r>
        <w:t xml:space="preserve"> </w:t>
      </w:r>
      <w:r>
        <w:t xml:space="preserve">A-Mab clinical supply. That history is why the step is characterized against a known</w:t>
      </w:r>
      <w:r>
        <w:t xml:space="preserve"> </w:t>
      </w:r>
      <w:r>
        <w:t xml:space="preserve">mechanism instead of developed from first principles. The mechanism is also simple enough to</w:t>
      </w:r>
      <w:r>
        <w:t xml:space="preserve"> </w:t>
      </w:r>
      <w:r>
        <w:t xml:space="preserve">state in advance, since a membrane that retains the antibody and passes small solutes changes</w:t>
      </w:r>
      <w:r>
        <w:t xml:space="preserve"> </w:t>
      </w:r>
      <w:r>
        <w:t xml:space="preserve">the composition of the pool and leaves the product alone. The expected outcome of the study</w:t>
      </w:r>
      <w:r>
        <w:t xml:space="preserve"> </w:t>
      </w:r>
      <w:r>
        <w:t xml:space="preserve">was therefore an absence of effects on product quality.</w:t>
      </w:r>
    </w:p>
    <w:p>
      <w:pPr>
        <w:pStyle w:val="BodyText"/>
      </w:pPr>
      <w:r>
        <w:t xml:space="preserve">Two mechanisms could break that expectation, and both were carried into the study. Shear at</w:t>
      </w:r>
      <w:r>
        <w:t xml:space="preserve"> </w:t>
      </w:r>
      <w:r>
        <w:t xml:space="preserve">the membrane surface can generate aggregate, and transmembrane pressure is the parameter that</w:t>
      </w:r>
      <w:r>
        <w:t xml:space="preserve"> </w:t>
      </w:r>
      <w:r>
        <w:t xml:space="preserve">governs it. Holding the antibody at high concentration through the second concentration phase</w:t>
      </w:r>
      <w:r>
        <w:t xml:space="preserve"> </w:t>
      </w:r>
      <w:r>
        <w:t xml:space="preserve">can do the same, and the final concentration is the parameter that governs that. RA-001</w:t>
      </w:r>
      <w:r>
        <w:t xml:space="preserve"> </w:t>
      </w:r>
      <w:r>
        <w:t xml:space="preserve">scored both as low risk on the platform history recorded there, but they are nevertheless the</w:t>
      </w:r>
      <w:r>
        <w:t xml:space="preserve"> </w:t>
      </w:r>
      <w:r>
        <w:t xml:space="preserve">reason the characterization ranges were set wider than the normal operating ranges.</w:t>
      </w:r>
    </w:p>
    <w:bookmarkEnd w:id="19"/>
    <w:bookmarkStart w:id="21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Three drug substance attributes are measured on the pool this step delivers, and they are the</w:t>
      </w:r>
      <w:r>
        <w:t xml:space="preserve"> </w:t>
      </w:r>
      <w:r>
        <w:t xml:space="preserve">attributes in scope for this report (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). None of them is set at this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Drug substance quality attributes measured after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21"/>
              <w:gridCol w:w="1384"/>
              <w:gridCol w:w="1614"/>
              <w:gridCol w:w="1153"/>
              <w:gridCol w:w="8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Aggregate is the attribute with a mechanism at this step. It is formed in the production</w:t>
      </w:r>
      <w:r>
        <w:t xml:space="preserve"> </w:t>
      </w:r>
      <w:r>
        <w:t xml:space="preserve">bioreactor (PCR-003) and reduced principally at cation exchange (PCR-007), and the</w:t>
      </w:r>
      <w:r>
        <w:t xml:space="preserve"> </w:t>
      </w:r>
      <w:r>
        <w:t xml:space="preserve">concentration and recirculation applied here are the last opportunity in the process to add</w:t>
      </w:r>
      <w:r>
        <w:t xml:space="preserve"> </w:t>
      </w:r>
      <w:r>
        <w:t xml:space="preserve">to it. Acidic charge variants are formed in the bioreactor and are challenged by the low pH</w:t>
      </w:r>
      <w:r>
        <w:t xml:space="preserve"> </w:t>
      </w:r>
      <w:r>
        <w:t xml:space="preserve">hold (PCR-006), and they are measured again here because the drug substance is the material</w:t>
      </w:r>
      <w:r>
        <w:t xml:space="preserve"> </w:t>
      </w:r>
      <w:r>
        <w:t xml:space="preserve">the specification applies to. Residual DNA is cleared across the three chromatography steps</w:t>
      </w:r>
      <w:r>
        <w:t xml:space="preserve"> </w:t>
      </w:r>
      <w:r>
        <w:t xml:space="preserve">and is reported for the drug substance on a per dose basis, and that conversion of basis is</w:t>
      </w:r>
      <w:r>
        <w:t xml:space="preserve"> </w:t>
      </w:r>
      <w:r>
        <w:t xml:space="preserve">made at this step.</w:t>
      </w:r>
    </w:p>
    <w:p>
      <w:pPr>
        <w:pStyle w:val="BodyText"/>
      </w:pPr>
      <w:r>
        <w:t xml:space="preserve">The remaining attributes of the register are not repeated here. The glycan attributes, host</w:t>
      </w:r>
      <w:r>
        <w:t xml:space="preserve"> </w:t>
      </w:r>
      <w:r>
        <w:t xml:space="preserve">cell protein and leached Protein A are covered by the reports for the steps that set or clear</w:t>
      </w:r>
      <w:r>
        <w:t xml:space="preserve"> </w:t>
      </w:r>
      <w:r>
        <w:t xml:space="preserve">them, and the full register with those attributions is given in Appendix C.</w:t>
      </w:r>
    </w:p>
    <w:bookmarkEnd w:id="21"/>
    <w:bookmarkStart w:id="23" w:name="X8e350aaf11e00001962f0e94cfe08bc5c1a6d7b"/>
    <w:p>
      <w:pPr>
        <w:pStyle w:val="Heading2"/>
      </w:pPr>
      <w:r>
        <w:t xml:space="preserve">2.3 Risk based prioritization and parameter selection</w:t>
      </w:r>
    </w:p>
    <w:p>
      <w:pPr>
        <w:pStyle w:val="FirstParagraph"/>
      </w:pPr>
      <w:r>
        <w:t xml:space="preserve">RA-001 carried 3 parameters into the pre-characterization assessment for</w:t>
      </w:r>
      <w:r>
        <w:t xml:space="preserve"> </w:t>
      </w:r>
      <w:r>
        <w:t xml:space="preserve">this step and assigned all of them to univariate study. The scoring is reproduced in</w:t>
      </w:r>
      <w:r>
        <w:t xml:space="preserve"> </w:t>
      </w:r>
      <w:hyperlink w:anchor="tbl-risk">
        <w:r>
          <w:rPr>
            <w:rStyle w:val="Hyperlink"/>
          </w:rPr>
          <w:t xml:space="preserve">Table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is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Pre-characterization risk ranking and study assignment for the step (RA-001).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8"/>
              <w:gridCol w:w="1492"/>
              <w:gridCol w:w="2869"/>
              <w:gridCol w:w="306"/>
              <w:gridCol w:w="306"/>
              <w:gridCol w:w="306"/>
              <w:gridCol w:w="573"/>
              <w:gridCol w:w="688"/>
              <w:gridCol w:w="45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Prospective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Diavolumes &lt;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Incomplete buffer exchange (formulation; not part of DS characterization)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TMP outside 10-15 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Affects flux/processing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outside 65-85 g/L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DS concentration spec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three parameters scored alike, and the reason is visible in the effect column, where none</w:t>
      </w:r>
      <w:r>
        <w:t xml:space="preserve"> </w:t>
      </w:r>
      <w:r>
        <w:t xml:space="preserve">of the failure modes reaches a quality attribute. Severity was scored in the</w:t>
      </w:r>
      <w:r>
        <w:t xml:space="preserve"> </w:t>
      </w:r>
      <w:r>
        <w:t xml:space="preserve">Slight band, which the A-Mab scale uses for an unlikely impact on product</w:t>
      </w:r>
      <w:r>
        <w:t xml:space="preserve"> </w:t>
      </w:r>
      <w:r>
        <w:t xml:space="preserve">quality that calls for no supplemental testing and no reprocessing. Occurrence was scored in</w:t>
      </w:r>
      <w:r>
        <w:t xml:space="preserve"> </w:t>
      </w:r>
      <w:r>
        <w:t xml:space="preserve">the Low band and detection in the Moderate band, and the detection</w:t>
      </w:r>
      <w:r>
        <w:t xml:space="preserve"> </w:t>
      </w:r>
      <w:r>
        <w:t xml:space="preserve">band is the one the scale uses for a failure that is seen at a later operation and not during</w:t>
      </w:r>
      <w:r>
        <w:t xml:space="preserve"> </w:t>
      </w:r>
      <w:r>
        <w:t xml:space="preserve">this one. The three scores together give an initial risk priority number of</w:t>
      </w:r>
      <w:r>
        <w:t xml:space="preserve"> </w:t>
      </w:r>
      <w:r>
        <w:t xml:space="preserve">96 for each parameter. On that basis</w:t>
      </w:r>
      <w:r>
        <w:t xml:space="preserve"> </w:t>
      </w:r>
      <w:r>
        <w:t xml:space="preserve">the assessment concluded that a designed experiment was not justified and that univariate</w:t>
      </w:r>
      <w:r>
        <w:t xml:space="preserve"> </w:t>
      </w:r>
      <w:r>
        <w:t xml:space="preserve">study of each range would support the operating limits the step needs.</w:t>
      </w:r>
    </w:p>
    <w:p>
      <w:pPr>
        <w:pStyle w:val="BodyText"/>
      </w:pPr>
      <w:r>
        <w:t xml:space="preserve">A low score is not the same as no study. The parameters still set the concentration and the</w:t>
      </w:r>
      <w:r>
        <w:t xml:space="preserve"> </w:t>
      </w:r>
      <w:r>
        <w:t xml:space="preserve">buffer the drug substance is delivered in, and both of those are specified, so what the score</w:t>
      </w:r>
      <w:r>
        <w:t xml:space="preserve"> </w:t>
      </w:r>
      <w:r>
        <w:t xml:space="preserve">decided was the kind of study and not whether one was needed.</w:t>
      </w:r>
    </w:p>
    <w:bookmarkEnd w:id="23"/>
    <w:bookmarkEnd w:id="24"/>
    <w:bookmarkStart w:id="31" w:name="materials-and-methods"/>
    <w:p>
      <w:pPr>
        <w:pStyle w:val="Heading1"/>
      </w:pPr>
      <w:r>
        <w:t xml:space="preserve">3. Materials and methods</w:t>
      </w:r>
    </w:p>
    <w:bookmarkStart w:id="25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studies were executed on a scale-down tangential flow filtration system qualified as a</w:t>
      </w:r>
      <w:r>
        <w:t xml:space="preserve"> </w:t>
      </w:r>
      <w:r>
        <w:t xml:space="preserve">model of the commercial skid under SOP-1001. The model holds the scale independent variables</w:t>
      </w:r>
      <w:r>
        <w:t xml:space="preserve"> </w:t>
      </w:r>
      <w:r>
        <w:t xml:space="preserve">of the operation at their commercial values. Those variables are the membrane chemistry and</w:t>
      </w:r>
      <w:r>
        <w:t xml:space="preserve"> </w:t>
      </w:r>
      <w:r>
        <w:t xml:space="preserve">nominal cut off, the membrane loading in product mass per unit area, the crossflow per unit</w:t>
      </w:r>
      <w:r>
        <w:t xml:space="preserve"> </w:t>
      </w:r>
      <w:r>
        <w:t xml:space="preserve">area, the transmembrane pressure, the number of diavolumes and the final concentration. The</w:t>
      </w:r>
      <w:r>
        <w:t xml:space="preserve"> </w:t>
      </w:r>
      <w:r>
        <w:t xml:space="preserve">scale dependent features were set to match commercial performance instead of commercial</w:t>
      </w:r>
      <w:r>
        <w:t xml:space="preserve"> </w:t>
      </w:r>
      <w:r>
        <w:t xml:space="preserve">geometry, which for this operation means the recirculation loop, the pump and the system</w:t>
      </w:r>
      <w:r>
        <w:t xml:space="preserve"> </w:t>
      </w:r>
      <w:r>
        <w:t xml:space="preserve">hold-up volume.</w:t>
      </w:r>
    </w:p>
    <w:p>
      <w:pPr>
        <w:pStyle w:val="BodyText"/>
      </w:pPr>
      <w:r>
        <w:t xml:space="preserve">Qualification compared the model with commercial equivalent runs on the quantities that leave</w:t>
      </w:r>
      <w:r>
        <w:t xml:space="preserve"> </w:t>
      </w:r>
      <w:r>
        <w:t xml:space="preserve">the step, which are step yield, final concentration, aggregate and charge variants. The</w:t>
      </w:r>
      <w:r>
        <w:t xml:space="preserve"> </w:t>
      </w:r>
      <w:r>
        <w:t xml:space="preserve">qualification record is held under SOP-1001 and is not reproduced here. The skid used for the</w:t>
      </w:r>
      <w:r>
        <w:t xml:space="preserve"> </w:t>
      </w:r>
      <w:r>
        <w:t xml:space="preserve">studies (EQ-TFF-142) was in calibration at execution, and its next calibration fell due on</w:t>
      </w:r>
      <w:r>
        <w:t xml:space="preserve"> </w:t>
      </w:r>
      <w:r>
        <w:t xml:space="preserve">2026-04-22.</w:t>
      </w:r>
    </w:p>
    <w:p>
      <w:pPr>
        <w:pStyle w:val="BodyText"/>
      </w:pPr>
      <w:r>
        <w:t xml:space="preserve">One feature of the model cannot be matched to the commercial skid by scaling, and it is the</w:t>
      </w:r>
      <w:r>
        <w:t xml:space="preserve"> </w:t>
      </w:r>
      <w:r>
        <w:t xml:space="preserve">hold-up volume of the recirculation loop and the membrane housing, because buffer held there</w:t>
      </w:r>
      <w:r>
        <w:t xml:space="preserve"> </w:t>
      </w:r>
      <w:r>
        <w:t xml:space="preserve">is recovered with the pool at the flush and dilutes it. The effect is managed by the recovery</w:t>
      </w:r>
      <w:r>
        <w:t xml:space="preserve"> </w:t>
      </w:r>
      <w:r>
        <w:t xml:space="preserve">flush described in §3.2, and it is the mechanism behind DEV-010-02 (§13.2).</w:t>
      </w:r>
    </w:p>
    <w:p>
      <w:pPr>
        <w:pStyle w:val="BodyText"/>
      </w:pPr>
      <w:r>
        <w:t xml:space="preserve">The warrant this model has to carry is narrow. It supports operating ranges for parameters</w:t>
      </w:r>
      <w:r>
        <w:t xml:space="preserve"> </w:t>
      </w:r>
      <w:r>
        <w:t xml:space="preserve">that govern process performance, and it supports the statement that the drug substance</w:t>
      </w:r>
      <w:r>
        <w:t xml:space="preserve"> </w:t>
      </w:r>
      <w:r>
        <w:t xml:space="preserve">attributes are unchanged across the step, but it is not asked to support a quality attribute</w:t>
      </w:r>
      <w:r>
        <w:t xml:space="preserve"> </w:t>
      </w:r>
      <w:r>
        <w:t xml:space="preserve">claim of its own, because the step makes none.</w:t>
      </w:r>
    </w:p>
    <w:bookmarkEnd w:id="25"/>
    <w:bookmarkStart w:id="26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The step was operated as described in SOP-2013, taking as its load the pool from small virus</w:t>
      </w:r>
      <w:r>
        <w:t xml:space="preserve"> </w:t>
      </w:r>
      <w:r>
        <w:t xml:space="preserve">retentive filtration. That pool is concentrated, diafiltered against the formulation buffer</w:t>
      </w:r>
      <w:r>
        <w:t xml:space="preserve"> </w:t>
      </w:r>
      <w:r>
        <w:t xml:space="preserve">for 8 diavolumes, then concentrated to</w:t>
      </w:r>
      <w:r>
        <w:t xml:space="preserve"> </w:t>
      </w:r>
      <w:r>
        <w:t xml:space="preserve">75 g/L and recovered from the skid with a buffer flush.</w:t>
      </w:r>
      <w:r>
        <w:t xml:space="preserve"> </w:t>
      </w:r>
      <w:r>
        <w:t xml:space="preserve">Transmembrane pressure is held at 12 psi through both</w:t>
      </w:r>
      <w:r>
        <w:t xml:space="preserve"> </w:t>
      </w:r>
      <w:r>
        <w:t xml:space="preserve">concentration phases and through the diafiltration.</w:t>
      </w:r>
    </w:p>
    <w:p>
      <w:pPr>
        <w:pStyle w:val="BodyText"/>
      </w:pPr>
      <w:r>
        <w:t xml:space="preserve">Inputs to the step are controlled to platform specification and were not characterized, and</w:t>
      </w:r>
      <w:r>
        <w:t xml:space="preserve"> </w:t>
      </w:r>
      <w:r>
        <w:t xml:space="preserve">they are the membrane, the formulation buffer and the load itself, whose quality is the</w:t>
      </w:r>
      <w:r>
        <w:t xml:space="preserve"> </w:t>
      </w:r>
      <w:r>
        <w:t xml:space="preserve">subject of PCR-009. The membrane is installed, flushed and integrity tested before use under</w:t>
      </w:r>
      <w:r>
        <w:t xml:space="preserve"> </w:t>
      </w:r>
      <w:r>
        <w:t xml:space="preserve">SOP-2013. The system is cleaned and sanitized between batches under the same procedure.</w:t>
      </w:r>
    </w:p>
    <w:bookmarkEnd w:id="26"/>
    <w:bookmarkStart w:id="28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controlled procedures and the validated analytical methods used at this step are listed</w:t>
      </w:r>
      <w:r>
        <w:t xml:space="preserve"> </w:t>
      </w:r>
      <w:r>
        <w:t xml:space="preserve">in</w:t>
      </w:r>
      <w:r>
        <w:t xml:space="preserve"> </w:t>
      </w:r>
      <w:hyperlink w:anchor="tbl-refs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procedures and validated analytical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Protein concentration is measured by ultraviolet absorbance under AMV-3019, and it is both</w:t>
      </w:r>
      <w:r>
        <w:t xml:space="preserve"> </w:t>
      </w:r>
      <w:r>
        <w:t xml:space="preserve">the quantity that defines the endpoint of the second concentration phase and a drug substance</w:t>
      </w:r>
      <w:r>
        <w:t xml:space="preserve"> </w:t>
      </w:r>
      <w:r>
        <w:t xml:space="preserve">release test. Aggregate is measured by size exclusion chromatography under AMV-3011 and</w:t>
      </w:r>
      <w:r>
        <w:t xml:space="preserve"> </w:t>
      </w:r>
      <w:r>
        <w:t xml:space="preserve">charge variants by imaged capillary isoelectric focusing under AMV-3013, and both of these</w:t>
      </w:r>
      <w:r>
        <w:t xml:space="preserve"> </w:t>
      </w:r>
      <w:r>
        <w:t xml:space="preserve">are release tests applied to the final pool of the step. The values this report gives for</w:t>
      </w:r>
      <w:r>
        <w:t xml:space="preserve"> </w:t>
      </w:r>
      <w:r>
        <w:t xml:space="preserve">aggregate and for charge variants are the commercial scale estimates of §8, and no result</w:t>
      </w:r>
      <w:r>
        <w:t xml:space="preserve"> </w:t>
      </w:r>
      <w:r>
        <w:t xml:space="preserve">from an individual run is reported for either. Validated performance for the concentration</w:t>
      </w:r>
      <w:r>
        <w:t xml:space="preserve"> </w:t>
      </w:r>
      <w:r>
        <w:t xml:space="preserve">method is given in Appendix A. Performance for the other two methods is held in their own</w:t>
      </w:r>
      <w:r>
        <w:t xml:space="preserve"> </w:t>
      </w:r>
      <w:r>
        <w:t xml:space="preserve">validation reports.</w:t>
      </w:r>
    </w:p>
    <w:bookmarkEnd w:id="28"/>
    <w:bookmarkStart w:id="29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Samples were taken at three points of the operation, which were the load before the first</w:t>
      </w:r>
      <w:r>
        <w:t xml:space="preserve"> </w:t>
      </w:r>
      <w:r>
        <w:t xml:space="preserve">concentration phase, the retentate at the end of the diafiltration, and the final pool after</w:t>
      </w:r>
      <w:r>
        <w:t xml:space="preserve"> </w:t>
      </w:r>
      <w:r>
        <w:t xml:space="preserve">the recovery flush. The final pool is the drug substance, and it is the sample the release</w:t>
      </w:r>
      <w:r>
        <w:t xml:space="preserve"> </w:t>
      </w:r>
      <w:r>
        <w:t xml:space="preserve">panel is applied to. Transmembrane pressure was recorded continuously by the skid through both</w:t>
      </w:r>
      <w:r>
        <w:t xml:space="preserve"> </w:t>
      </w:r>
      <w:r>
        <w:t xml:space="preserve">concentration phases and the diafiltration, which is how the excursion in §13.1 was detected.</w:t>
      </w:r>
      <w:r>
        <w:t xml:space="preserve"> </w:t>
      </w:r>
      <w:r>
        <w:t xml:space="preserve">Retained samples of the load and of the final pool were kept. No result from a retained sample</w:t>
      </w:r>
      <w:r>
        <w:t xml:space="preserve"> </w:t>
      </w:r>
      <w:r>
        <w:t xml:space="preserve">is reported here.</w:t>
      </w:r>
    </w:p>
    <w:bookmarkEnd w:id="29"/>
    <w:bookmarkStart w:id="30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No designed experiment was run at this step, and none was planned, so the screening and</w:t>
      </w:r>
      <w:r>
        <w:t xml:space="preserve"> </w:t>
      </w:r>
      <w:r>
        <w:t xml:space="preserve">response surface framework used at the six steps that carry designed experiments does not</w:t>
      </w:r>
      <w:r>
        <w:t xml:space="preserve"> </w:t>
      </w:r>
      <w:r>
        <w:t xml:space="preserve">apply here. A screening design identifies which factors are active on a quality attribute,</w:t>
      </w:r>
      <w:r>
        <w:t xml:space="preserve"> </w:t>
      </w:r>
      <w:r>
        <w:t xml:space="preserve">and a response surface model is the predictive model from which a design space is then read.</w:t>
      </w:r>
      <w:r>
        <w:t xml:space="preserve"> </w:t>
      </w:r>
      <w:r>
        <w:t xml:space="preserve">Both of them need a quality attribute to model. This step governs none, and the analysis is</w:t>
      </w:r>
      <w:r>
        <w:t xml:space="preserve"> </w:t>
      </w:r>
      <w:r>
        <w:t xml:space="preserve">therefore descriptive.</w:t>
      </w:r>
    </w:p>
    <w:p>
      <w:pPr>
        <w:pStyle w:val="BodyText"/>
      </w:pPr>
      <w:r>
        <w:t xml:space="preserve">Two quantitative sources support the statements made in this report. The first is the seeded</w:t>
      </w:r>
      <w:r>
        <w:t xml:space="preserve"> </w:t>
      </w:r>
      <w:r>
        <w:t xml:space="preserve">nominal batch, run with every parameter of every step at its set-point, which gives the step</w:t>
      </w:r>
      <w:r>
        <w:t xml:space="preserve"> </w:t>
      </w:r>
      <w:r>
        <w:t xml:space="preserve">performance in</w:t>
      </w:r>
      <w:r>
        <w:t xml:space="preserve"> </w:t>
      </w:r>
      <w:hyperlink w:anchor="tbl-perf">
        <w:r>
          <w:rPr>
            <w:rStyle w:val="Hyperlink"/>
          </w:rPr>
          <w:t xml:space="preserve">Table 8</w:t>
        </w:r>
      </w:hyperlink>
      <w:r>
        <w:t xml:space="preserve">. The second is a Monte-Carlo simulation of</w:t>
      </w:r>
      <w:r>
        <w:t xml:space="preserve"> </w:t>
      </w:r>
      <w:r>
        <w:t xml:space="preserve">2,000 commercial scale batches in which every parameter of</w:t>
      </w:r>
      <w:r>
        <w:t xml:space="preserve"> </w:t>
      </w:r>
      <w:r>
        <w:t xml:space="preserve">every step is drawn independently from a normal distribution centred on its set-point, with a</w:t>
      </w:r>
      <w:r>
        <w:t xml:space="preserve"> </w:t>
      </w:r>
      <w:r>
        <w:t xml:space="preserve">standard deviation of one sixth of its normal operating range, and clipped to its</w:t>
      </w:r>
      <w:r>
        <w:t xml:space="preserve"> </w:t>
      </w:r>
      <w:r>
        <w:t xml:space="preserve">characterization range. The drug substance attributes from that simulation give the</w:t>
      </w:r>
      <w:r>
        <w:t xml:space="preserve"> </w:t>
      </w:r>
      <w:r>
        <w:t xml:space="preserve">capability reported in §8.</w:t>
      </w:r>
    </w:p>
    <w:p>
      <w:pPr>
        <w:pStyle w:val="BodyText"/>
      </w:pPr>
      <w:r>
        <w:t xml:space="preserve">Capability is reported as a one-sided index against the upper acceptance limit of each of the</w:t>
      </w:r>
      <w:r>
        <w:t xml:space="preserve"> </w:t>
      </w:r>
      <w:r>
        <w:t xml:space="preserve">three attributes, so Cpk is the distance from the simulated mean to that limit expressed in</w:t>
      </w:r>
      <w:r>
        <w:t xml:space="preserve"> </w:t>
      </w:r>
      <w:r>
        <w:t xml:space="preserve">units of three standard deviations. Aggregate and residual DNA are impurities, and an upper</w:t>
      </w:r>
      <w:r>
        <w:t xml:space="preserve"> </w:t>
      </w:r>
      <w:r>
        <w:t xml:space="preserve">limit is the whole of their acceptance criterion. Acidic charge variants are shown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with a lower figure as well, and that figure is not the limit capability is taken against</w:t>
      </w:r>
      <w:r>
        <w:t xml:space="preserve"> </w:t>
      </w:r>
      <w:r>
        <w:t xml:space="preserve">here, because the risk the attribute carries at the drug substance is an elevated level. No</w:t>
      </w:r>
      <w:r>
        <w:t xml:space="preserve"> </w:t>
      </w:r>
      <w:r>
        <w:t xml:space="preserve">acceptance threshold for Cpk is adopted in this report, and the values are reported against</w:t>
      </w:r>
      <w:r>
        <w:t xml:space="preserve"> </w:t>
      </w:r>
      <w:r>
        <w:t xml:space="preserve">the acceptance limits themselves, which are the criteria the drug substance is released</w:t>
      </w:r>
      <w:r>
        <w:t xml:space="preserve"> </w:t>
      </w:r>
      <w:r>
        <w:t xml:space="preserve">against.</w:t>
      </w:r>
    </w:p>
    <w:bookmarkEnd w:id="30"/>
    <w:bookmarkEnd w:id="31"/>
    <w:bookmarkStart w:id="36" w:name="study-design"/>
    <w:p>
      <w:pPr>
        <w:pStyle w:val="Heading1"/>
      </w:pPr>
      <w:r>
        <w:t xml:space="preserve">4. Study design</w:t>
      </w:r>
    </w:p>
    <w:bookmarkStart w:id="33" w:name="Xf1c3c0d05c16969c14f9b52ebf870d135fc1ba2"/>
    <w:p>
      <w:pPr>
        <w:pStyle w:val="Heading2"/>
      </w:pPr>
      <w:r>
        <w:t xml:space="preserve">4.1 Parameters, ranges and the knowledge space</w:t>
      </w:r>
    </w:p>
    <w:p>
      <w:pPr>
        <w:pStyle w:val="FirstParagraph"/>
      </w:pPr>
      <w:r>
        <w:t xml:space="preserve">The three parameters, their set-points, their normal operating ranges and their</w:t>
      </w:r>
      <w:r>
        <w:t xml:space="preserve"> </w:t>
      </w:r>
      <w:r>
        <w:t xml:space="preserve">characterization ranges are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Parameters characterized at the step, with the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720"/>
              <w:gridCol w:w="1170"/>
              <w:gridCol w:w="630"/>
              <w:gridCol w:w="1350"/>
              <w:gridCol w:w="810"/>
              <w:gridCol w:w="10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Each range was set from the mechanism the parameter acts through. Diafiltration removes a</w:t>
      </w:r>
      <w:r>
        <w:t xml:space="preserve"> </w:t>
      </w:r>
      <w:r>
        <w:t xml:space="preserve">fully permeable solute exponentially, so the residual fraction of the load buffer after N</w:t>
      </w:r>
      <w:r>
        <w:t xml:space="preserve"> </w:t>
      </w:r>
      <w:r>
        <w:t xml:space="preserve">diavolumes is e raised to the power minus N. At the set-point of</w:t>
      </w:r>
      <w:r>
        <w:t xml:space="preserve"> </w:t>
      </w:r>
      <w:r>
        <w:t xml:space="preserve">8 diavolumes that residual is 0.034%</w:t>
      </w:r>
      <w:r>
        <w:t xml:space="preserve"> </w:t>
      </w:r>
      <w:r>
        <w:t xml:space="preserve">of the load concentration. At the low edge of the characterization range it is</w:t>
      </w:r>
      <w:r>
        <w:t xml:space="preserve"> </w:t>
      </w:r>
      <w:r>
        <w:t xml:space="preserve">0.091% and at the high edge 0.005%,</w:t>
      </w:r>
      <w:r>
        <w:t xml:space="preserve"> </w:t>
      </w:r>
      <w:r>
        <w:t xml:space="preserve">which is a span of about 20-fold in carry-over. The range covers a</w:t>
      </w:r>
      <w:r>
        <w:t xml:space="preserve"> </w:t>
      </w:r>
      <w:r>
        <w:t xml:space="preserve">wide swing in the completeness of the exchange while leaving the exchanged species at trace</w:t>
      </w:r>
      <w:r>
        <w:t xml:space="preserve"> </w:t>
      </w:r>
      <w:r>
        <w:t xml:space="preserve">level throughout it. This is a design calculation for an ideal, fully permeable solute in a</w:t>
      </w:r>
      <w:r>
        <w:t xml:space="preserve"> </w:t>
      </w:r>
      <w:r>
        <w:t xml:space="preserve">well mixed retentate, and it is the basis of the range and not a measured result.</w:t>
      </w:r>
    </w:p>
    <w:p>
      <w:pPr>
        <w:pStyle w:val="BodyText"/>
      </w:pPr>
      <w:r>
        <w:t xml:space="preserve">Transmembrane pressure was ranged asymmetrically about its set-point, over</w:t>
      </w:r>
      <w:r>
        <w:t xml:space="preserve"> </w:t>
      </w:r>
      <w:r>
        <w:t xml:space="preserve">10–15 psi against a normal operating range of</w:t>
      </w:r>
      <w:r>
        <w:t xml:space="preserve"> </w:t>
      </w:r>
      <w:r>
        <w:t xml:space="preserve">10–14 psi. The mechanism that moves transmembrane pressure during a</w:t>
      </w:r>
      <w:r>
        <w:t xml:space="preserve"> </w:t>
      </w:r>
      <w:r>
        <w:t xml:space="preserve">batch is membrane fouling, and fouling moves it upward, so the characterization range was</w:t>
      </w:r>
      <w:r>
        <w:t xml:space="preserve"> </w:t>
      </w:r>
      <w:r>
        <w:t xml:space="preserve">extended on the high side only. The excursion recorded in §13.1 reached</w:t>
      </w:r>
      <w:r>
        <w:t xml:space="preserve"> </w:t>
      </w:r>
      <w:r>
        <w:t xml:space="preserve">14.6 psi and therefore fell inside characterized</w:t>
      </w:r>
      <w:r>
        <w:t xml:space="preserve"> </w:t>
      </w:r>
      <w:r>
        <w:t xml:space="preserve">territory.</w:t>
      </w:r>
    </w:p>
    <w:p>
      <w:pPr>
        <w:pStyle w:val="BodyText"/>
      </w:pPr>
      <w:r>
        <w:t xml:space="preserve">The final concentration was ranged 10 g/L either side of the</w:t>
      </w:r>
      <w:r>
        <w:t xml:space="preserve"> </w:t>
      </w:r>
      <w:r>
        <w:t xml:space="preserve">target of 75 g/L, with a normal operating range half that wide, and</w:t>
      </w:r>
      <w:r>
        <w:t xml:space="preserve"> </w:t>
      </w:r>
      <w:r>
        <w:t xml:space="preserve">the width of the normal operating range is set by the measurement that controls the endpoint.</w:t>
      </w:r>
      <w:r>
        <w:t xml:space="preserve"> </w:t>
      </w:r>
      <w:r>
        <w:t xml:space="preserve">Intermediate precision of the concentration method is</w:t>
      </w:r>
      <w:r>
        <w:t xml:space="preserve"> </w:t>
      </w:r>
      <w:r>
        <w:t xml:space="preserve">1.2 %RSD (AMV-3019), which at the target is</w:t>
      </w:r>
      <w:r>
        <w:t xml:space="preserve"> </w:t>
      </w:r>
      <w:r>
        <w:t xml:space="preserve">0.9 g/L, so the normal operating range is about</w:t>
      </w:r>
      <w:r>
        <w:t xml:space="preserve"> </w:t>
      </w:r>
      <w:r>
        <w:t xml:space="preserve">5.6 assay standard deviations wide on each side. A range that</w:t>
      </w:r>
      <w:r>
        <w:t xml:space="preserve"> </w:t>
      </w:r>
      <w:r>
        <w:t xml:space="preserve">is narrow relative to the assay controlling it cannot be held, and this range is not narrow on</w:t>
      </w:r>
      <w:r>
        <w:t xml:space="preserve"> </w:t>
      </w:r>
      <w:r>
        <w:t xml:space="preserve">that measure.</w:t>
      </w:r>
    </w:p>
    <w:bookmarkEnd w:id="33"/>
    <w:bookmarkStart w:id="35" w:name="univariate-assessment"/>
    <w:p>
      <w:pPr>
        <w:pStyle w:val="Heading2"/>
      </w:pPr>
      <w:r>
        <w:t xml:space="preserve">4.2 Univariate assessment</w:t>
      </w:r>
    </w:p>
    <w:p>
      <w:pPr>
        <w:pStyle w:val="FirstParagraph"/>
      </w:pPr>
      <w:r>
        <w:t xml:space="preserve">The characterization schedule took each parameter to both edges of its characterization range</w:t>
      </w:r>
      <w:r>
        <w:t xml:space="preserve"> </w:t>
      </w:r>
      <w:r>
        <w:t xml:space="preserve">with the other two held at their set-points, and the set-point condition was the reference,</w:t>
      </w:r>
      <w:r>
        <w:t xml:space="preserve"> </w:t>
      </w:r>
      <w:r>
        <w:t xml:space="preserve">with the levels given in</w:t>
      </w:r>
      <w:r>
        <w:t xml:space="preserve"> </w:t>
      </w:r>
      <w:hyperlink w:anchor="tbl-levels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lev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Univariate evaluation levels for the three parameters.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88"/>
              <w:gridCol w:w="696"/>
              <w:gridCol w:w="1131"/>
              <w:gridCol w:w="2175"/>
              <w:gridCol w:w="1218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 level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Reference (set-point)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level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Each level was judged on process performance and not on product quality, and the criteria are</w:t>
      </w:r>
      <w:r>
        <w:t xml:space="preserve"> </w:t>
      </w:r>
      <w:r>
        <w:t xml:space="preserve">listed in §5.2. Product quality was assessed on the pool of the set-point batch and on the</w:t>
      </w:r>
      <w:r>
        <w:t xml:space="preserve"> </w:t>
      </w:r>
      <w:r>
        <w:t xml:space="preserve">commercial scale simulation described in §3.5, and not at the edges of the ranges, which is a</w:t>
      </w:r>
      <w:r>
        <w:t xml:space="preserve"> </w:t>
      </w:r>
      <w:r>
        <w:t xml:space="preserve">boundary §5.4 and §7 carry forward.</w:t>
      </w:r>
    </w:p>
    <w:p>
      <w:pPr>
        <w:pStyle w:val="BodyText"/>
      </w:pPr>
      <w:r>
        <w:t xml:space="preserve">A multivariate design was neither run nor needed. Interactions matter when two parameters act</w:t>
      </w:r>
      <w:r>
        <w:t xml:space="preserve"> </w:t>
      </w:r>
      <w:r>
        <w:t xml:space="preserve">on the same quality attribute, and no parameter of this step is linked to one in the register,</w:t>
      </w:r>
      <w:r>
        <w:t xml:space="preserve"> </w:t>
      </w:r>
      <w:r>
        <w:t xml:space="preserve">so there is no governed attribute on which an interaction could be estimated or classified.</w:t>
      </w:r>
      <w:r>
        <w:t xml:space="preserve"> </w:t>
      </w:r>
      <w:r>
        <w:t xml:space="preserve">The two parameters that carry a mechanism at all, which are transmembrane pressure through</w:t>
      </w:r>
      <w:r>
        <w:t xml:space="preserve"> </w:t>
      </w:r>
      <w:r>
        <w:t xml:space="preserve">shear and the final concentration through the concentrated hold (§2.1), were both scored low</w:t>
      </w:r>
      <w:r>
        <w:t xml:space="preserve"> </w:t>
      </w:r>
      <w:r>
        <w:t xml:space="preserve">risk in RA-001 on the platform history recorded there. The three parameters also act through</w:t>
      </w:r>
      <w:r>
        <w:t xml:space="preserve"> </w:t>
      </w:r>
      <w:r>
        <w:t xml:space="preserve">different mechanisms and are read out on different responses, and that is the second reason a</w:t>
      </w:r>
      <w:r>
        <w:t xml:space="preserve"> </w:t>
      </w:r>
      <w:r>
        <w:t xml:space="preserve">factorial design would have added cost without adding process understanding. Diavolumes are</w:t>
      </w:r>
      <w:r>
        <w:t xml:space="preserve"> </w:t>
      </w:r>
      <w:r>
        <w:t xml:space="preserve">read out on the composition of the pool, transmembrane pressure on flux and processing time,</w:t>
      </w:r>
      <w:r>
        <w:t xml:space="preserve"> </w:t>
      </w:r>
      <w:r>
        <w:t xml:space="preserve">and the final concentration on the endpoint of the second concentration phase.</w:t>
      </w:r>
    </w:p>
    <w:p>
      <w:pPr>
        <w:pStyle w:val="BodyText"/>
      </w:pPr>
      <w:r>
        <w:t xml:space="preserve">The absence of a quality linkage is a property of the attribute register and not a gap in the</w:t>
      </w:r>
      <w:r>
        <w:t xml:space="preserve"> </w:t>
      </w:r>
      <w:r>
        <w:t xml:space="preserve">study, and it is what keeps all three parameters out of the design space and inside the</w:t>
      </w:r>
      <w:r>
        <w:t xml:space="preserve"> </w:t>
      </w:r>
      <w:r>
        <w:t xml:space="preserve">control strategy, where they are held because monitoring them is what keeps the process</w:t>
      </w:r>
      <w:r>
        <w:t xml:space="preserve"> </w:t>
      </w:r>
      <w:r>
        <w:t xml:space="preserve">consistent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35"/>
    <w:bookmarkEnd w:id="36"/>
    <w:bookmarkStart w:id="46" w:name="results"/>
    <w:p>
      <w:pPr>
        <w:pStyle w:val="Heading1"/>
      </w:pPr>
      <w:r>
        <w:t xml:space="preserve">5. Results</w:t>
      </w:r>
    </w:p>
    <w:bookmarkStart w:id="42" w:name="X849002956d555bea3cf34cff612c83481cba2d9"/>
    <w:p>
      <w:pPr>
        <w:pStyle w:val="Heading2"/>
      </w:pPr>
      <w:r>
        <w:t xml:space="preserve">5.1 Nominal batch performance and mass balance</w:t>
      </w:r>
    </w:p>
    <w:p>
      <w:pPr>
        <w:pStyle w:val="FirstParagraph"/>
      </w:pPr>
      <w:r>
        <w:t xml:space="preserve">The step delivered drug substance at its target concentration and closed the product mass</w:t>
      </w:r>
      <w:r>
        <w:t xml:space="preserve"> </w:t>
      </w:r>
      <w:r>
        <w:t xml:space="preserve">balance for the batch. The nominal batch is given in</w:t>
      </w:r>
      <w:r>
        <w:t xml:space="preserve"> </w:t>
      </w:r>
      <w:hyperlink w:anchor="tbl-perf">
        <w:r>
          <w:rPr>
            <w:rStyle w:val="Hyperlink"/>
          </w:rPr>
          <w:t xml:space="preserve">Table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perf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Nominal batch performance of the step at its set-points.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Nominal batch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 (fraction of input product mass)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 mass out (g)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54,588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 concentration (g/L)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(ng/dose)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Product loss across the step was 2.9% of the mass entering it,</w:t>
      </w:r>
      <w:r>
        <w:t xml:space="preserve"> </w:t>
      </w:r>
      <w:r>
        <w:t xml:space="preserve">and the platform attributes it to hold-up volume and to retention on the membrane. Hold-up</w:t>
      </w:r>
      <w:r>
        <w:t xml:space="preserve"> </w:t>
      </w:r>
      <w:r>
        <w:t xml:space="preserve">volume is the mechanism behind DEV-010-02 (§13.2), and membrane retention was not measured</w:t>
      </w:r>
      <w:r>
        <w:t xml:space="preserve"> </w:t>
      </w:r>
      <w:r>
        <w:t xml:space="preserve">separately. The step delivered</w:t>
      </w:r>
      <w:r>
        <w:t xml:space="preserve"> </w:t>
      </w:r>
      <w:r>
        <w:t xml:space="preserve">54.6 kg of drug substance at 75 g/L, which is</w:t>
      </w:r>
      <w:r>
        <w:t xml:space="preserve"> </w:t>
      </w:r>
      <w:r>
        <w:t xml:space="preserve">728 L of pool. Cumulative product yield for the train closes at</w:t>
      </w:r>
      <w:r>
        <w:t xml:space="preserve"> </w:t>
      </w:r>
      <w:r>
        <w:t xml:space="preserve">83.2%, and the step by step figures are given in Appendix B. Residual</w:t>
      </w:r>
      <w:r>
        <w:t xml:space="preserve"> </w:t>
      </w:r>
      <w:r>
        <w:t xml:space="preserve">DNA is reported for the drug substance at 0.0001 ng/dose against a</w:t>
      </w:r>
      <w:r>
        <w:t xml:space="preserve"> </w:t>
      </w:r>
      <w:r>
        <w:t xml:space="preserve">limit of 0.001 ng/dose.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yield"/>
          <w:p>
            <w:pPr>
              <w:pStyle w:val="Compact"/>
              <w:jc w:val="center"/>
            </w:pPr>
            <w:r>
              <w:drawing>
                <wp:inline>
                  <wp:extent cx="5334000" cy="290478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4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Cumulative product yield across the drug substance train, from the production bioreactor to</w:t>
            </w:r>
            <w:r>
              <w:t xml:space="preserve"> </w:t>
            </w:r>
            <w:r>
              <w:t xml:space="preserve">the formulation step.</w:t>
            </w:r>
          </w:p>
          <w:bookmarkEnd w:id="41"/>
        </w:tc>
      </w:tr>
    </w:tbl>
    <w:p>
      <w:pPr>
        <w:pStyle w:val="BodyText"/>
      </w:pPr>
      <w:r>
        <w:t xml:space="preserve">The shape of</w:t>
      </w:r>
      <w:r>
        <w:t xml:space="preserve"> </w:t>
      </w:r>
      <w:hyperlink w:anchor="fig-yiel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reason the step is reported at all, because it costs product</w:t>
      </w:r>
      <w:r>
        <w:t xml:space="preserve"> </w:t>
      </w:r>
      <w:r>
        <w:t xml:space="preserve">without changing quality, and the loss it costs is of the same order as the losses at the</w:t>
      </w:r>
      <w:r>
        <w:t xml:space="preserve"> </w:t>
      </w:r>
      <w:r>
        <w:t xml:space="preserve">chromatography steps. It therefore belongs in the mass balance argument even though it</w:t>
      </w:r>
      <w:r>
        <w:t xml:space="preserve"> </w:t>
      </w:r>
      <w:r>
        <w:t xml:space="preserve">belongs in no quality argument.</w:t>
      </w:r>
    </w:p>
    <w:bookmarkEnd w:id="42"/>
    <w:bookmarkStart w:id="43" w:name="Xab6f50d12416963b71f21ce725deaeff50dc699"/>
    <w:p>
      <w:pPr>
        <w:pStyle w:val="Heading2"/>
      </w:pPr>
      <w:r>
        <w:t xml:space="preserve">5.2 Characterization levels and process performance</w:t>
      </w:r>
    </w:p>
    <w:p>
      <w:pPr>
        <w:pStyle w:val="FirstParagraph"/>
      </w:pPr>
      <w:r>
        <w:t xml:space="preserve">The univariate levels of</w:t>
      </w:r>
      <w:r>
        <w:t xml:space="preserve"> </w:t>
      </w:r>
      <w:hyperlink w:anchor="tbl-level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were assessed against process performance criteria only,</w:t>
      </w:r>
      <w:r>
        <w:t xml:space="preserve"> </w:t>
      </w:r>
      <w:r>
        <w:t xml:space="preserve">and no product quality result is reported at any of them. The criteria were the permeate flux</w:t>
      </w:r>
      <w:r>
        <w:t xml:space="preserve"> </w:t>
      </w:r>
      <w:r>
        <w:t xml:space="preserve">and the processing time the level produced, the concentration the second phase reached at its</w:t>
      </w:r>
      <w:r>
        <w:t xml:space="preserve"> </w:t>
      </w:r>
      <w:r>
        <w:t xml:space="preserve">endpoint, and closure of the product mass balance at recovery. None of those is a quality</w:t>
      </w:r>
      <w:r>
        <w:t xml:space="preserve"> </w:t>
      </w:r>
      <w:r>
        <w:t xml:space="preserve">criterion, and none of them could be, because no attribute of the drug substance register is</w:t>
      </w:r>
      <w:r>
        <w:t xml:space="preserve"> </w:t>
      </w:r>
      <w:r>
        <w:t xml:space="preserve">set or cleared at this step.</w:t>
      </w:r>
    </w:p>
    <w:p>
      <w:pPr>
        <w:pStyle w:val="BodyText"/>
      </w:pPr>
      <w:r>
        <w:t xml:space="preserve">The quantitative basis of this report is the two sources named in §3.5. The set-point batch</w:t>
      </w:r>
      <w:r>
        <w:t xml:space="preserve"> </w:t>
      </w:r>
      <w:r>
        <w:t xml:space="preserve">gives the performance of the step, and the commercial scale simulation gives the quality of</w:t>
      </w:r>
      <w:r>
        <w:t xml:space="preserve"> </w:t>
      </w:r>
      <w:r>
        <w:t xml:space="preserve">the pool it delivers. What the levels add is the width of the region the step was operated</w:t>
      </w:r>
      <w:r>
        <w:t xml:space="preserve"> </w:t>
      </w:r>
      <w:r>
        <w:t xml:space="preserve">over, which is the region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describe, and the</w:t>
      </w:r>
      <w:r>
        <w:t xml:space="preserve"> </w:t>
      </w:r>
      <w:r>
        <w:t xml:space="preserve">limitation that leaves is stated in §5.4 and carried into the classification in §9.</w:t>
      </w:r>
    </w:p>
    <w:bookmarkEnd w:id="43"/>
    <w:bookmarkStart w:id="44" w:name="X171f7b3d167cddfe658ee230e959c96224300a0"/>
    <w:p>
      <w:pPr>
        <w:pStyle w:val="Heading2"/>
      </w:pPr>
      <w:r>
        <w:t xml:space="preserve">5.3 Drug substance concentration and its measurement</w:t>
      </w:r>
    </w:p>
    <w:p>
      <w:pPr>
        <w:pStyle w:val="FirstParagraph"/>
      </w:pPr>
      <w:r>
        <w:t xml:space="preserve">The final concentration is the only parameter of this step that is measured on the product</w:t>
      </w:r>
      <w:r>
        <w:t xml:space="preserve"> </w:t>
      </w:r>
      <w:r>
        <w:t xml:space="preserve">itself, which makes it both the easiest to demonstrate control of and the easiest to correct.</w:t>
      </w:r>
      <w:r>
        <w:t xml:space="preserve"> </w:t>
      </w:r>
      <w:r>
        <w:t xml:space="preserve">Intermediate precision of the method is 1.2 %RSD, with a</w:t>
      </w:r>
      <w:r>
        <w:t xml:space="preserve"> </w:t>
      </w:r>
      <w:r>
        <w:t xml:space="preserve">limit of quantitation of 0.5 g/L and accuracy of</w:t>
      </w:r>
      <w:r>
        <w:t xml:space="preserve"> </w:t>
      </w:r>
      <w:r>
        <w:t xml:space="preserve">99.6 % (AMV-3019, Appendix A). The method accounts for</w:t>
      </w:r>
      <w:r>
        <w:t xml:space="preserve"> </w:t>
      </w:r>
      <w:r>
        <w:t xml:space="preserve">22.0% of the observed variance in the reported concentration, so</w:t>
      </w:r>
      <w:r>
        <w:t xml:space="preserve"> </w:t>
      </w:r>
      <w:r>
        <w:t xml:space="preserve">most of the spread seen between batches is process and not assay.</w:t>
      </w:r>
    </w:p>
    <w:p>
      <w:pPr>
        <w:pStyle w:val="BodyText"/>
      </w:pPr>
      <w:r>
        <w:t xml:space="preserve">One run finished its second concentration phase below target, at</w:t>
      </w:r>
      <w:r>
        <w:t xml:space="preserve"> </w:t>
      </w:r>
      <w:r>
        <w:t xml:space="preserve">71.5 g/L, and the shortfall of</w:t>
      </w:r>
      <w:r>
        <w:t xml:space="preserve"> </w:t>
      </w:r>
      <w:r>
        <w:t xml:space="preserve">3.5 g/L is 3.9 times the</w:t>
      </w:r>
      <w:r>
        <w:t xml:space="preserve"> </w:t>
      </w:r>
      <w:r>
        <w:t xml:space="preserve">intermediate precision of the assay at the target, so it is a real difference and not a</w:t>
      </w:r>
      <w:r>
        <w:t xml:space="preserve"> </w:t>
      </w:r>
      <w:r>
        <w:t xml:space="preserve">measurement artefact. The pool was corrected in process, and the investigation is reported in</w:t>
      </w:r>
      <w:r>
        <w:t xml:space="preserve"> </w:t>
      </w:r>
      <w:r>
        <w:t xml:space="preserve">§13.2.</w:t>
      </w:r>
    </w:p>
    <w:bookmarkEnd w:id="44"/>
    <w:bookmarkStart w:id="45" w:name="product-quality-across-the-step"/>
    <w:p>
      <w:pPr>
        <w:pStyle w:val="Heading2"/>
      </w:pPr>
      <w:r>
        <w:t xml:space="preserve">5.4 Product quality across the step</w:t>
      </w:r>
    </w:p>
    <w:p>
      <w:pPr>
        <w:pStyle w:val="FirstParagraph"/>
      </w:pPr>
      <w:r>
        <w:t xml:space="preserve">The drug substance attributes measured after the step meet their acceptance criteria, and the</w:t>
      </w:r>
      <w:r>
        <w:t xml:space="preserve"> </w:t>
      </w:r>
      <w:r>
        <w:t xml:space="preserve">quantitative outcome is given in §8. Aggregate (SEC-HPLC, AMV-3011) is the attribute with a</w:t>
      </w:r>
      <w:r>
        <w:t xml:space="preserve"> </w:t>
      </w:r>
      <w:r>
        <w:t xml:space="preserve">mechanism at this step, because the product is concentrated and recirculated across a</w:t>
      </w:r>
      <w:r>
        <w:t xml:space="preserve"> </w:t>
      </w:r>
      <w:r>
        <w:t xml:space="preserve">membrane. Charge variants and residual DNA have no mechanism here at all, and they are</w:t>
      </w:r>
      <w:r>
        <w:t xml:space="preserve"> </w:t>
      </w:r>
      <w:r>
        <w:t xml:space="preserve">measured on the pool because the drug substance is the material their specifications apply</w:t>
      </w:r>
      <w:r>
        <w:t xml:space="preserve"> </w:t>
      </w:r>
      <w:r>
        <w:t xml:space="preserve">to.</w:t>
      </w:r>
    </w:p>
    <w:p>
      <w:pPr>
        <w:pStyle w:val="BodyText"/>
      </w:pPr>
      <w:r>
        <w:t xml:space="preserve">The quality confirmation covers the normal operating ranges of the three parameters, which is</w:t>
      </w:r>
      <w:r>
        <w:t xml:space="preserve"> </w:t>
      </w:r>
      <w:r>
        <w:t xml:space="preserve">the region the simulated batches concentrate in. It does not extend to the edges of the</w:t>
      </w:r>
      <w:r>
        <w:t xml:space="preserve"> </w:t>
      </w:r>
      <w:r>
        <w:t xml:space="preserve">characterization ranges, where the evidence from this study is process performance only, and</w:t>
      </w:r>
      <w:r>
        <w:t xml:space="preserve"> </w:t>
      </w:r>
      <w:r>
        <w:t xml:space="preserve">that boundary is carried into the range statements in §6 and §7.</w:t>
      </w:r>
    </w:p>
    <w:bookmarkEnd w:id="45"/>
    <w:bookmarkEnd w:id="46"/>
    <w:bookmarkStart w:id="47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This step contributes no element to the design space of the A-Mab drug substance process. A</w:t>
      </w:r>
      <w:r>
        <w:t xml:space="preserve"> </w:t>
      </w:r>
      <w:r>
        <w:t xml:space="preserve">design space is the multivariate combination of parameters that has been shown to assure</w:t>
      </w:r>
      <w:r>
        <w:t xml:space="preserve"> </w:t>
      </w:r>
      <w:r>
        <w:t xml:space="preserve">quality</w:t>
      </w:r>
      <w:r>
        <w:t xml:space="preserve"> </w:t>
      </w:r>
      <w:r>
        <w:t xml:space="preserve">(International Council for Harmonisation 2009)</w:t>
      </w:r>
      <w:r>
        <w:t xml:space="preserve">, and the assurance has to be assurance of something. None of the three</w:t>
      </w:r>
      <w:r>
        <w:t xml:space="preserve"> </w:t>
      </w:r>
      <w:r>
        <w:t xml:space="preserve">parameters characterized here is linked to a critical quality attribute, so there is nothing</w:t>
      </w:r>
      <w:r>
        <w:t xml:space="preserve"> </w:t>
      </w:r>
      <w:r>
        <w:t xml:space="preserve">at this step for a design space to assure.</w:t>
      </w:r>
    </w:p>
    <w:p>
      <w:pPr>
        <w:pStyle w:val="BodyText"/>
      </w:pPr>
      <w:r>
        <w:t xml:space="preserve">What the step has instead is an operating range for each parameter. The normal operating</w:t>
      </w:r>
      <w:r>
        <w:t xml:space="preserve"> </w:t>
      </w:r>
      <w:r>
        <w:t xml:space="preserve">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sit inside the wider characterization ranges, and the characterization</w:t>
      </w:r>
      <w:r>
        <w:t xml:space="preserve"> </w:t>
      </w:r>
      <w:r>
        <w:t xml:space="preserve">ranges are the knowledge space for the step, so operation anywhere inside a normal operating</w:t>
      </w:r>
      <w:r>
        <w:t xml:space="preserve"> </w:t>
      </w:r>
      <w:r>
        <w:t xml:space="preserve">range is normal operation. Operation outside a characterization range is a change, and it is</w:t>
      </w:r>
      <w:r>
        <w:t xml:space="preserve"> </w:t>
      </w:r>
      <w:r>
        <w:t xml:space="preserve">assessed under the pharmaceutical quality system before it is made</w:t>
      </w:r>
      <w:r>
        <w:t xml:space="preserve"> </w:t>
      </w:r>
      <w:r>
        <w:t xml:space="preserve">(International Council for Harmonisation 2008)</w:t>
      </w:r>
      <w:r>
        <w:t xml:space="preserve">.</w:t>
      </w:r>
    </w:p>
    <w:p>
      <w:pPr>
        <w:pStyle w:val="BodyText"/>
      </w:pPr>
      <w:r>
        <w:t xml:space="preserve">The corner of the characterized region that challenges the step hardest is the combination of</w:t>
      </w:r>
      <w:r>
        <w:t xml:space="preserve"> </w:t>
      </w:r>
      <w:r>
        <w:t xml:space="preserve">the low diavolume edge, the high transmembrane pressure edge and the high concentration edge.</w:t>
      </w:r>
      <w:r>
        <w:t xml:space="preserve"> </w:t>
      </w:r>
      <w:r>
        <w:t xml:space="preserve">It gives the least complete buffer exchange, the highest shear at the membrane and the highest</w:t>
      </w:r>
      <w:r>
        <w:t xml:space="preserve"> </w:t>
      </w:r>
      <w:r>
        <w:t xml:space="preserve">product concentration at the same time. That corner is bounded by the range edges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it is a process performance worst case and not a quality worst case, because</w:t>
      </w:r>
      <w:r>
        <w:t xml:space="preserve"> </w:t>
      </w:r>
      <w:r>
        <w:t xml:space="preserve">no quality attribute is at stake at this step.</w:t>
      </w:r>
    </w:p>
    <w:p>
      <w:pPr>
        <w:pStyle w:val="BodyText"/>
      </w:pPr>
      <w:r>
        <w:t xml:space="preserve">These statements are bounded in three ways. They hold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not</w:t>
      </w:r>
      <w:r>
        <w:t xml:space="preserve"> </w:t>
      </w:r>
      <w:r>
        <w:t xml:space="preserve">beyond them. They rest on the scale-down model described in §3.1, whose warrant is process</w:t>
      </w:r>
      <w:r>
        <w:t xml:space="preserve"> </w:t>
      </w:r>
      <w:r>
        <w:t xml:space="preserve">performance and unchanged quality and not a quality claim of its own. They assume the membrane</w:t>
      </w:r>
      <w:r>
        <w:t xml:space="preserve"> </w:t>
      </w:r>
      <w:r>
        <w:t xml:space="preserve">chemistry, the membrane loading and the formulation buffer used in the study, none of which</w:t>
      </w:r>
      <w:r>
        <w:t xml:space="preserve"> </w:t>
      </w:r>
      <w:r>
        <w:t xml:space="preserve">was varied.</w:t>
      </w:r>
    </w:p>
    <w:bookmarkEnd w:id="47"/>
    <w:bookmarkStart w:id="48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No proven acceptable range is claimed for any parameter of this step. A proven acceptable</w:t>
      </w:r>
      <w:r>
        <w:t xml:space="preserve"> </w:t>
      </w:r>
      <w:r>
        <w:t xml:space="preserve">range is the range of a parameter over which a named quality attribute stays inside its</w:t>
      </w:r>
      <w:r>
        <w:t xml:space="preserve"> </w:t>
      </w:r>
      <w:r>
        <w:t xml:space="preserve">acceptance criterion, where the range is proven by supporting data, and that definition needs</w:t>
      </w:r>
      <w:r>
        <w:t xml:space="preserve"> </w:t>
      </w:r>
      <w:r>
        <w:t xml:space="preserve">a governed attribute, which this step does not have.</w:t>
      </w:r>
    </w:p>
    <w:p>
      <w:pPr>
        <w:pStyle w:val="BodyText"/>
      </w:pPr>
      <w:r>
        <w:t xml:space="preserve">What the study supports instead is the operating range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its acceptance</w:t>
      </w:r>
      <w:r>
        <w:t xml:space="preserve"> </w:t>
      </w:r>
      <w:r>
        <w:t xml:space="preserve">basis is process performance. The criteria the ranges were judged against are the target</w:t>
      </w:r>
      <w:r>
        <w:t xml:space="preserve"> </w:t>
      </w:r>
      <w:r>
        <w:t xml:space="preserve">concentration of the drug substance and closure of the product mass balance, and both of those</w:t>
      </w:r>
      <w:r>
        <w:t xml:space="preserve"> </w:t>
      </w:r>
      <w:r>
        <w:t xml:space="preserve">are process criteria and not quality criteria. Buffer exchange was not judged against a</w:t>
      </w:r>
      <w:r>
        <w:t xml:space="preserve"> </w:t>
      </w:r>
      <w:r>
        <w:t xml:space="preserve">measured criterion at all, because it is controlled by the diavolume count, and the residual</w:t>
      </w:r>
      <w:r>
        <w:t xml:space="preserve"> </w:t>
      </w:r>
      <w:r>
        <w:t xml:space="preserve">load buffer follows from the washout relation given in §4.1.</w:t>
      </w:r>
    </w:p>
    <w:p>
      <w:pPr>
        <w:pStyle w:val="BodyText"/>
      </w:pPr>
      <w:r>
        <w:t xml:space="preserve">The proven acceptable ranges that bound the attributes measured after this step are</w:t>
      </w:r>
      <w:r>
        <w:t xml:space="preserve"> </w:t>
      </w:r>
      <w:r>
        <w:t xml:space="preserve">established elsewhere. Aggregate is bounded at the production bioreactor and at cation</w:t>
      </w:r>
      <w:r>
        <w:t xml:space="preserve"> </w:t>
      </w:r>
      <w:r>
        <w:t xml:space="preserve">exchange (PCR-003 and PCR-007), charge variants are bounded at the bioreactor and at the low</w:t>
      </w:r>
      <w:r>
        <w:t xml:space="preserve"> </w:t>
      </w:r>
      <w:r>
        <w:t xml:space="preserve">pH hold (PCR-003 and PCR-006), and residual DNA is bounded across the three chromatography</w:t>
      </w:r>
      <w:r>
        <w:t xml:space="preserve"> </w:t>
      </w:r>
      <w:r>
        <w:t xml:space="preserve">steps (PCR-005, PCR-007 and PCR-008). Those reports carry the analysis, and this one carries</w:t>
      </w:r>
      <w:r>
        <w:t xml:space="preserve"> </w:t>
      </w:r>
      <w:r>
        <w:t xml:space="preserve">the confirmation that the drug substance still meets the criteria after the last operation of</w:t>
      </w:r>
      <w:r>
        <w:t xml:space="preserve"> </w:t>
      </w:r>
      <w:r>
        <w:t xml:space="preserve">the process.</w:t>
      </w:r>
    </w:p>
    <w:p>
      <w:pPr>
        <w:pStyle w:val="BodyText"/>
      </w:pPr>
      <w:r>
        <w:t xml:space="preserve">That confirmation is bounded to the ranges characterized here and to the attributes listed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, and it says nothing about the attributes this step does not measure, which are</w:t>
      </w:r>
      <w:r>
        <w:t xml:space="preserve"> </w:t>
      </w:r>
      <w:r>
        <w:t xml:space="preserve">covered by the reports named in Appendix C.</w:t>
      </w:r>
    </w:p>
    <w:bookmarkEnd w:id="48"/>
    <w:bookmarkStart w:id="54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drug substance attributes measured after this step meet their acceptance criteria at</w:t>
      </w:r>
      <w:r>
        <w:t xml:space="preserve"> </w:t>
      </w:r>
      <w:r>
        <w:t xml:space="preserve">commercial scale with wide margin, and capability against the upper limit of each is given in</w:t>
      </w:r>
      <w:r>
        <w:t xml:space="preserve"> </w:t>
      </w:r>
      <w:hyperlink w:anchor="tbl-cap">
        <w:r>
          <w:rPr>
            <w:rStyle w:val="Hyperlink"/>
          </w:rPr>
          <w:t xml:space="preserve">Table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Commercial-scale capability of the attributes measured after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7"/>
              <w:gridCol w:w="783"/>
              <w:gridCol w:w="696"/>
              <w:gridCol w:w="1218"/>
              <w:gridCol w:w="1305"/>
              <w:gridCol w:w="6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Aggregate is the most capable of the three, at a Cpk of 16.1. Its mean</w:t>
      </w:r>
      <w:r>
        <w:t xml:space="preserve"> </w:t>
      </w:r>
      <w:r>
        <w:t xml:space="preserve">across the simulated batches is 0.75 % HMW against a limit of</w:t>
      </w:r>
      <w:r>
        <w:t xml:space="preserve"> </w:t>
      </w:r>
      <w:r>
        <w:t xml:space="preserve">5 %, a margin of 4.25 %, and the highest</w:t>
      </w:r>
      <w:r>
        <w:t xml:space="preserve"> </w:t>
      </w:r>
      <w:r>
        <w:t xml:space="preserve">simulated batch reached 1.15 %. Acidic charge variants carry the tightest capability of the</w:t>
      </w:r>
      <w:r>
        <w:t xml:space="preserve"> </w:t>
      </w:r>
      <w:r>
        <w:t xml:space="preserve">three, at a Cpk of 4.26, with a mean of</w:t>
      </w:r>
      <w:r>
        <w:t xml:space="preserve"> </w:t>
      </w:r>
      <w:r>
        <w:t xml:space="preserve">22.3 % against a limit of 40 %, a margin of</w:t>
      </w:r>
      <w:r>
        <w:t xml:space="preserve"> </w:t>
      </w:r>
      <w:r>
        <w:t xml:space="preserve">17.7 %, and a highest simulated batch of</w:t>
      </w:r>
      <w:r>
        <w:t xml:space="preserve"> </w:t>
      </w:r>
      <w:r>
        <w:t xml:space="preserve">27.2 %. Residual DNA reached at most</w:t>
      </w:r>
      <w:r>
        <w:t xml:space="preserve"> </w:t>
      </w:r>
      <w:r>
        <w:t xml:space="preserve">0.0003 ng/dose against a limit of 0.001 ng/dose, at a</w:t>
      </w:r>
      <w:r>
        <w:t xml:space="preserve"> </w:t>
      </w:r>
      <w:r>
        <w:t xml:space="preserve">Cpk of 10.8. Its spread across the simulated batches is smaller than</w:t>
      </w:r>
      <w:r>
        <w:t xml:space="preserve"> </w:t>
      </w:r>
      <w:r>
        <w:t xml:space="preserve">the rounding</w:t>
      </w:r>
      <w:r>
        <w:t xml:space="preserve"> </w:t>
      </w:r>
      <w:hyperlink w:anchor="tbl-ca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carries, so the deviation column of that row reads zero while its Cpk is</w:t>
      </w:r>
      <w:r>
        <w:t xml:space="preserve"> </w:t>
      </w:r>
      <w:r>
        <w:t xml:space="preserve">finite.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apability"/>
          <w:p>
            <w:pPr>
              <w:pStyle w:val="Compact"/>
              <w:jc w:val="center"/>
            </w:pPr>
            <w:r>
              <w:drawing>
                <wp:inline>
                  <wp:extent cx="5334000" cy="29007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apability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0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Commercial-scale distributions of the glycan attributes, aggregate, host cell protein and</w:t>
            </w:r>
            <w:r>
              <w:t xml:space="preserve"> </w:t>
            </w:r>
            <w:r>
              <w:t xml:space="preserve">acidic charge variants from the Monte-Carlo simulation, with acceptance limits and the</w:t>
            </w:r>
            <w:r>
              <w:t xml:space="preserve"> </w:t>
            </w:r>
            <w:r>
              <w:t xml:space="preserve">capability of each panel.</w:t>
            </w:r>
          </w:p>
          <w:bookmarkEnd w:id="53"/>
        </w:tc>
      </w:tr>
    </w:tbl>
    <w:p>
      <w:pPr>
        <w:pStyle w:val="BodyText"/>
      </w:pPr>
      <w:r>
        <w:t xml:space="preserve">The simulated distributions are shown in</w:t>
      </w:r>
      <w:r>
        <w:t xml:space="preserve"> </w:t>
      </w:r>
      <w:hyperlink w:anchor="fig-capability">
        <w:r>
          <w:rPr>
            <w:rStyle w:val="Hyperlink"/>
          </w:rPr>
          <w:t xml:space="preserve">Figure 2</w:t>
        </w:r>
      </w:hyperlink>
      <w:r>
        <w:t xml:space="preserve">, which plots the glycan attributes,</w:t>
      </w:r>
      <w:r>
        <w:t xml:space="preserve"> </w:t>
      </w:r>
      <w:r>
        <w:t xml:space="preserve">aggregate, host cell protein and acidic charge variants. Aggregate and acidic charge variants</w:t>
      </w:r>
      <w:r>
        <w:t xml:space="preserve"> </w:t>
      </w:r>
      <w:r>
        <w:t xml:space="preserve">are the two panels in scope for this report. Residual DNA is not among the panels, and its</w:t>
      </w:r>
      <w:r>
        <w:t xml:space="preserve"> </w:t>
      </w:r>
      <w:r>
        <w:t xml:space="preserve">capability is given in</w:t>
      </w:r>
      <w:r>
        <w:t xml:space="preserve"> </w:t>
      </w:r>
      <w:hyperlink w:anchor="tbl-cap">
        <w:r>
          <w:rPr>
            <w:rStyle w:val="Hyperlink"/>
          </w:rPr>
          <w:t xml:space="preserve">Table 9</w:t>
        </w:r>
      </w:hyperlink>
      <w:r>
        <w:t xml:space="preserve">. The remaining panels are attributes set or cleared upstream,</w:t>
      </w:r>
      <w:r>
        <w:t xml:space="preserve"> </w:t>
      </w:r>
      <w:r>
        <w:t xml:space="preserve">and they are covered by the reports named in Appendix C.</w:t>
      </w:r>
    </w:p>
    <w:p>
      <w:pPr>
        <w:pStyle w:val="BodyText"/>
      </w:pPr>
      <w:r>
        <w:t xml:space="preserve">The simulation varies every parameter of every step about its set-point, including the three</w:t>
      </w:r>
      <w:r>
        <w:t xml:space="preserve"> </w:t>
      </w:r>
      <w:r>
        <w:t xml:space="preserve">parameters of this step, on the sampling described in §3.5. The figures therefore already</w:t>
      </w:r>
      <w:r>
        <w:t xml:space="preserve"> </w:t>
      </w:r>
      <w:r>
        <w:t xml:space="preserve">carry the operating variability this report is responsible for, but they do not isolate it. A</w:t>
      </w:r>
      <w:r>
        <w:t xml:space="preserve"> </w:t>
      </w:r>
      <w:r>
        <w:t xml:space="preserve">step with no effect on an attribute contributes nothing to the spread of that attribute, which</w:t>
      </w:r>
      <w:r>
        <w:t xml:space="preserve"> </w:t>
      </w:r>
      <w:r>
        <w:t xml:space="preserve">is why the capability of the drug substance is not by itself a sensitive test of this step.</w:t>
      </w:r>
    </w:p>
    <w:p>
      <w:pPr>
        <w:pStyle w:val="BodyText"/>
      </w:pPr>
      <w:r>
        <w:t xml:space="preserve">The tightest capability of the drug substance as a whole is not one of these three. It belongs</w:t>
      </w:r>
      <w:r>
        <w:t xml:space="preserve"> </w:t>
      </w:r>
      <w:r>
        <w:t xml:space="preserve">to Viral clearance — MVM (parvovirus), at a Cpk of 1.51, and it is credited</w:t>
      </w:r>
      <w:r>
        <w:t xml:space="preserve"> </w:t>
      </w:r>
      <w:r>
        <w:t xml:space="preserve">to anion exchange and small virus retentive filtration (PCR-008 and PCR-009), which are the</w:t>
      </w:r>
      <w:r>
        <w:t xml:space="preserve"> </w:t>
      </w:r>
      <w:r>
        <w:t xml:space="preserve">two steps that clear parvovirus. The low pH hold carries the enveloped virus claim (PCR-006)</w:t>
      </w:r>
      <w:r>
        <w:t xml:space="preserve"> </w:t>
      </w:r>
      <w:r>
        <w:t xml:space="preserve">and contributes nothing to this one. Capability across every attribute of the drug substance</w:t>
      </w:r>
      <w:r>
        <w:t xml:space="preserve"> </w:t>
      </w:r>
      <w:r>
        <w:t xml:space="preserve">is consolidated in PCMR-001.</w:t>
      </w:r>
    </w:p>
    <w:p>
      <w:pPr>
        <w:pStyle w:val="BodyText"/>
      </w:pPr>
      <w:r>
        <w:t xml:space="preserve">Two bounds apply to all of these figures. They are estimates from qualified scale-down models</w:t>
      </w:r>
      <w:r>
        <w:t xml:space="preserve"> </w:t>
      </w:r>
      <w:r>
        <w:t xml:space="preserve">under the sampling described in §3.5, and they are not measurements at commercial scale. They</w:t>
      </w:r>
      <w:r>
        <w:t xml:space="preserve"> </w:t>
      </w:r>
      <w:r>
        <w:t xml:space="preserve">carry the batch to batch variation the model reproduces and not the additional variation a</w:t>
      </w:r>
      <w:r>
        <w:t xml:space="preserve"> </w:t>
      </w:r>
      <w:r>
        <w:t xml:space="preserve">commercial facility contributes. Capturing the rest is what Stage 2 is for.</w:t>
      </w:r>
    </w:p>
    <w:bookmarkEnd w:id="54"/>
    <w:bookmarkStart w:id="55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All 3 parameters of this step are classified as key process parameters</w:t>
      </w:r>
      <w:r>
        <w:t xml:space="preserve"> </w:t>
      </w:r>
      <w:r>
        <w:t xml:space="preserve">under the decision logic of SOP-4001, and none is a critical process parameter or a well</w:t>
      </w:r>
      <w:r>
        <w:t xml:space="preserve"> </w:t>
      </w:r>
      <w:r>
        <w:t xml:space="preserve">controlled critical process parameter. The classification of each and the reason for it are</w:t>
      </w:r>
      <w:r>
        <w:t xml:space="preserve"> </w:t>
      </w:r>
      <w:r>
        <w:t xml:space="preserve">given below.</w:t>
      </w:r>
    </w:p>
    <w:p>
      <w:pPr>
        <w:pStyle w:val="Compact"/>
        <w:numPr>
          <w:ilvl w:val="0"/>
          <w:numId w:val="1007"/>
        </w:numPr>
      </w:pPr>
      <w:r>
        <w:t xml:space="preserve">Number of diavolumes, KPP. It sets the completeness of the buffer exchange, which is a</w:t>
      </w:r>
      <w:r>
        <w:t xml:space="preserve"> </w:t>
      </w:r>
      <w:r>
        <w:t xml:space="preserve">formulation property of the drug substance and not a critical quality attribute, and it is</w:t>
      </w:r>
      <w:r>
        <w:t xml:space="preserve"> </w:t>
      </w:r>
      <w:r>
        <w:t xml:space="preserve">counted from permeate mass and easy to hold. The characterization range spans a wide swing</w:t>
      </w:r>
      <w:r>
        <w:t xml:space="preserve"> </w:t>
      </w:r>
      <w:r>
        <w:t xml:space="preserve">in carry-over, and no attribute of the drug substance register is set or cleared by the</w:t>
      </w:r>
      <w:r>
        <w:t xml:space="preserve"> </w:t>
      </w:r>
      <w:r>
        <w:t xml:space="preserve">step, so no quality criterion bounds the range (§2.2 and §5.4).</w:t>
      </w:r>
    </w:p>
    <w:p>
      <w:pPr>
        <w:pStyle w:val="Compact"/>
        <w:numPr>
          <w:ilvl w:val="0"/>
          <w:numId w:val="1007"/>
        </w:numPr>
      </w:pPr>
      <w:r>
        <w:t xml:space="preserve">Transmembrane pressure, KPP. It governs the permeate flux and the processing time, and</w:t>
      </w:r>
      <w:r>
        <w:t xml:space="preserve"> </w:t>
      </w:r>
      <w:r>
        <w:t xml:space="preserve">through shear at the membrane it has the most plausible route of the three to a quality</w:t>
      </w:r>
      <w:r>
        <w:t xml:space="preserve"> </w:t>
      </w:r>
      <w:r>
        <w:t xml:space="preserve">effect. It is nevertheless classified on process performance, because this step governs no</w:t>
      </w:r>
      <w:r>
        <w:t xml:space="preserve"> </w:t>
      </w:r>
      <w:r>
        <w:t xml:space="preserve">attribute against which such an effect could be classified. It is monitored continuously,</w:t>
      </w:r>
      <w:r>
        <w:t xml:space="preserve"> </w:t>
      </w:r>
      <w:r>
        <w:t xml:space="preserve">and the one excursion recorded stayed inside the characterized range (§13.1).</w:t>
      </w:r>
    </w:p>
    <w:p>
      <w:pPr>
        <w:pStyle w:val="Compact"/>
        <w:numPr>
          <w:ilvl w:val="0"/>
          <w:numId w:val="1007"/>
        </w:numPr>
      </w:pPr>
      <w:r>
        <w:t xml:space="preserve">Final DS concentration, KPP. It is the endpoint of the step and it is measured on the drug</w:t>
      </w:r>
      <w:r>
        <w:t xml:space="preserve"> </w:t>
      </w:r>
      <w:r>
        <w:t xml:space="preserve">substance at release, so it is controlled closely for reasons of process consistency and</w:t>
      </w:r>
      <w:r>
        <w:t xml:space="preserve"> </w:t>
      </w:r>
      <w:r>
        <w:t xml:space="preserve">not of quality risk. A low result is correctable in process by further concentration, which</w:t>
      </w:r>
      <w:r>
        <w:t xml:space="preserve"> </w:t>
      </w:r>
      <w:r>
        <w:t xml:space="preserve">is what happened in DEV-010-02.</w:t>
      </w:r>
    </w:p>
    <w:p>
      <w:pPr>
        <w:pStyle w:val="FirstParagraph"/>
      </w:pPr>
      <w:r>
        <w:t xml:space="preserve">Across the whole train 10 parameters are classified as key</w:t>
      </w:r>
      <w:r>
        <w:t xml:space="preserve"> </w:t>
      </w:r>
      <w:r>
        <w:t xml:space="preserve">process parameters, of which 3 are at this step. The classification follows</w:t>
      </w:r>
      <w:r>
        <w:t xml:space="preserve"> </w:t>
      </w:r>
      <w:r>
        <w:t xml:space="preserve">from the quality attribute register, in which no drug substance attribute is set or cleared at</w:t>
      </w:r>
      <w:r>
        <w:t xml:space="preserve"> </w:t>
      </w:r>
      <w:r>
        <w:t xml:space="preserve">this step, and not from a demonstrated null effect on one. All three parameters stay in the</w:t>
      </w:r>
      <w:r>
        <w:t xml:space="preserve"> </w:t>
      </w:r>
      <w:r>
        <w:t xml:space="preserve">control strategy because monitoring and controlling them is what keeps the process consistent</w:t>
      </w:r>
      <w:r>
        <w:t xml:space="preserve"> </w:t>
      </w:r>
      <w:r>
        <w:t xml:space="preserve">and predictable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55"/>
    <w:bookmarkStart w:id="56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step contributes to the control strategy in four ways, and each of them is a process</w:t>
      </w:r>
      <w:r>
        <w:t xml:space="preserve"> </w:t>
      </w:r>
      <w:r>
        <w:t xml:space="preserve">performance control rather than a quality control.</w:t>
      </w:r>
    </w:p>
    <w:p>
      <w:pPr>
        <w:pStyle w:val="BodyText"/>
      </w:pPr>
      <w:r>
        <w:t xml:space="preserve">The first is parameter control, in which the three parameters are held to the normal</w:t>
      </w:r>
      <w:r>
        <w:t xml:space="preserve"> </w:t>
      </w:r>
      <w:r>
        <w:t xml:space="preserve">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those are the ranges Stage 2 will be run against.</w:t>
      </w:r>
    </w:p>
    <w:p>
      <w:pPr>
        <w:pStyle w:val="BodyText"/>
      </w:pPr>
      <w:r>
        <w:t xml:space="preserve">The second is in-process monitoring. Transmembrane pressure is trended on the commercial skid</w:t>
      </w:r>
      <w:r>
        <w:t xml:space="preserve"> </w:t>
      </w:r>
      <w:r>
        <w:t xml:space="preserve">through both concentration phases and the diafiltration, the diavolume count is taken from</w:t>
      </w:r>
      <w:r>
        <w:t xml:space="preserve"> </w:t>
      </w:r>
      <w:r>
        <w:t xml:space="preserve">permeate mass, and the concentration is measured before the pool is released to storage.</w:t>
      </w:r>
    </w:p>
    <w:p>
      <w:pPr>
        <w:pStyle w:val="BodyText"/>
      </w:pPr>
      <w:r>
        <w:t xml:space="preserve">The third is release testing on the drug substance, in which concentration, aggregate and</w:t>
      </w:r>
      <w:r>
        <w:t xml:space="preserve"> </w:t>
      </w:r>
      <w:r>
        <w:t xml:space="preserve">charge variants are measured on the final pool under AMV-3019, AMV-3011 and AMV-3013, and</w:t>
      </w:r>
      <w:r>
        <w:t xml:space="preserve"> </w:t>
      </w:r>
      <w:r>
        <w:t xml:space="preserve">those results are the last quality data generated on the batch before it leaves drug</w:t>
      </w:r>
      <w:r>
        <w:t xml:space="preserve"> </w:t>
      </w:r>
      <w:r>
        <w:t xml:space="preserve">substance manufacture.</w:t>
      </w:r>
    </w:p>
    <w:p>
      <w:pPr>
        <w:pStyle w:val="BodyText"/>
      </w:pPr>
      <w:r>
        <w:t xml:space="preserve">The fourth is control of the inputs. The membrane and the formulation buffer are controlled</w:t>
      </w:r>
      <w:r>
        <w:t xml:space="preserve"> </w:t>
      </w:r>
      <w:r>
        <w:t xml:space="preserve">to platform specification, and a change to either is assessed before it is made, because</w:t>
      </w:r>
      <w:r>
        <w:t xml:space="preserve"> </w:t>
      </w:r>
      <w:r>
        <w:t xml:space="preserve">neither was varied in this study.</w:t>
      </w:r>
    </w:p>
    <w:p>
      <w:pPr>
        <w:pStyle w:val="BodyText"/>
      </w:pPr>
      <w:r>
        <w:t xml:space="preserve">The step also has clear limits. It controls no critical quality attribute, and it provides no</w:t>
      </w:r>
      <w:r>
        <w:t xml:space="preserve"> </w:t>
      </w:r>
      <w:r>
        <w:t xml:space="preserve">impurity clearance credit and no viral clearance credit. Every attribute in</w:t>
      </w:r>
      <w:r>
        <w:t xml:space="preserve"> </w:t>
      </w:r>
      <w:hyperlink w:anchor="tbl-cq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delivered to it inside its limit by the steps upstream, and the contribution this step makes</w:t>
      </w:r>
      <w:r>
        <w:t xml:space="preserve"> </w:t>
      </w:r>
      <w:r>
        <w:t xml:space="preserve">is to deliver that material at the right concentration in the right buffer without changing</w:t>
      </w:r>
      <w:r>
        <w:t xml:space="preserve"> </w:t>
      </w:r>
      <w:r>
        <w:t xml:space="preserve">it. The consolidated control strategy across the train is in PCMR-001.</w:t>
      </w:r>
    </w:p>
    <w:bookmarkEnd w:id="56"/>
    <w:bookmarkStart w:id="57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understood well enough to transfer, and part of the reason is that there is</w:t>
      </w:r>
      <w:r>
        <w:t xml:space="preserve"> </w:t>
      </w:r>
      <w:r>
        <w:t xml:space="preserve">little to understand, since a membrane that retains the antibody and passes small solutes</w:t>
      </w:r>
      <w:r>
        <w:t xml:space="preserve"> </w:t>
      </w:r>
      <w:r>
        <w:t xml:space="preserve">changes the buffer and leaves the product alone. The study confirmed that expectation against</w:t>
      </w:r>
      <w:r>
        <w:t xml:space="preserve"> </w:t>
      </w:r>
      <w:r>
        <w:t xml:space="preserve">the drug substance attributes measured on the pool the step delivers, and it established</w:t>
      </w:r>
      <w:r>
        <w:t xml:space="preserve"> </w:t>
      </w:r>
      <w:r>
        <w:t xml:space="preserve">ranges for the three parameters that govern how the step performs. Nothing in the result was</w:t>
      </w:r>
      <w:r>
        <w:t xml:space="preserve"> </w:t>
      </w:r>
      <w:r>
        <w:t xml:space="preserve">unexpected, which is the outcome a platform operation should produce.</w:t>
      </w:r>
    </w:p>
    <w:p>
      <w:pPr>
        <w:pStyle w:val="BodyText"/>
      </w:pPr>
      <w:r>
        <w:t xml:space="preserve">Confidence in the scale-down model is high for process performance and adequate for what is</w:t>
      </w:r>
      <w:r>
        <w:t xml:space="preserve"> </w:t>
      </w:r>
      <w:r>
        <w:t xml:space="preserve">claimed about quality. The model matches the commercial skid on the variables that drive the</w:t>
      </w:r>
      <w:r>
        <w:t xml:space="preserve"> </w:t>
      </w:r>
      <w:r>
        <w:t xml:space="preserve">operation, and hold-up volume is the one feature it cannot match by scaling. That feature</w:t>
      </w:r>
      <w:r>
        <w:t xml:space="preserve"> </w:t>
      </w:r>
      <w:r>
        <w:t xml:space="preserve">showed itself during execution as a concentration shortfall on one run (§13.2), and it is</w:t>
      </w:r>
      <w:r>
        <w:t xml:space="preserve"> </w:t>
      </w:r>
      <w:r>
        <w:t xml:space="preserve">managed by the recovery flush and not by a parameter range.</w:t>
      </w:r>
    </w:p>
    <w:p>
      <w:pPr>
        <w:pStyle w:val="BodyText"/>
      </w:pPr>
      <w:r>
        <w:t xml:space="preserve">Two deviations were recorded, and the more significant of them is the transmembrane pressure</w:t>
      </w:r>
      <w:r>
        <w:t xml:space="preserve"> </w:t>
      </w:r>
      <w:r>
        <w:t xml:space="preserve">excursion, in which pressure reached 14.6 psi against an</w:t>
      </w:r>
      <w:r>
        <w:t xml:space="preserve"> </w:t>
      </w:r>
      <w:r>
        <w:t xml:space="preserve">upper normal operating limit of 14 psi. It stayed inside the</w:t>
      </w:r>
      <w:r>
        <w:t xml:space="preserve"> </w:t>
      </w:r>
      <w:r>
        <w:t xml:space="preserve">characterization range, the parameter governs no quality attribute, and the run was retained.</w:t>
      </w:r>
      <w:r>
        <w:t xml:space="preserve"> </w:t>
      </w:r>
      <w:r>
        <w:t xml:space="preserve">The second deviation was the concentration shortfall, which was corrected in process, and</w:t>
      </w:r>
      <w:r>
        <w:t xml:space="preserve"> </w:t>
      </w:r>
      <w:r>
        <w:t xml:space="preserve">neither event changed a range, a classification or a conclusion.</w:t>
      </w:r>
    </w:p>
    <w:p>
      <w:pPr>
        <w:pStyle w:val="BodyText"/>
      </w:pPr>
      <w:r>
        <w:t xml:space="preserve">Three limitations bound what this report establishes. The first is the absence of a designed</w:t>
      </w:r>
      <w:r>
        <w:t xml:space="preserve"> </w:t>
      </w:r>
      <w:r>
        <w:t xml:space="preserve">experiment, which means that interactions between the three parameters are not quantified and</w:t>
      </w:r>
      <w:r>
        <w:t xml:space="preserve"> </w:t>
      </w:r>
      <w:r>
        <w:t xml:space="preserve">that this study cannot exclude one. The justification for accepting that is the justification</w:t>
      </w:r>
      <w:r>
        <w:t xml:space="preserve"> </w:t>
      </w:r>
      <w:r>
        <w:t xml:space="preserve">for the univariate design itself, which is that no parameter of the step is linked to a</w:t>
      </w:r>
      <w:r>
        <w:t xml:space="preserve"> </w:t>
      </w:r>
      <w:r>
        <w:t xml:space="preserve">quality attribute in the register (§4.2). If a future process change gives one of them such a</w:t>
      </w:r>
      <w:r>
        <w:t xml:space="preserve"> </w:t>
      </w:r>
      <w:r>
        <w:t xml:space="preserve">link, the study type has to be revisited.</w:t>
      </w:r>
    </w:p>
    <w:p>
      <w:pPr>
        <w:pStyle w:val="BodyText"/>
      </w:pPr>
      <w:r>
        <w:t xml:space="preserve">The second limitation is that the capability figures in §8 are model estimates and not</w:t>
      </w:r>
      <w:r>
        <w:t xml:space="preserve"> </w:t>
      </w:r>
      <w:r>
        <w:t xml:space="preserve">measurements at scale, and they are confirmed during Stage 2 on batches made in the</w:t>
      </w:r>
      <w:r>
        <w:t xml:space="preserve"> </w:t>
      </w:r>
      <w:r>
        <w:t xml:space="preserve">commercial facility with the commercial skid. The third is that the ranges hold for the</w:t>
      </w:r>
      <w:r>
        <w:t xml:space="preserve"> </w:t>
      </w:r>
      <w:r>
        <w:t xml:space="preserve">membrane chemistry, the membrane loading and the formulation buffer used here. A change to any</w:t>
      </w:r>
      <w:r>
        <w:t xml:space="preserve"> </w:t>
      </w:r>
      <w:r>
        <w:t xml:space="preserve">of them falls outside the knowledge space of this study, and the platform history that</w:t>
      </w:r>
      <w:r>
        <w:t xml:space="preserve"> </w:t>
      </w:r>
      <w:r>
        <w:t xml:space="preserve">supports the step does not extend to a membrane the platform has not been run on.</w:t>
      </w:r>
    </w:p>
    <w:p>
      <w:pPr>
        <w:pStyle w:val="BodyText"/>
      </w:pPr>
      <w:r>
        <w:t xml:space="preserve">No parameter of this step needed the most stringent form of control. That conclusion follows</w:t>
      </w:r>
      <w:r>
        <w:t xml:space="preserve"> </w:t>
      </w:r>
      <w:r>
        <w:t xml:space="preserve">from the absence of a quality linkage and not from a demonstration of robustness against a</w:t>
      </w:r>
      <w:r>
        <w:t xml:space="preserve"> </w:t>
      </w:r>
      <w:r>
        <w:t xml:space="preserve">quality attribute, and it is bounded accordingly.</w:t>
      </w:r>
    </w:p>
    <w:bookmarkEnd w:id="57"/>
    <w:bookmarkStart w:id="58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step is characterized and ready for Stage 2. It delivers drug substance at</w:t>
      </w:r>
      <w:r>
        <w:t xml:space="preserve"> </w:t>
      </w:r>
      <w:r>
        <w:t xml:space="preserve">75 g/L with a product yield of 97.1% at</w:t>
      </w:r>
      <w:r>
        <w:t xml:space="preserve"> </w:t>
      </w:r>
      <w:r>
        <w:t xml:space="preserve">set-point, closing the train at a cumulative product yield of</w:t>
      </w:r>
      <w:r>
        <w:t xml:space="preserve"> </w:t>
      </w:r>
      <w:r>
        <w:t xml:space="preserve">83.2%.</w:t>
      </w:r>
    </w:p>
    <w:p>
      <w:pPr>
        <w:pStyle w:val="BodyText"/>
      </w:pPr>
      <w:r>
        <w:t xml:space="preserve">All 3 parameters are classified as key process parameters and none is</w:t>
      </w:r>
      <w:r>
        <w:t xml:space="preserve"> </w:t>
      </w:r>
      <w:r>
        <w:t xml:space="preserve">linked to a critical quality attribute, so the step contributes no element to the design</w:t>
      </w:r>
      <w:r>
        <w:t xml:space="preserve"> </w:t>
      </w:r>
      <w:r>
        <w:t xml:space="preserve">space, and it claims no proven acceptable range, no impurity clearance and no viral</w:t>
      </w:r>
      <w:r>
        <w:t xml:space="preserve"> </w:t>
      </w:r>
      <w:r>
        <w:t xml:space="preserve">clearance.</w:t>
      </w:r>
    </w:p>
    <w:p>
      <w:pPr>
        <w:pStyle w:val="BodyText"/>
      </w:pPr>
      <w:r>
        <w:t xml:space="preserve">The drug substance attributes measured after the step meet their acceptance criteria at</w:t>
      </w:r>
      <w:r>
        <w:t xml:space="preserve"> </w:t>
      </w:r>
      <w:r>
        <w:t xml:space="preserve">commercial scale, with acidic charge variants (icIEF, AMV-3013) the tightest of the three at</w:t>
      </w:r>
      <w:r>
        <w:t xml:space="preserve"> </w:t>
      </w:r>
      <w:r>
        <w:t xml:space="preserve">a Cpk of 4.26. Those estimates come from qualified scale-down models</w:t>
      </w:r>
      <w:r>
        <w:t xml:space="preserve"> </w:t>
      </w:r>
      <w:r>
        <w:t xml:space="preserve">with every parameter drawn about its set-point at one sixth of its normal operating range, and</w:t>
      </w:r>
      <w:r>
        <w:t xml:space="preserve"> </w:t>
      </w:r>
      <w:r>
        <w:t xml:space="preserve">they are confirmed at commercial scale during Stage 2.</w:t>
      </w:r>
    </w:p>
    <w:p>
      <w:pPr>
        <w:pStyle w:val="BodyText"/>
      </w:pPr>
      <w:r>
        <w:t xml:space="preserve">Both deviations recorded during execution were investigated and retained, and neither changed</w:t>
      </w:r>
      <w:r>
        <w:t xml:space="preserve"> </w:t>
      </w:r>
      <w:r>
        <w:t xml:space="preserve">a range, a classification or a conclusion. The outcome of this report rolls up into PCMR-001.</w:t>
      </w:r>
    </w:p>
    <w:bookmarkEnd w:id="58"/>
    <w:bookmarkStart w:id="62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Execution recorded 2 deviations against PCP-010. Both were investigated, both</w:t>
      </w:r>
      <w:r>
        <w:t xml:space="preserve"> </w:t>
      </w:r>
      <w:r>
        <w:t xml:space="preserve">were impact assessed, and both were dispositioned as retained, with the register given in</w:t>
      </w:r>
      <w:r>
        <w:t xml:space="preserve"> </w:t>
      </w:r>
      <w:hyperlink w:anchor="tbl-dev">
        <w:r>
          <w:rPr>
            <w:rStyle w:val="Hyperlink"/>
          </w:rPr>
          <w:t xml:space="preserve">Table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Deviations recorded during execution of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58"/>
              <w:gridCol w:w="4290"/>
              <w:gridCol w:w="1782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Transmembrane-pressure excursion above NOR during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in-process TMP monitoring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DEV-010-02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below 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concentration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59"/>
          <w:p/>
        </w:tc>
      </w:tr>
    </w:tbl>
    <w:p>
      <w:pPr>
        <w:pStyle w:val="BodyText"/>
      </w:pPr>
      <w:r>
        <w:t xml:space="preserve">Both deviations were found by the controls the plan put in place, one by the continuous</w:t>
      </w:r>
      <w:r>
        <w:t xml:space="preserve"> </w:t>
      </w:r>
      <w:r>
        <w:t xml:space="preserve">in-process record of transmembrane pressure and the other by the concentration check at the</w:t>
      </w:r>
      <w:r>
        <w:t xml:space="preserve"> </w:t>
      </w:r>
      <w:r>
        <w:t xml:space="preserve">end of the step. Neither was found after the fact, and neither required a retrospective</w:t>
      </w:r>
      <w:r>
        <w:t xml:space="preserve"> </w:t>
      </w:r>
      <w:r>
        <w:t xml:space="preserve">assessment of material that had already moved on.</w:t>
      </w:r>
    </w:p>
    <w:bookmarkStart w:id="60" w:name="X37cfdba9c982fd006030b0ea5a386fea4687a63"/>
    <w:p>
      <w:pPr>
        <w:pStyle w:val="Heading2"/>
      </w:pPr>
      <w:r>
        <w:t xml:space="preserve">13.1 DEV-010-01 — Transmembrane pressure excursion above the normal operating range</w:t>
      </w:r>
    </w:p>
    <w:p>
      <w:pPr>
        <w:pStyle w:val="FirstParagraph"/>
      </w:pPr>
      <w:r>
        <w:t xml:space="preserve">Transmembrane pressure reached 14.6 psi during the first</w:t>
      </w:r>
      <w:r>
        <w:t xml:space="preserve"> </w:t>
      </w:r>
      <w:r>
        <w:t xml:space="preserve">concentration phase, which is 0.6 psi above the upper edge of the</w:t>
      </w:r>
      <w:r>
        <w:t xml:space="preserve"> </w:t>
      </w:r>
      <w:r>
        <w:t xml:space="preserve">normal operating range of 10–14 psi. The excursion was detected as it</w:t>
      </w:r>
      <w:r>
        <w:t xml:space="preserve"> </w:t>
      </w:r>
      <w:r>
        <w:t xml:space="preserve">happened, on the pressure trend recorded by skid EQ-TFF-142.</w:t>
      </w:r>
    </w:p>
    <w:p>
      <w:pPr>
        <w:pStyle w:val="BodyText"/>
      </w:pPr>
      <w:r>
        <w:t xml:space="preserve">The investigation reviewed the pressure and flux records for the run. Pressure rose through</w:t>
      </w:r>
      <w:r>
        <w:t xml:space="preserve"> </w:t>
      </w:r>
      <w:r>
        <w:t xml:space="preserve">the first concentration phase and returned inside the control range once the diafiltration</w:t>
      </w:r>
      <w:r>
        <w:t xml:space="preserve"> </w:t>
      </w:r>
      <w:r>
        <w:t xml:space="preserve">began, which is the signature of transient membrane fouling and not of a control failure, and</w:t>
      </w:r>
      <w:r>
        <w:t xml:space="preserve"> </w:t>
      </w:r>
      <w:r>
        <w:t xml:space="preserve">the root cause was recorded on that basis. The skid was in calibration at execution, and no</w:t>
      </w:r>
      <w:r>
        <w:t xml:space="preserve"> </w:t>
      </w:r>
      <w:r>
        <w:t xml:space="preserve">instrument fault was identified.</w:t>
      </w:r>
    </w:p>
    <w:p>
      <w:pPr>
        <w:pStyle w:val="BodyText"/>
      </w:pPr>
      <w:r>
        <w:t xml:space="preserve">The impact assessment rests on two facts. The value reached is</w:t>
      </w:r>
      <w:r>
        <w:t xml:space="preserve"> </w:t>
      </w:r>
      <w:r>
        <w:t xml:space="preserve">0.4 psi inside the upper edge of the characterization range of</w:t>
      </w:r>
      <w:r>
        <w:t xml:space="preserve"> </w:t>
      </w:r>
      <w:r>
        <w:t xml:space="preserve">10–15 psi, so the excursion sits inside the region this study</w:t>
      </w:r>
      <w:r>
        <w:t xml:space="preserve"> </w:t>
      </w:r>
      <w:r>
        <w:t xml:space="preserve">covers rather than outside it. Transmembrane pressure governs no quality attribute at this</w:t>
      </w:r>
      <w:r>
        <w:t xml:space="preserve"> </w:t>
      </w:r>
      <w:r>
        <w:t xml:space="preserve">step, so there is no quality impact to assess. The run was retained, and no range or</w:t>
      </w:r>
      <w:r>
        <w:t xml:space="preserve"> </w:t>
      </w:r>
      <w:r>
        <w:t xml:space="preserve">classification was changed.</w:t>
      </w:r>
    </w:p>
    <w:bookmarkEnd w:id="60"/>
    <w:bookmarkStart w:id="61" w:name="X5817368d8731dd6bd048ed772ad8af3db4a44c0"/>
    <w:p>
      <w:pPr>
        <w:pStyle w:val="Heading2"/>
      </w:pPr>
      <w:r>
        <w:t xml:space="preserve">13.2 DEV-010-02 — Final drug substance concentration below target</w:t>
      </w:r>
    </w:p>
    <w:p>
      <w:pPr>
        <w:pStyle w:val="FirstParagraph"/>
      </w:pPr>
      <w:r>
        <w:t xml:space="preserve">The second concentration phase finished at</w:t>
      </w:r>
      <w:r>
        <w:t xml:space="preserve"> </w:t>
      </w:r>
      <w:r>
        <w:t xml:space="preserve">71.5 g/L against a target of</w:t>
      </w:r>
      <w:r>
        <w:t xml:space="preserve"> </w:t>
      </w:r>
      <w:r>
        <w:t xml:space="preserve">75 g/L, a shortfall of 3.5 g/L. The value</w:t>
      </w:r>
      <w:r>
        <w:t xml:space="preserve"> </w:t>
      </w:r>
      <w:r>
        <w:t xml:space="preserve">was inside the normal operating range of 70–80 g/L but below the</w:t>
      </w:r>
      <w:r>
        <w:t xml:space="preserve"> </w:t>
      </w:r>
      <w:r>
        <w:t xml:space="preserve">target the batch record specifies, and it is 3.9 times the</w:t>
      </w:r>
      <w:r>
        <w:t xml:space="preserve"> </w:t>
      </w:r>
      <w:r>
        <w:t xml:space="preserve">intermediate precision of the concentration method at the target, so it is not an artefact of</w:t>
      </w:r>
      <w:r>
        <w:t xml:space="preserve"> </w:t>
      </w:r>
      <w:r>
        <w:t xml:space="preserve">the measurement.</w:t>
      </w:r>
    </w:p>
    <w:p>
      <w:pPr>
        <w:pStyle w:val="BodyText"/>
      </w:pPr>
      <w:r>
        <w:t xml:space="preserve">The investigation traced the shortfall to residual hold-up volume. Buffer held in the</w:t>
      </w:r>
      <w:r>
        <w:t xml:space="preserve"> </w:t>
      </w:r>
      <w:r>
        <w:t xml:space="preserve">recirculation loop and the membrane housing was recovered with the pool at the flush, and it</w:t>
      </w:r>
      <w:r>
        <w:t xml:space="preserve"> </w:t>
      </w:r>
      <w:r>
        <w:t xml:space="preserve">diluted the pool below the concentration the phase had reached. The root cause is a property of the</w:t>
      </w:r>
      <w:r>
        <w:t xml:space="preserve"> </w:t>
      </w:r>
      <w:r>
        <w:t xml:space="preserve">system rather than of the parameter, and it is the feature of the scale-down model discussed</w:t>
      </w:r>
      <w:r>
        <w:t xml:space="preserve"> </w:t>
      </w:r>
      <w:r>
        <w:t xml:space="preserve">in §3.1.</w:t>
      </w:r>
    </w:p>
    <w:p>
      <w:pPr>
        <w:pStyle w:val="BodyText"/>
      </w:pPr>
      <w:r>
        <w:t xml:space="preserve">The pool was returned to the skid, concentrated to target and confirmed by the ultraviolet</w:t>
      </w:r>
      <w:r>
        <w:t xml:space="preserve"> </w:t>
      </w:r>
      <w:r>
        <w:t xml:space="preserve">absorbance method (AMV-3019). That correction is a normal in-process adjustment for this</w:t>
      </w:r>
      <w:r>
        <w:t xml:space="preserve"> </w:t>
      </w:r>
      <w:r>
        <w:t xml:space="preserve">operation and needs no separate product disposition, because the concentration is measured</w:t>
      </w:r>
      <w:r>
        <w:t xml:space="preserve"> </w:t>
      </w:r>
      <w:r>
        <w:t xml:space="preserve">directly on the product and the material stayed inside its normal operating range throughout.</w:t>
      </w:r>
      <w:r>
        <w:t xml:space="preserve"> </w:t>
      </w:r>
      <w:r>
        <w:t xml:space="preserve">The run was retained, and the event is recorded here because a repeat would point at the</w:t>
      </w:r>
      <w:r>
        <w:t xml:space="preserve"> </w:t>
      </w:r>
      <w:r>
        <w:t xml:space="preserve">flush volume and not at the parameter.</w:t>
      </w:r>
    </w:p>
    <w:bookmarkEnd w:id="61"/>
    <w:bookmarkEnd w:id="62"/>
    <w:bookmarkStart w:id="64" w:name="appendix-a-analytical-methods-summary"/>
    <w:p>
      <w:pPr>
        <w:pStyle w:val="Heading1"/>
      </w:pPr>
      <w:r>
        <w:t xml:space="preserve">14. Appendix A — Analytical methods summary</w:t>
      </w:r>
    </w:p>
    <w:p>
      <w:pPr>
        <w:pStyle w:val="FirstParagraph"/>
      </w:pPr>
      <w:r>
        <w:t xml:space="preserve">Validated performance of the concentration method used at this step is given in</w:t>
      </w:r>
      <w:r>
        <w:t xml:space="preserve"> </w:t>
      </w:r>
      <w:hyperlink w:anchor="tbl-amv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Performance of the size variant method (AMV-3011) and the charge variant method (AMV-3013) is</w:t>
      </w:r>
      <w:r>
        <w:t xml:space="preserve"> </w:t>
      </w:r>
      <w:r>
        <w:t xml:space="preserve">held in their own validation reports and in the campaign method register, and is not</w:t>
      </w:r>
      <w:r>
        <w:t xml:space="preserve"> </w:t>
      </w:r>
      <w:r>
        <w:t xml:space="preserve">reproduced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Validated performance of the concentration method (AMV-3019).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26"/>
              <w:gridCol w:w="2615"/>
              <w:gridCol w:w="1453"/>
              <w:gridCol w:w="653"/>
              <w:gridCol w:w="1162"/>
              <w:gridCol w:w="1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Precision (%RSD)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share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 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</w:t>
                  </w:r>
                </w:p>
              </w:tc>
            </w:tr>
          </w:tbl>
          <w:bookmarkEnd w:id="63"/>
          <w:p/>
        </w:tc>
      </w:tr>
    </w:tbl>
    <w:bookmarkEnd w:id="64"/>
    <w:bookmarkStart w:id="66" w:name="X16f417129de037e78fff4f9cae23f5f3031b734"/>
    <w:p>
      <w:pPr>
        <w:pStyle w:val="Heading1"/>
      </w:pPr>
      <w:r>
        <w:t xml:space="preserve">15. Appendix B — Cumulative product yield across the train</w:t>
      </w:r>
    </w:p>
    <w:p>
      <w:pPr>
        <w:pStyle w:val="FirstParagraph"/>
      </w:pPr>
      <w:r>
        <w:t xml:space="preserve">The step by step product yield of the nominal batch is given in</w:t>
      </w:r>
      <w:r>
        <w:t xml:space="preserve"> </w:t>
      </w:r>
      <w:hyperlink w:anchor="tbl-yield">
        <w:r>
          <w:rPr>
            <w:rStyle w:val="Hyperlink"/>
          </w:rPr>
          <w:t xml:space="preserve">Table 12</w:t>
        </w:r>
      </w:hyperlink>
      <w:r>
        <w:t xml:space="preserve">. The last row is</w:t>
      </w:r>
      <w:r>
        <w:t xml:space="preserve"> </w:t>
      </w:r>
      <w:r>
        <w:t xml:space="preserve">this step, and the cumulative figure in that row is the overall product yield of the drug</w:t>
      </w:r>
      <w:r>
        <w:t xml:space="preserve"> </w:t>
      </w:r>
      <w:r>
        <w:t xml:space="preserve">substance process.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Step and cumulative product yield across the drug substance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53"/>
              <w:gridCol w:w="3837"/>
              <w:gridCol w:w="1469"/>
              <w:gridCol w:w="195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Cumulative yield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83.2</w:t>
                  </w:r>
                </w:p>
              </w:tc>
            </w:tr>
          </w:tbl>
          <w:bookmarkEnd w:id="65"/>
          <w:p/>
        </w:tc>
      </w:tr>
    </w:tbl>
    <w:bookmarkEnd w:id="66"/>
    <w:bookmarkStart w:id="68" w:name="Xf783fd2d7bf76ec343335b86b4d9adbbeb6c365"/>
    <w:p>
      <w:pPr>
        <w:pStyle w:val="Heading1"/>
      </w:pPr>
      <w:r>
        <w:t xml:space="preserve">16. Appendix C — Drug substance quality attribute register</w:t>
      </w:r>
    </w:p>
    <w:p>
      <w:pPr>
        <w:pStyle w:val="FirstParagraph"/>
      </w:pPr>
      <w:r>
        <w:t xml:space="preserve">The full register of drug substance critical quality attributes is given in</w:t>
      </w:r>
      <w:r>
        <w:t xml:space="preserve"> </w:t>
      </w:r>
      <w:hyperlink w:anchor="tbl-dsreg">
        <w:r>
          <w:rPr>
            <w:rStyle w:val="Hyperlink"/>
          </w:rPr>
          <w:t xml:space="preserve">Table 13</w:t>
        </w:r>
      </w:hyperlink>
      <w:r>
        <w:t xml:space="preserve">, with</w:t>
      </w:r>
      <w:r>
        <w:t xml:space="preserve"> </w:t>
      </w:r>
      <w:r>
        <w:t xml:space="preserve">the step that sets each attribute and the report that characterizes it. The register is</w:t>
      </w:r>
      <w:r>
        <w:t xml:space="preserve"> </w:t>
      </w:r>
      <w:r>
        <w:t xml:space="preserve">reproduced here because the drug substance is expressed at this step and the release panel</w:t>
      </w:r>
      <w:r>
        <w:t xml:space="preserve"> </w:t>
      </w:r>
      <w:r>
        <w:t xml:space="preserve">applies to the pool it delivers. No attribute in the register is set at this step.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dsre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Drug substance quality attribute register, with the covering step and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49"/>
              <w:gridCol w:w="1018"/>
              <w:gridCol w:w="848"/>
              <w:gridCol w:w="1584"/>
              <w:gridCol w:w="1753"/>
              <w:gridCol w:w="5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</w:tbl>
          <w:bookmarkEnd w:id="67"/>
          <w:p/>
        </w:tc>
      </w:tr>
    </w:tbl>
    <w:bookmarkEnd w:id="68"/>
    <w:bookmarkStart w:id="77" w:name="references"/>
    <w:p>
      <w:pPr>
        <w:pStyle w:val="Heading1"/>
      </w:pPr>
      <w:r>
        <w:t xml:space="preserve">References</w:t>
      </w:r>
    </w:p>
    <w:bookmarkStart w:id="76" w:name="refs"/>
    <w:bookmarkStart w:id="6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69"/>
    <w:bookmarkStart w:id="70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70"/>
    <w:bookmarkStart w:id="71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1"/>
    <w:bookmarkStart w:id="72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2"/>
    <w:bookmarkStart w:id="73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73"/>
    <w:bookmarkStart w:id="74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74"/>
    <w:bookmarkStart w:id="75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2026-08-02T19:10:22Z</dcterms:created>
  <dcterms:modified xsi:type="dcterms:W3CDTF">2026-08-02T19:10:22Z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PCR-010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