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Transfer Plan</w:t>
      </w:r>
    </w:p>
    <w:p>
      <w:pPr>
        <w:pStyle w:val="Subtitle"/>
      </w:pPr>
      <w:r>
        <w:t xml:space="preserve">A-Mab Drug Substance — PTP-001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PTP-001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Transfer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Transfer Plan — A-Mab Drug Substance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2-AB, 2-aminobenzamide; AMV, analytical method validation; CEX, cation exchange; CQA,</w:t>
      </w:r>
      <w:r>
        <w:t xml:space="preserve"> </w:t>
      </w:r>
      <w:r>
        <w:t xml:space="preserve">critical quality attribute; DNA, deoxyribonucleic acid; ELISA, enzyme-linked</w:t>
      </w:r>
      <w:r>
        <w:t xml:space="preserve"> </w:t>
      </w:r>
      <w:r>
        <w:t xml:space="preserve">immunosorbent assay; HCP, host cell protein; HILIC-UPLC, hydrophilic interaction</w:t>
      </w:r>
      <w:r>
        <w:t xml:space="preserve"> </w:t>
      </w:r>
      <w:r>
        <w:t xml:space="preserve">ultra-performance liquid chromatography; HMW, high molecular weight; ICH, International</w:t>
      </w:r>
      <w:r>
        <w:t xml:space="preserve"> </w:t>
      </w:r>
      <w:r>
        <w:t xml:space="preserve">Council for Harmonisation; icIEF, imaged capillary isoelectric focusing; IgG,</w:t>
      </w:r>
      <w:r>
        <w:t xml:space="preserve"> </w:t>
      </w:r>
      <w:r>
        <w:t xml:space="preserve">immunoglobulin G; LOQ, limit of quantitation; MSAT, Manufacturing Science and Technology;</w:t>
      </w:r>
      <w:r>
        <w:t xml:space="preserve"> </w:t>
      </w:r>
      <w:r>
        <w:t xml:space="preserve">MVM, minute virus of mice; NOR, normal operating range; NTU, nephelometric turbidity unit;</w:t>
      </w:r>
      <w:r>
        <w:t xml:space="preserve"> </w:t>
      </w:r>
      <w:r>
        <w:t xml:space="preserve">PD, Process Development; qPCR, quantitative polymerase chain reaction; RSD, relative</w:t>
      </w:r>
      <w:r>
        <w:t xml:space="preserve"> </w:t>
      </w:r>
      <w:r>
        <w:t xml:space="preserve">standard deviation; SEC-HPLC, size-exclusion high-performance liquid chromatography; SOP,</w:t>
      </w:r>
      <w:r>
        <w:t xml:space="preserve"> </w:t>
      </w:r>
      <w:r>
        <w:t xml:space="preserve">standard operating procedure; TCID50, median tissue culture infectious dose; TFF,</w:t>
      </w:r>
      <w:r>
        <w:t xml:space="preserve"> </w:t>
      </w:r>
      <w:r>
        <w:t xml:space="preserve">tangential flow filtration; UV, ultraviolet; XMuLV, xenotropic murine leukaemia virus.</w:t>
      </w:r>
    </w:p>
    <w:p>
      <w:r>
        <w:br w:type="page"/>
      </w:r>
    </w:p>
    <w:bookmarkEnd w:id="11"/>
    <w:bookmarkStart w:id="13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Novacyte Biologics is transferring the A-Mab drug substance process from</w:t>
      </w:r>
      <w:r>
        <w:t xml:space="preserve"> </w:t>
      </w:r>
      <w:r>
        <w:t xml:space="preserve">Novacyte Biologics — Cambridge, MA (Development) to Novacyte Biologics — Grafton, WI (Commercial DS), and this plan defines the scope of</w:t>
      </w:r>
      <w:r>
        <w:t xml:space="preserve"> </w:t>
      </w:r>
      <w:r>
        <w:t xml:space="preserve">that transfer, the activities it comprises, and the deliverables that must be complete</w:t>
      </w:r>
      <w:r>
        <w:t xml:space="preserve"> </w:t>
      </w:r>
      <w:r>
        <w:t xml:space="preserve">before process performance qualification can start at the receiving site. The process</w:t>
      </w:r>
      <w:r>
        <w:t xml:space="preserve"> </w:t>
      </w:r>
      <w:r>
        <w:t xml:space="preserve">moves as a whole. No unit operation is redeveloped at the receiving site, and no set-point</w:t>
      </w:r>
      <w:r>
        <w:t xml:space="preserve"> </w:t>
      </w:r>
      <w:r>
        <w:t xml:space="preserve">changes by the act of being transferred.</w:t>
      </w:r>
    </w:p>
    <w:p>
      <w:pPr>
        <w:pStyle w:val="BodyText"/>
      </w:pPr>
      <w:r>
        <w:t xml:space="preserve">Technology transfer is an element of the pharmaceutical quality system, and it is</w:t>
      </w:r>
      <w:r>
        <w:t xml:space="preserve"> </w:t>
      </w:r>
      <w:r>
        <w:t xml:space="preserve">expected to deliver the knowledge that allows the receiving site to run the process as it</w:t>
      </w:r>
      <w:r>
        <w:t xml:space="preserve"> </w:t>
      </w:r>
      <w:r>
        <w:t xml:space="preserve">was intended to run</w:t>
      </w:r>
      <w:r>
        <w:t xml:space="preserve"> </w:t>
      </w:r>
      <w:r>
        <w:t xml:space="preserve">(International Council for Harmonisation 2008)</w:t>
      </w:r>
      <w:r>
        <w:t xml:space="preserve">. It is also the point at which the Stage 1 process design</w:t>
      </w:r>
      <w:r>
        <w:t xml:space="preserve"> </w:t>
      </w:r>
      <w:r>
        <w:t xml:space="preserve">work is consolidated for a commercial process</w:t>
      </w:r>
      <w:r>
        <w:t xml:space="preserve"> </w:t>
      </w:r>
      <w:r>
        <w:t xml:space="preserve">(U.S. Food and Drug Administration 2011)</w:t>
      </w:r>
      <w:r>
        <w:t xml:space="preserve">. The receiving site has to</w:t>
      </w:r>
      <w:r>
        <w:t xml:space="preserve"> </w:t>
      </w:r>
      <w:r>
        <w:t xml:space="preserve">operate inside ranges that data support, so the transfer and the process characterization</w:t>
      </w:r>
      <w:r>
        <w:t xml:space="preserve"> </w:t>
      </w:r>
      <w:r>
        <w:t xml:space="preserve">campaign are planned as one programme. This plan is the parent of that campaign and</w:t>
      </w:r>
      <w:r>
        <w:t xml:space="preserve"> </w:t>
      </w:r>
      <w:r>
        <w:t xml:space="preserve">states why each of its documents exists.</w:t>
      </w:r>
    </w:p>
    <w:p>
      <w:pPr>
        <w:pStyle w:val="BodyText"/>
      </w:pPr>
      <w:r>
        <w:t xml:space="preserve">The package contains 20 controlled documents, and</w:t>
      </w:r>
      <w:r>
        <w:t xml:space="preserve"> </w:t>
      </w:r>
      <w:hyperlink w:anchor="tbl-packag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all of</w:t>
      </w:r>
      <w:r>
        <w:t xml:space="preserve"> </w:t>
      </w:r>
      <w:r>
        <w:t xml:space="preserve">them except this plan. A pre-characterization risk assessment (RA-001) fixes the scope of</w:t>
      </w:r>
      <w:r>
        <w:t xml:space="preserve"> </w:t>
      </w:r>
      <w:r>
        <w:t xml:space="preserve">the studies, a master plan (PCMP-001) sets the approach that every study shares, a plan</w:t>
      </w:r>
      <w:r>
        <w:t xml:space="preserve"> </w:t>
      </w:r>
      <w:r>
        <w:t xml:space="preserve">and a report cover each unit operation (PCP-003 through PCP-010, PCR-003 through PCR-010),</w:t>
      </w:r>
      <w:r>
        <w:t xml:space="preserve"> </w:t>
      </w:r>
      <w:r>
        <w:t xml:space="preserve">and a master report (PCMR-001) consolidates the outcome for the process as a whole. Each</w:t>
      </w:r>
      <w:r>
        <w:t xml:space="preserve"> </w:t>
      </w:r>
      <w:r>
        <w:t xml:space="preserve">of those documents is a deliverable of this transfer, and the sequence in which they are</w:t>
      </w:r>
      <w:r>
        <w:t xml:space="preserve"> </w:t>
      </w:r>
      <w:r>
        <w:t xml:space="preserve">produced is given in §10.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packa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document package that this transfer plan parents.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42"/>
              <w:gridCol w:w="3503"/>
              <w:gridCol w:w="327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The scope of this plan is the drug substance process, Steps 3 to</w:t>
      </w:r>
      <w:r>
        <w:t xml:space="preserve"> </w:t>
      </w:r>
      <w:r>
        <w:t xml:space="preserve">10, as it will be operated at the receiving site. Three things sit</w:t>
      </w:r>
      <w:r>
        <w:t xml:space="preserve"> </w:t>
      </w:r>
      <w:r>
        <w:t xml:space="preserve">outside it. Drug product manufacture and fill-finish are not covered, and neither is cell</w:t>
      </w:r>
      <w:r>
        <w:t xml:space="preserve"> </w:t>
      </w:r>
      <w:r>
        <w:t xml:space="preserve">bank manufacture and testing. The execution of process performance qualification is not</w:t>
      </w:r>
      <w:r>
        <w:t xml:space="preserve"> </w:t>
      </w:r>
      <w:r>
        <w:t xml:space="preserve">covered either, although §7 states what that stage requires and when it may begin, because</w:t>
      </w:r>
      <w:r>
        <w:t xml:space="preserve"> </w:t>
      </w:r>
      <w:r>
        <w:t xml:space="preserve">the readiness decision belongs to this plan even though the qualification itself does not.</w:t>
      </w:r>
    </w:p>
    <w:bookmarkEnd w:id="13"/>
    <w:bookmarkStart w:id="15" w:name="product-and-process-description"/>
    <w:p>
      <w:pPr>
        <w:pStyle w:val="Heading1"/>
      </w:pPr>
      <w:r>
        <w:t xml:space="preserve">2. Product and process description</w:t>
      </w:r>
    </w:p>
    <w:p>
      <w:pPr>
        <w:pStyle w:val="FirstParagraph"/>
      </w:pPr>
      <w:r>
        <w:t xml:space="preserve">A-Mab is a humanized IgG1 monoclonal antibody produced in mammalian cell</w:t>
      </w:r>
      <w:r>
        <w:t xml:space="preserve"> </w:t>
      </w:r>
      <w:r>
        <w:t xml:space="preserve">culture, and its main mechanism of action is antibody-dependent cellular cytotoxicity, so</w:t>
      </w:r>
      <w:r>
        <w:t xml:space="preserve"> </w:t>
      </w:r>
      <w:r>
        <w:t xml:space="preserve">the glycan attributes that modulate effector function carry an efficacy risk and are</w:t>
      </w:r>
      <w:r>
        <w:t xml:space="preserve"> </w:t>
      </w:r>
      <w:r>
        <w:t xml:space="preserve">treated as quality attributes throughout the process</w:t>
      </w:r>
      <w:r>
        <w:t xml:space="preserve"> </w:t>
      </w:r>
      <w:r>
        <w:t xml:space="preserve">(CMC Biotech Working Group 2009)</w:t>
      </w:r>
      <w:r>
        <w:t xml:space="preserve">. The purification train is the</w:t>
      </w:r>
      <w:r>
        <w:t xml:space="preserve"> </w:t>
      </w:r>
      <w:r>
        <w:t xml:space="preserve">platform train that has already supported three products of the same class (X-Mab, Y-Mab</w:t>
      </w:r>
      <w:r>
        <w:t xml:space="preserve"> </w:t>
      </w:r>
      <w:r>
        <w:t xml:space="preserve">and Z-Mab). What moves to the receiving site is therefore a platform process, and the</w:t>
      </w:r>
      <w:r>
        <w:t xml:space="preserve"> </w:t>
      </w:r>
      <w:r>
        <w:t xml:space="preserve">platform history is part of the knowledge that moves with it.</w:t>
      </w:r>
    </w:p>
    <w:p>
      <w:pPr>
        <w:pStyle w:val="BodyText"/>
      </w:pPr>
      <w:r>
        <w:t xml:space="preserve">The drug substance process comprises 8 unit operations, numbered Steps</w:t>
      </w:r>
      <w:r>
        <w:t xml:space="preserve"> </w:t>
      </w:r>
      <w:r>
        <w:t xml:space="preserve">3 to 10, and it begins with a fed-batch culture at a</w:t>
      </w:r>
      <w:r>
        <w:t xml:space="preserve"> </w:t>
      </w:r>
      <w:r>
        <w:t xml:space="preserve">working volume of 15,000 L. Purification follows the platform sequence of</w:t>
      </w:r>
      <w:r>
        <w:t xml:space="preserve"> </w:t>
      </w:r>
      <w:r>
        <w:t xml:space="preserve">Protein A capture, low pH viral inactivation, cation exchange, anion exchange, small</w:t>
      </w:r>
      <w:r>
        <w:t xml:space="preserve"> </w:t>
      </w:r>
      <w:r>
        <w:t xml:space="preserve">virus retentive filtration and ultrafiltration with diafiltration into the formulation</w:t>
      </w:r>
      <w:r>
        <w:t xml:space="preserve"> </w:t>
      </w:r>
      <w:r>
        <w:t xml:space="preserve">buffer. The final step delivers drug substance at a target concentration of</w:t>
      </w:r>
      <w:r>
        <w:t xml:space="preserve"> </w:t>
      </w:r>
      <w:r>
        <w:t xml:space="preserve">75 g/L, and</w:t>
      </w:r>
      <w:r>
        <w:t xml:space="preserve"> </w:t>
      </w:r>
      <w:hyperlink w:anchor="tbl-train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every step with the role it holds in the</w:t>
      </w:r>
      <w:r>
        <w:t xml:space="preserve"> </w:t>
      </w:r>
      <w:r>
        <w:t xml:space="preserve">control strategy.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The A-Mab drug substance process train and the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bioreactor forms most of the attributes the process has to control, since</w:t>
      </w:r>
      <w:r>
        <w:t xml:space="preserve"> </w:t>
      </w:r>
      <w:r>
        <w:t xml:space="preserve">7 of the 10 attributes in the register are set there, and</w:t>
      </w:r>
      <w:r>
        <w:t xml:space="preserve"> </w:t>
      </w:r>
      <w:r>
        <w:t xml:space="preserve">they include the glycans, the charge variants, aggregate and the impurity burden that the</w:t>
      </w:r>
      <w:r>
        <w:t xml:space="preserve"> </w:t>
      </w:r>
      <w:r>
        <w:t xml:space="preserve">purification train then clears. The downstream steps remove impurities and virus without</w:t>
      </w:r>
      <w:r>
        <w:t xml:space="preserve"> </w:t>
      </w:r>
      <w:r>
        <w:t xml:space="preserve">changing the glycan distribution, and Protein A capture in particular sets one attribute of</w:t>
      </w:r>
      <w:r>
        <w:t xml:space="preserve"> </w:t>
      </w:r>
      <w:r>
        <w:t xml:space="preserve">its own, leached Protein A, and is the principal clearance step for host cell protein (HCP)</w:t>
      </w:r>
      <w:r>
        <w:t xml:space="preserve"> </w:t>
      </w:r>
      <w:r>
        <w:t xml:space="preserve">and DNA. Cation exchange is the principal aggregate polish. Anion exchange is a</w:t>
      </w:r>
      <w:r>
        <w:t xml:space="preserve"> </w:t>
      </w:r>
      <w:r>
        <w:t xml:space="preserve">flow-through polish that clears XMuLV, host cell protein and DNA.</w:t>
      </w:r>
    </w:p>
    <w:p>
      <w:pPr>
        <w:pStyle w:val="BodyText"/>
      </w:pPr>
      <w:r>
        <w:t xml:space="preserve">Viral safety is modular. Clearance comes from 3 steps whose</w:t>
      </w:r>
      <w:r>
        <w:t xml:space="preserve"> </w:t>
      </w:r>
      <w:r>
        <w:t xml:space="preserve">mechanisms are independent of one another, namely inactivation at low pH (Step 6),</w:t>
      </w:r>
      <w:r>
        <w:t xml:space="preserve"> </w:t>
      </w:r>
      <w:r>
        <w:t xml:space="preserve">adsorption of virus at anion exchange (Step 8), and size-based retention at the virus</w:t>
      </w:r>
      <w:r>
        <w:t xml:space="preserve"> </w:t>
      </w:r>
      <w:r>
        <w:t xml:space="preserve">filter (Step 9).</w:t>
      </w:r>
      <w:r>
        <w:t xml:space="preserve"> </w:t>
      </w:r>
      <w:r>
        <w:t xml:space="preserve">Each contribution is measured in its own study and the cumulative claim is consolidated in</w:t>
      </w:r>
      <w:r>
        <w:t xml:space="preserve"> </w:t>
      </w:r>
      <w:r>
        <w:t xml:space="preserve">PCMR-001</w:t>
      </w:r>
      <w:r>
        <w:t xml:space="preserve"> </w:t>
      </w:r>
      <w:r>
        <w:t xml:space="preserve">(International Council for Harmonisation 2023a)</w:t>
      </w:r>
      <w:r>
        <w:t xml:space="preserve">. No single step carries the whole claim.</w:t>
      </w:r>
    </w:p>
    <w:p>
      <w:pPr>
        <w:pStyle w:val="BodyText"/>
      </w:pPr>
      <w:r>
        <w:t xml:space="preserve">Two steps neither form nor clear a quality attribute. Harvest and clarification (Step 4)</w:t>
      </w:r>
      <w:r>
        <w:t xml:space="preserve"> </w:t>
      </w:r>
      <w:r>
        <w:t xml:space="preserve">recovers the culture, and the final ultrafiltration and diafiltration step (Step 10)</w:t>
      </w:r>
      <w:r>
        <w:t xml:space="preserve"> </w:t>
      </w:r>
      <w:r>
        <w:t xml:space="preserve">concentrates the product and exchanges it into the formulation buffer. Both transfer and</w:t>
      </w:r>
      <w:r>
        <w:t xml:space="preserve"> </w:t>
      </w:r>
      <w:r>
        <w:t xml:space="preserve">qualify like every other step, but their parameters are keyed to process performance and</w:t>
      </w:r>
      <w:r>
        <w:t xml:space="preserve"> </w:t>
      </w:r>
      <w:r>
        <w:t xml:space="preserve">mass balance instead of to a quality attribute.</w:t>
      </w:r>
    </w:p>
    <w:bookmarkEnd w:id="15"/>
    <w:bookmarkStart w:id="17" w:name="sending-and-receiving-sites"/>
    <w:p>
      <w:pPr>
        <w:pStyle w:val="Heading1"/>
      </w:pPr>
      <w:r>
        <w:t xml:space="preserve">3. Sending and receiving sites</w:t>
      </w:r>
    </w:p>
    <w:p>
      <w:pPr>
        <w:pStyle w:val="FirstParagraph"/>
      </w:pPr>
      <w:r>
        <w:t xml:space="preserve">The sending site is Novacyte Biologics — Cambridge, MA (Development) and the receiving site is</w:t>
      </w:r>
      <w:r>
        <w:t xml:space="preserve"> </w:t>
      </w:r>
      <w:r>
        <w:t xml:space="preserve">Novacyte Biologics — Grafton, WI (Commercial DS), and both operate under one pharmaceutical quality system, one</w:t>
      </w:r>
      <w:r>
        <w:t xml:space="preserve"> </w:t>
      </w:r>
      <w:r>
        <w:t xml:space="preserve">change control system and one deviation management system</w:t>
      </w:r>
      <w:r>
        <w:t xml:space="preserve"> </w:t>
      </w:r>
      <w:r>
        <w:t xml:space="preserve">(International Council for Harmonisation 2008)</w:t>
      </w:r>
      <w:r>
        <w:t xml:space="preserve">.</w:t>
      </w:r>
      <w:r>
        <w:t xml:space="preserve"> </w:t>
      </w:r>
      <w:hyperlink w:anchor="tbl-site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</w:t>
      </w:r>
      <w:r>
        <w:t xml:space="preserve"> </w:t>
      </w:r>
      <w:r>
        <w:t xml:space="preserve">activities each site holds once the transfer is complete.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i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Activities held by each site after transfer.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Activity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Held by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and optimization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 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Scale-down model operation and qualification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 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Characterization studies and their reports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 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method validation and reference materials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 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 strategy definition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 site, approved by Quality Assurance at both sites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Commercial manufacture of drug substance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 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Batch record execution and in-process control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 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Release and in-process testing, after method transfer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 site quality control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performance qualification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 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Change control after handover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 site, with sending site review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Development work does not stop at handover. The sending site keeps the scale-down models,</w:t>
      </w:r>
      <w:r>
        <w:t xml:space="preserve"> </w:t>
      </w:r>
      <w:r>
        <w:t xml:space="preserve">the characterization data and the analytical reference materials, so that a question</w:t>
      </w:r>
      <w:r>
        <w:t xml:space="preserve"> </w:t>
      </w:r>
      <w:r>
        <w:t xml:space="preserve">raised during qualification at the receiving site can be answered on the same model that</w:t>
      </w:r>
      <w:r>
        <w:t xml:space="preserve"> </w:t>
      </w:r>
      <w:r>
        <w:t xml:space="preserve">generated the original data. The receiving site owns execution from the point at which</w:t>
      </w:r>
      <w:r>
        <w:t xml:space="preserve"> </w:t>
      </w:r>
      <w:r>
        <w:t xml:space="preserve">the master batch record is approved, and it owns any subsequent change to the process,</w:t>
      </w:r>
      <w:r>
        <w:t xml:space="preserve"> </w:t>
      </w:r>
      <w:r>
        <w:t xml:space="preserve">with the sending site as a named reviewer.</w:t>
      </w:r>
    </w:p>
    <w:bookmarkEnd w:id="17"/>
    <w:bookmarkStart w:id="19" w:name="site-equivalency-analysis"/>
    <w:p>
      <w:pPr>
        <w:pStyle w:val="Heading1"/>
      </w:pPr>
      <w:r>
        <w:t xml:space="preserve">4. Site equivalency analysis</w:t>
      </w:r>
    </w:p>
    <w:p>
      <w:pPr>
        <w:pStyle w:val="FirstParagraph"/>
      </w:pPr>
      <w:r>
        <w:t xml:space="preserve">The receiving site is able to operate the process as it was developed, and that conclusion</w:t>
      </w:r>
      <w:r>
        <w:t xml:space="preserve"> </w:t>
      </w:r>
      <w:r>
        <w:t xml:space="preserve">rests on a comparison across five dimensions, namely the equipment train, the scale,</w:t>
      </w:r>
      <w:r>
        <w:t xml:space="preserve"> </w:t>
      </w:r>
      <w:r>
        <w:t xml:space="preserve">process control capability, utilities and materials, and analytical capability, with the</w:t>
      </w:r>
      <w:r>
        <w:t xml:space="preserve"> </w:t>
      </w:r>
      <w:r>
        <w:t xml:space="preserve">quality system common to both sites.</w:t>
      </w:r>
      <w:r>
        <w:t xml:space="preserve"> </w:t>
      </w:r>
      <w:hyperlink w:anchor="tbl-equiv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gives the comparison, and two of the five</w:t>
      </w:r>
      <w:r>
        <w:t xml:space="preserve"> </w:t>
      </w:r>
      <w:r>
        <w:t xml:space="preserve">dimensions differ in a way that affects the process, each of those differences carrying an</w:t>
      </w:r>
      <w:r>
        <w:t xml:space="preserve"> </w:t>
      </w:r>
      <w:r>
        <w:t xml:space="preserve">action.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equi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Site equivalency comparison across the dimensions that affect the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Dimension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 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 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Assessment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Equipment train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Scale-down model of every unit operation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Commercial train of the same class and sequence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Equivalent in class and sequence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Scale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Bench and pilot scale-down systems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Commercial scale (§2)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Differs by design; scale-dependent parameters matched on performance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control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Development control systems and single-unit skids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Plant control system with recipe management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Assessed per parameter against the range the process needs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Utilities and materials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Compendial and vendor-qualified supply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Same specifications, commercial supply chain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Equivalent, subject to vendor qualification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capability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Methods validated at the sending site (</w:t>
                  </w:r>
                  <w:hyperlink w:anchor="tbl-sop">
                    <w:r>
                      <w:rPr>
                        <w:rStyle w:val="Hyperlink"/>
                      </w:rPr>
                      <w:t xml:space="preserve">Table 8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control laboratory, methods to be transferred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Equivalent after method transfer (§6.2)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system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quality system and one change control system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quality system and one change control system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Common to both sites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Scale is the first difference and it is structural. The sending site holds scale-down</w:t>
      </w:r>
      <w:r>
        <w:t xml:space="preserve"> </w:t>
      </w:r>
      <w:r>
        <w:t xml:space="preserve">models of every unit operation, and the receiving site holds the commercial train, whose</w:t>
      </w:r>
      <w:r>
        <w:t xml:space="preserve"> </w:t>
      </w:r>
      <w:r>
        <w:t xml:space="preserve">production bioreactor works at 15,000 L. Parameters that are independent of</w:t>
      </w:r>
      <w:r>
        <w:t xml:space="preserve"> </w:t>
      </w:r>
      <w:r>
        <w:t xml:space="preserve">scale carry across unchanged, because they are properties of the chemistry and not of the</w:t>
      </w:r>
      <w:r>
        <w:t xml:space="preserve"> </w:t>
      </w:r>
      <w:r>
        <w:t xml:space="preserve">vessel. Culture pH, temperature, protein load, conductivity, elution pH and hold time mean</w:t>
      </w:r>
      <w:r>
        <w:t xml:space="preserve"> </w:t>
      </w:r>
      <w:r>
        <w:t xml:space="preserve">the same thing in a bench model as they do in a commercial vessel. Parameters that depend</w:t>
      </w:r>
      <w:r>
        <w:t xml:space="preserve"> </w:t>
      </w:r>
      <w:r>
        <w:t xml:space="preserve">on the geometry of the vessel or the column do not carry across in the same way, so they</w:t>
      </w:r>
      <w:r>
        <w:t xml:space="preserve"> </w:t>
      </w:r>
      <w:r>
        <w:t xml:space="preserve">are matched on the performance they produce instead of on the value set at the panel. Each</w:t>
      </w:r>
      <w:r>
        <w:t xml:space="preserve"> </w:t>
      </w:r>
      <w:r>
        <w:t xml:space="preserve">scale-down model qualification records that matching (SOP-1001), and the per-step</w:t>
      </w:r>
      <w:r>
        <w:t xml:space="preserve"> </w:t>
      </w:r>
      <w:r>
        <w:t xml:space="preserve">characterization plans (PCP-003 through PCP-010) describe it for the step they cover.</w:t>
      </w:r>
    </w:p>
    <w:p>
      <w:pPr>
        <w:pStyle w:val="BodyText"/>
      </w:pPr>
      <w:r>
        <w:t xml:space="preserve">Control capability is the second difference, and it is the one that decides how tightly a</w:t>
      </w:r>
      <w:r>
        <w:t xml:space="preserve"> </w:t>
      </w:r>
      <w:r>
        <w:t xml:space="preserve">parameter has to be held. A range that is wide relative to what the equipment can hold is</w:t>
      </w:r>
      <w:r>
        <w:t xml:space="preserve"> </w:t>
      </w:r>
      <w:r>
        <w:t xml:space="preserve">a different proposition from a range the equipment can only just achieve, and the</w:t>
      </w:r>
      <w:r>
        <w:t xml:space="preserve"> </w:t>
      </w:r>
      <w:r>
        <w:t xml:space="preserve">classification scheme used across the campaign takes that into account (SOP-4001). Each</w:t>
      </w:r>
      <w:r>
        <w:t xml:space="preserve"> </w:t>
      </w:r>
      <w:r>
        <w:t xml:space="preserve">classification is therefore made against the control capability of the receiving site’s</w:t>
      </w:r>
      <w:r>
        <w:t xml:space="preserve"> </w:t>
      </w:r>
      <w:r>
        <w:t xml:space="preserve">equipment, and not against what a development rig can hold. Capability is measured, not</w:t>
      </w:r>
      <w:r>
        <w:t xml:space="preserve"> </w:t>
      </w:r>
      <w:r>
        <w:t xml:space="preserve">assumed. The receiving site supplies control capability data for every parameter in</w:t>
      </w:r>
      <w:r>
        <w:t xml:space="preserve"> </w:t>
      </w:r>
      <w:hyperlink w:anchor="tbl-scope">
        <w:r>
          <w:rPr>
            <w:rStyle w:val="Hyperlink"/>
          </w:rPr>
          <w:t xml:space="preserve">Table 6</w:t>
        </w:r>
      </w:hyperlink>
      <w:r>
        <w:t xml:space="preserve">, and those data are an input to the classification recorded in each</w:t>
      </w:r>
      <w:r>
        <w:t xml:space="preserve"> </w:t>
      </w:r>
      <w:r>
        <w:t xml:space="preserve">characterization report.</w:t>
      </w:r>
    </w:p>
    <w:p>
      <w:pPr>
        <w:pStyle w:val="BodyText"/>
      </w:pPr>
      <w:r>
        <w:t xml:space="preserve">Utilities and raw materials were compared on grade and on supply, not on supplier</w:t>
      </w:r>
      <w:r>
        <w:t xml:space="preserve"> </w:t>
      </w:r>
      <w:r>
        <w:t xml:space="preserve">identity. The utilities the process depends on (water, process gases, clean steam) and the</w:t>
      </w:r>
      <w:r>
        <w:t xml:space="preserve"> </w:t>
      </w:r>
      <w:r>
        <w:t xml:space="preserve">consumables it depends on (buffers, media, single-use components, chromatography resins)</w:t>
      </w:r>
      <w:r>
        <w:t xml:space="preserve"> </w:t>
      </w:r>
      <w:r>
        <w:t xml:space="preserve">meet the same specifications at both sites. Materials are bought from the same vendors</w:t>
      </w:r>
      <w:r>
        <w:t xml:space="preserve"> </w:t>
      </w:r>
      <w:r>
        <w:t xml:space="preserve">wherever the vendor is qualified for commercial supply. Where a vendor is not qualified,</w:t>
      </w:r>
      <w:r>
        <w:t xml:space="preserve"> </w:t>
      </w:r>
      <w:r>
        <w:t xml:space="preserve">the substitution is handled as a raw material change under change control, together with</w:t>
      </w:r>
      <w:r>
        <w:t xml:space="preserve"> </w:t>
      </w:r>
      <w:r>
        <w:t xml:space="preserve">an assessment of the attribute that the material touches.</w:t>
      </w:r>
    </w:p>
    <w:p>
      <w:pPr>
        <w:pStyle w:val="BodyText"/>
      </w:pPr>
      <w:r>
        <w:t xml:space="preserve">Analytical capability is equivalent in scope and is not yet in place. The methods the</w:t>
      </w:r>
      <w:r>
        <w:t xml:space="preserve"> </w:t>
      </w:r>
      <w:r>
        <w:t xml:space="preserve">process needs are validated at the sending site, and</w:t>
      </w:r>
      <w:r>
        <w:t xml:space="preserve"> </w:t>
      </w:r>
      <w:hyperlink w:anchor="tbl-sop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is the register of those</w:t>
      </w:r>
      <w:r>
        <w:t xml:space="preserve"> </w:t>
      </w:r>
      <w:r>
        <w:t xml:space="preserve">validations. Each of them has to be transferred to the receiving site’s quality control</w:t>
      </w:r>
      <w:r>
        <w:t xml:space="preserve"> </w:t>
      </w:r>
      <w:r>
        <w:t xml:space="preserve">laboratory and requalified there before it can support a release decision or an in-process</w:t>
      </w:r>
      <w:r>
        <w:t xml:space="preserve"> </w:t>
      </w:r>
      <w:r>
        <w:t xml:space="preserve">decision. The way that is done is set out in §6.2, and the residual risk is carried in the</w:t>
      </w:r>
      <w:r>
        <w:t xml:space="preserve"> </w:t>
      </w:r>
      <w:r>
        <w:t xml:space="preserve">gap register (</w:t>
      </w:r>
      <w:hyperlink w:anchor="tbl-gaps">
        <w:r>
          <w:rPr>
            <w:rStyle w:val="Hyperlink"/>
          </w:rPr>
          <w:t xml:space="preserve">Table 11</w:t>
        </w:r>
      </w:hyperlink>
      <w:r>
        <w:t xml:space="preserve">).</w:t>
      </w:r>
    </w:p>
    <w:p>
      <w:pPr>
        <w:pStyle w:val="BodyText"/>
      </w:pPr>
      <w:r>
        <w:t xml:space="preserve">The comparison shows that the receiving site holds equipment of the same class in the same</w:t>
      </w:r>
      <w:r>
        <w:t xml:space="preserve"> </w:t>
      </w:r>
      <w:r>
        <w:t xml:space="preserve">sequence, under the same quality system, and it fixes the control capability data the</w:t>
      </w:r>
      <w:r>
        <w:t xml:space="preserve"> </w:t>
      </w:r>
      <w:r>
        <w:t xml:space="preserve">receiving site has to supply for every parameter in</w:t>
      </w:r>
      <w:r>
        <w:t xml:space="preserve"> </w:t>
      </w:r>
      <w:hyperlink w:anchor="tbl-scope">
        <w:r>
          <w:rPr>
            <w:rStyle w:val="Hyperlink"/>
          </w:rPr>
          <w:t xml:space="preserve">Table 6</w:t>
        </w:r>
      </w:hyperlink>
      <w:r>
        <w:t xml:space="preserve">. It does not show that the</w:t>
      </w:r>
      <w:r>
        <w:t xml:space="preserve"> </w:t>
      </w:r>
      <w:r>
        <w:t xml:space="preserve">equipment holds every parameter to the range the process needs, which is established</w:t>
      </w:r>
      <w:r>
        <w:t xml:space="preserve"> </w:t>
      </w:r>
      <w:r>
        <w:t xml:space="preserve">parameter by parameter when those data are assessed in the characterization reports. It</w:t>
      </w:r>
      <w:r>
        <w:t xml:space="preserve"> </w:t>
      </w:r>
      <w:r>
        <w:t xml:space="preserve">does not show that the process performs identically at the two sites either, and no</w:t>
      </w:r>
      <w:r>
        <w:t xml:space="preserve"> </w:t>
      </w:r>
      <w:r>
        <w:t xml:space="preserve">comparison made on paper can show that. Equivalence of performance comes from the</w:t>
      </w:r>
      <w:r>
        <w:t xml:space="preserve"> </w:t>
      </w:r>
      <w:r>
        <w:t xml:space="preserve">comparability data described in §5 and from the qualification batches described in §7. The</w:t>
      </w:r>
      <w:r>
        <w:t xml:space="preserve"> </w:t>
      </w:r>
      <w:r>
        <w:t xml:space="preserve">design space itself is defined on qualified scale-down models and is not confirmed at</w:t>
      </w:r>
      <w:r>
        <w:t xml:space="preserve"> </w:t>
      </w:r>
      <w:r>
        <w:t xml:space="preserve">commercial scale at the edges of its ranges.</w:t>
      </w:r>
    </w:p>
    <w:bookmarkEnd w:id="19"/>
    <w:bookmarkStart w:id="22" w:name="Xda6c0e177276543d07db4d8b8a4a28714e3ed7b"/>
    <w:p>
      <w:pPr>
        <w:pStyle w:val="Heading1"/>
      </w:pPr>
      <w:r>
        <w:t xml:space="preserve">5. Scale-down model and comparability strategy</w:t>
      </w:r>
    </w:p>
    <w:p>
      <w:pPr>
        <w:pStyle w:val="FirstParagraph"/>
      </w:pPr>
      <w:r>
        <w:t xml:space="preserve">The characterization that justifies the receiving site’s operating ranges is executed on</w:t>
      </w:r>
      <w:r>
        <w:t xml:space="preserve"> </w:t>
      </w:r>
      <w:r>
        <w:t xml:space="preserve">qualified scale-down models and not at commercial scale. That is the usual approach for a</w:t>
      </w:r>
      <w:r>
        <w:t xml:space="preserve"> </w:t>
      </w:r>
      <w:r>
        <w:t xml:space="preserve">process of this kind, and it carries one condition. A scale-down model may support a range</w:t>
      </w:r>
      <w:r>
        <w:t xml:space="preserve"> </w:t>
      </w:r>
      <w:r>
        <w:t xml:space="preserve">claim only where it has been qualified against data at scale for the step it represents</w:t>
      </w:r>
      <w:r>
        <w:t xml:space="preserve"> </w:t>
      </w:r>
      <w:r>
        <w:t xml:space="preserve">(SOP-1001).</w:t>
      </w:r>
    </w:p>
    <w:p>
      <w:pPr>
        <w:pStyle w:val="BodyText"/>
      </w:pPr>
      <w:r>
        <w:t xml:space="preserve">Qualification follows the same pattern at every step, in that variables which are</w:t>
      </w:r>
      <w:r>
        <w:t xml:space="preserve"> </w:t>
      </w:r>
      <w:r>
        <w:t xml:space="preserve">independent of scale are operated at the commercial target values, and variables which</w:t>
      </w:r>
      <w:r>
        <w:t xml:space="preserve"> </w:t>
      </w:r>
      <w:r>
        <w:t xml:space="preserve">depend on scale are set so that the small system reproduces the performance of the large</w:t>
      </w:r>
      <w:r>
        <w:t xml:space="preserve"> </w:t>
      </w:r>
      <w:r>
        <w:t xml:space="preserve">one. The model is then run at the centre point in replicate, and its input and output</w:t>
      </w:r>
      <w:r>
        <w:t xml:space="preserve"> </w:t>
      </w:r>
      <w:r>
        <w:t xml:space="preserve">attributes (titre, impurity levels, step yield, the quality attributes the step governs)</w:t>
      </w:r>
      <w:r>
        <w:t xml:space="preserve"> </w:t>
      </w:r>
      <w:r>
        <w:t xml:space="preserve">are compared with data from the development and clinical campaigns at scale. Those</w:t>
      </w:r>
      <w:r>
        <w:t xml:space="preserve"> </w:t>
      </w:r>
      <w:r>
        <w:t xml:space="preserve">replicate centre points also give the pure error term that the lack-of-fit test in each</w:t>
      </w:r>
      <w:r>
        <w:t xml:space="preserve"> </w:t>
      </w:r>
      <w:r>
        <w:t xml:space="preserve">design of experiments study needs, so model qualification and study design draw on the</w:t>
      </w:r>
      <w:r>
        <w:t xml:space="preserve"> </w:t>
      </w:r>
      <w:r>
        <w:t xml:space="preserve">same runs.</w:t>
      </w:r>
    </w:p>
    <w:p>
      <w:pPr>
        <w:pStyle w:val="BodyText"/>
      </w:pPr>
      <w:hyperlink w:anchor="tbl-scope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 characterization scope for each step and names the documents that</w:t>
      </w:r>
      <w:r>
        <w:t xml:space="preserve"> </w:t>
      </w:r>
      <w:r>
        <w:t xml:space="preserve">carry it. Of the 37 parameters in the process, 22 are studied</w:t>
      </w:r>
      <w:r>
        <w:t xml:space="preserve"> </w:t>
      </w:r>
      <w:r>
        <w:t xml:space="preserve">in multivariate designs and 15 are assessed one factor at a time. The split is</w:t>
      </w:r>
      <w:r>
        <w:t xml:space="preserve"> </w:t>
      </w:r>
      <w:r>
        <w:t xml:space="preserve">set by the pre-characterization risk assessment (RA-001) from the potential impact of a</w:t>
      </w:r>
      <w:r>
        <w:t xml:space="preserve"> </w:t>
      </w:r>
      <w:r>
        <w:t xml:space="preserve">parameter on a quality attribute and its potential to interact with other parameters, and</w:t>
      </w:r>
      <w:r>
        <w:t xml:space="preserve"> </w:t>
      </w:r>
      <w:r>
        <w:t xml:space="preserve">it is not revisited in this plan</w:t>
      </w:r>
      <w:r>
        <w:t xml:space="preserve"> </w:t>
      </w:r>
      <w:r>
        <w:t xml:space="preserve">(International Council for Harmonisation 2023b)</w:t>
      </w:r>
      <w:r>
        <w:t xml:space="preserve">. Two steps carry no multivariate study at all,</w:t>
      </w:r>
      <w:r>
        <w:t xml:space="preserve"> </w:t>
      </w:r>
      <w:r>
        <w:t xml:space="preserve">harvest and clarification (Step 4) and ultrafiltration and diafiltration (Step 10), because</w:t>
      </w:r>
      <w:r>
        <w:t xml:space="preserve"> </w:t>
      </w:r>
      <w:r>
        <w:t xml:space="preserve">neither of them forms or clears a quality attribute.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sco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Characterization scope by step, with the plan and report that cover it.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03"/>
              <w:gridCol w:w="2564"/>
              <w:gridCol w:w="1056"/>
              <w:gridCol w:w="1206"/>
              <w:gridCol w:w="1056"/>
              <w:gridCol w:w="14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Multivariate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 / 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 / PCR-004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 / 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 / PCR-006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 / PCR-007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 / PCR-008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 / PCR-009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 / PCR-010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The plans that execute this scope on the scale-down models are PCP-003 through PCP-010,</w:t>
      </w:r>
      <w:r>
        <w:t xml:space="preserve"> </w:t>
      </w:r>
      <w:r>
        <w:t xml:space="preserve">one for each step, and each names the model it uses and the qualification that supports it.</w:t>
      </w:r>
      <w:r>
        <w:t xml:space="preserve"> </w:t>
      </w:r>
      <w:hyperlink w:anchor="tbl-equip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lists the instrumented systems the studies run on, and those systems are held</w:t>
      </w:r>
      <w:r>
        <w:t xml:space="preserve"> </w:t>
      </w:r>
      <w:r>
        <w:t xml:space="preserve">under calibration and change control at the sending site, with their calibration and</w:t>
      </w:r>
      <w:r>
        <w:t xml:space="preserve"> </w:t>
      </w:r>
      <w:r>
        <w:t xml:space="preserve">maintenance records forming part of the data package the receiving site receives.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equi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Instrumented scale-down systems used in the characterization studies.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Equipment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EQ-CHR-118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temperature-controlled chromatography chamber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EQ-BRX-205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scale-down bioreactor pCO2 probe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EQ-TFF-142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TFF skid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Comparability between the sites is demonstrated on material and not on documents.</w:t>
      </w:r>
      <w:r>
        <w:t xml:space="preserve"> </w:t>
      </w:r>
      <w:r>
        <w:t xml:space="preserve">Engineering runs at the receiving site are executed at the set-points, with every parameter</w:t>
      </w:r>
      <w:r>
        <w:t xml:space="preserve"> </w:t>
      </w:r>
      <w:r>
        <w:t xml:space="preserve">inside its normal operating range, and the resulting in-process attributes, step yields and</w:t>
      </w:r>
      <w:r>
        <w:t xml:space="preserve"> </w:t>
      </w:r>
      <w:r>
        <w:t xml:space="preserve">drug substance quality attributes are compared with the sending site’s data and with the</w:t>
      </w:r>
      <w:r>
        <w:t xml:space="preserve"> </w:t>
      </w:r>
      <w:r>
        <w:t xml:space="preserve">acceptance criteria in</w:t>
      </w:r>
      <w:r>
        <w:t xml:space="preserve"> </w:t>
      </w:r>
      <w:hyperlink w:anchor="tbl-cqa">
        <w:r>
          <w:rPr>
            <w:rStyle w:val="Hyperlink"/>
          </w:rPr>
          <w:t xml:space="preserve">Table 10</w:t>
        </w:r>
      </w:hyperlink>
      <w:r>
        <w:t xml:space="preserve">. The comparison is made step by step and then across the</w:t>
      </w:r>
      <w:r>
        <w:t xml:space="preserve"> </w:t>
      </w:r>
      <w:r>
        <w:t xml:space="preserve">train, because an impurity that three steps clear in series cannot be assessed at any one</w:t>
      </w:r>
      <w:r>
        <w:t xml:space="preserve"> </w:t>
      </w:r>
      <w:r>
        <w:t xml:space="preserve">of them alone. Where an attribute falls outside the expected distribution, the difference</w:t>
      </w:r>
      <w:r>
        <w:t xml:space="preserve"> </w:t>
      </w:r>
      <w:r>
        <w:t xml:space="preserve">is investigated and closed in the receiving site’s quality system before the qualification</w:t>
      </w:r>
      <w:r>
        <w:t xml:space="preserve"> </w:t>
      </w:r>
      <w:r>
        <w:t xml:space="preserve">batches start.</w:t>
      </w:r>
    </w:p>
    <w:bookmarkEnd w:id="22"/>
    <w:bookmarkStart w:id="29" w:name="X89997eaec9c0441c8e9b70e6350cb6b0de174ef"/>
    <w:p>
      <w:pPr>
        <w:pStyle w:val="Heading1"/>
      </w:pPr>
      <w:r>
        <w:t xml:space="preserve">6. Transfer of the process, methods and control strategy</w:t>
      </w:r>
    </w:p>
    <w:p>
      <w:pPr>
        <w:pStyle w:val="FirstParagraph"/>
      </w:pPr>
      <w:r>
        <w:t xml:space="preserve">Transfer runs in three streams, which are the manufacturing process, the analytical</w:t>
      </w:r>
      <w:r>
        <w:t xml:space="preserve"> </w:t>
      </w:r>
      <w:r>
        <w:t xml:space="preserve">methods and the control strategy. Each stream has its own deliverables and its own</w:t>
      </w:r>
      <w:r>
        <w:t xml:space="preserve"> </w:t>
      </w:r>
      <w:r>
        <w:t xml:space="preserve">approval, and none of them is complete until Quality Assurance at both sites has signed</w:t>
      </w:r>
      <w:r>
        <w:t xml:space="preserve"> </w:t>
      </w:r>
      <w:r>
        <w:t xml:space="preserve">it. The streams are not independent and their sequence matters, because a method has to be</w:t>
      </w:r>
      <w:r>
        <w:t xml:space="preserve"> </w:t>
      </w:r>
      <w:r>
        <w:t xml:space="preserve">in place at the receiving site before the engineering runs can be assessed, and the control</w:t>
      </w:r>
      <w:r>
        <w:t xml:space="preserve"> </w:t>
      </w:r>
      <w:r>
        <w:t xml:space="preserve">strategy cannot be finalized until the characterization reports it draws on are approved.</w:t>
      </w:r>
    </w:p>
    <w:bookmarkStart w:id="24" w:name="manufacturing-process"/>
    <w:p>
      <w:pPr>
        <w:pStyle w:val="Heading2"/>
      </w:pPr>
      <w:r>
        <w:t xml:space="preserve">6.1 Manufacturing process</w:t>
      </w:r>
    </w:p>
    <w:p>
      <w:pPr>
        <w:pStyle w:val="FirstParagraph"/>
      </w:pPr>
      <w:r>
        <w:t xml:space="preserve">The manufacturing process transfers as a document set and as a training obligation. The</w:t>
      </w:r>
      <w:r>
        <w:t xml:space="preserve"> </w:t>
      </w:r>
      <w:r>
        <w:t xml:space="preserve">sending site issues the process description, the parameter set-points with their normal</w:t>
      </w:r>
      <w:r>
        <w:t xml:space="preserve"> </w:t>
      </w:r>
      <w:r>
        <w:t xml:space="preserve">operating ranges, the in-process control points with their action limits, and the sampling</w:t>
      </w:r>
      <w:r>
        <w:t xml:space="preserve"> </w:t>
      </w:r>
      <w:r>
        <w:t xml:space="preserve">plan for each of the 8 unit operations. The receiving site converts these</w:t>
      </w:r>
      <w:r>
        <w:t xml:space="preserve"> </w:t>
      </w:r>
      <w:r>
        <w:t xml:space="preserve">into its own master batch records and into the recipe configuration held in the plant</w:t>
      </w:r>
      <w:r>
        <w:t xml:space="preserve"> </w:t>
      </w:r>
      <w:r>
        <w:t xml:space="preserve">control system. Both sites then reconcile the batch record against the process description</w:t>
      </w:r>
      <w:r>
        <w:t xml:space="preserve"> </w:t>
      </w:r>
      <w:r>
        <w:t xml:space="preserve">line by line, and Manufacturing Science at each site signs the reconciliation before any</w:t>
      </w:r>
      <w:r>
        <w:t xml:space="preserve"> </w:t>
      </w:r>
      <w:r>
        <w:t xml:space="preserve">material is charged. Operator training is documented before execution.</w:t>
      </w:r>
    </w:p>
    <w:p>
      <w:pPr>
        <w:pStyle w:val="BodyText"/>
      </w:pPr>
      <w:r>
        <w:t xml:space="preserve">The parameter set is what that reconciliation is checked against, and all</w:t>
      </w:r>
      <w:r>
        <w:t xml:space="preserve"> </w:t>
      </w:r>
      <w:r>
        <w:t xml:space="preserve">37 parameters appear in the batch record with their set-point and their</w:t>
      </w:r>
      <w:r>
        <w:t xml:space="preserve"> </w:t>
      </w:r>
      <w:r>
        <w:t xml:space="preserve">normal operating range, whatever their classification, so that an excursion is recognized</w:t>
      </w:r>
      <w:r>
        <w:t xml:space="preserve"> </w:t>
      </w:r>
      <w:r>
        <w:t xml:space="preserve">when it happens and not at batch review. Classification decides what an excursion means</w:t>
      </w:r>
      <w:r>
        <w:t xml:space="preserve"> </w:t>
      </w:r>
      <w:r>
        <w:t xml:space="preserve">and what has to be done about it, and not whether the value is recorded at all.</w:t>
      </w:r>
    </w:p>
    <w:p>
      <w:pPr>
        <w:pStyle w:val="BodyText"/>
      </w:pPr>
      <w:hyperlink w:anchor="tbl-sop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lists the procedures and method validation records cited across the package, all</w:t>
      </w:r>
      <w:r>
        <w:t xml:space="preserve"> </w:t>
      </w:r>
      <w:r>
        <w:t xml:space="preserve">of which are sending site documents. Each of them needs an equivalent in the receiving</w:t>
      </w:r>
      <w:r>
        <w:t xml:space="preserve"> </w:t>
      </w:r>
      <w:r>
        <w:t xml:space="preserve">site’s system, and the mapping between the two sets is a deliverable of the transfer (§10).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Controlled documents cited across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65"/>
              <w:gridCol w:w="5790"/>
              <w:gridCol w:w="126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by Continuous Disk-Stack Centrifugation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Clarification by Depth and Sterile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Protein A Capture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Low-pH Viral Inactivation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Cation-Exchange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Anion-Exchange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and Post-Use Integrity Testing of the Small-Virus Retentive Filtration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Ultrafiltration / Diafiltration (Formulation)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Concentration by A280 (UV)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3"/>
          <w:p/>
        </w:tc>
      </w:tr>
    </w:tbl>
    <w:bookmarkEnd w:id="24"/>
    <w:bookmarkStart w:id="26" w:name="analytical-methods"/>
    <w:p>
      <w:pPr>
        <w:pStyle w:val="Heading2"/>
      </w:pPr>
      <w:r>
        <w:t xml:space="preserve">6.2 Analytical methods</w:t>
      </w:r>
    </w:p>
    <w:p>
      <w:pPr>
        <w:pStyle w:val="FirstParagraph"/>
      </w:pPr>
      <w:r>
        <w:t xml:space="preserve">Analytical method transfer sits on the critical path, because no batch is released and no</w:t>
      </w:r>
      <w:r>
        <w:t xml:space="preserve"> </w:t>
      </w:r>
      <w:r>
        <w:t xml:space="preserve">comparability claim is made until the receiving site’s laboratory can run the methods that</w:t>
      </w:r>
      <w:r>
        <w:t xml:space="preserve"> </w:t>
      </w:r>
      <w:r>
        <w:t xml:space="preserve">measure the attributes in question.</w:t>
      </w:r>
      <w:r>
        <w:t xml:space="preserve"> </w:t>
      </w:r>
      <w:hyperlink w:anchor="tbl-methods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gives the validated performance of the</w:t>
      </w:r>
      <w:r>
        <w:t xml:space="preserve"> </w:t>
      </w:r>
      <w:r>
        <w:t xml:space="preserve">methods for which performance records are held, which is the intermediate precision, the</w:t>
      </w:r>
      <w:r>
        <w:t xml:space="preserve"> </w:t>
      </w:r>
      <w:r>
        <w:t xml:space="preserve">limit of quantitation, the accuracy and the share of the observed variability that the</w:t>
      </w:r>
      <w:r>
        <w:t xml:space="preserve"> </w:t>
      </w:r>
      <w:r>
        <w:t xml:space="preserve">method itself contributes. The register of the validations themselves is</w:t>
      </w:r>
      <w:r>
        <w:t xml:space="preserve"> </w:t>
      </w:r>
      <w:hyperlink w:anchor="tbl-sop">
        <w:r>
          <w:rPr>
            <w:rStyle w:val="Hyperlink"/>
          </w:rPr>
          <w:t xml:space="preserve">Table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Validated performance records held for the analytical methods.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69"/>
              <w:gridCol w:w="2734"/>
              <w:gridCol w:w="1481"/>
              <w:gridCol w:w="1196"/>
              <w:gridCol w:w="911"/>
              <w:gridCol w:w="102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Intermediate precision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 share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AMV-3221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 by SEC-HPLC (verification-qualified)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3.8 %RSD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0.2 % HMW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6.5 %RSD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0.25 ppm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 log10 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 log10 TCID50/mL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Concentration by A280 (UV)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1.2 %RSD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 g/L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2.5 %RSD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0.5 % glycan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4 %RSD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 NTU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0.32 log10 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 log10 TCID50/mL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9.5 %RSD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 ng/mg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Acceptance criteria for each method transfer are set from those records, and the receiving</w:t>
      </w:r>
      <w:r>
        <w:t xml:space="preserve"> </w:t>
      </w:r>
      <w:r>
        <w:t xml:space="preserve">site runs the method on split samples alongside the sending site, with the criterion for</w:t>
      </w:r>
      <w:r>
        <w:t xml:space="preserve"> </w:t>
      </w:r>
      <w:r>
        <w:t xml:space="preserve">agreement derived from the intermediate precision recorded in the method’s validation</w:t>
      </w:r>
      <w:r>
        <w:t xml:space="preserve"> </w:t>
      </w:r>
      <w:r>
        <w:t xml:space="preserve">report. Two methods need more attention than the rest. AMV-3016 and</w:t>
      </w:r>
      <w:r>
        <w:t xml:space="preserve"> </w:t>
      </w:r>
      <w:r>
        <w:t xml:space="preserve">AMV-3012 contribute the largest shares of the observed variability, at</w:t>
      </w:r>
      <w:r>
        <w:t xml:space="preserve"> </w:t>
      </w:r>
      <w:r>
        <w:t xml:space="preserve">0.41 and</w:t>
      </w:r>
      <w:r>
        <w:t xml:space="preserve"> </w:t>
      </w:r>
      <w:r>
        <w:t xml:space="preserve">0.40, and AMV-3012 is also</w:t>
      </w:r>
      <w:r>
        <w:t xml:space="preserve"> </w:t>
      </w:r>
      <w:r>
        <w:t xml:space="preserve">the least precise of the methods that transfer, at</w:t>
      </w:r>
      <w:r>
        <w:t xml:space="preserve"> </w:t>
      </w:r>
      <w:r>
        <w:t xml:space="preserve">9.5 %RSD. Both measure impurities that the</w:t>
      </w:r>
      <w:r>
        <w:t xml:space="preserve"> </w:t>
      </w:r>
      <w:r>
        <w:t xml:space="preserve">purification train exists to clear, so a difference between the two laboratories in either</w:t>
      </w:r>
      <w:r>
        <w:t xml:space="preserve"> </w:t>
      </w:r>
      <w:r>
        <w:t xml:space="preserve">method would present as a difference in process performance.</w:t>
      </w:r>
    </w:p>
    <w:p>
      <w:pPr>
        <w:pStyle w:val="BodyText"/>
      </w:pPr>
      <w:r>
        <w:t xml:space="preserve">Critical reagents are the practical risk in transferring an immunoassay. The HCP assay and</w:t>
      </w:r>
      <w:r>
        <w:t xml:space="preserve"> </w:t>
      </w:r>
      <w:r>
        <w:t xml:space="preserve">the leached Protein A assay both depend on reagent lots that are not interchangeable</w:t>
      </w:r>
      <w:r>
        <w:t xml:space="preserve"> </w:t>
      </w:r>
      <w:r>
        <w:t xml:space="preserve">without a bridging study. Reserve lots of both are held at the sending site until the</w:t>
      </w:r>
      <w:r>
        <w:t xml:space="preserve"> </w:t>
      </w:r>
      <w:r>
        <w:t xml:space="preserve">receiving site has bridged its own, and that bridging is part of the method transfer</w:t>
      </w:r>
      <w:r>
        <w:t xml:space="preserve"> </w:t>
      </w:r>
      <w:r>
        <w:t xml:space="preserve">protocol (GAP-02 in §8).</w:t>
      </w:r>
    </w:p>
    <w:p>
      <w:pPr>
        <w:pStyle w:val="BodyText"/>
      </w:pPr>
      <w:r>
        <w:t xml:space="preserve">Not every method transfers. The infectivity assays for the two model viruses (XMuLV and</w:t>
      </w:r>
      <w:r>
        <w:t xml:space="preserve"> </w:t>
      </w:r>
      <w:r>
        <w:t xml:space="preserve">MVM) support the clearance studies, and viral clearance is not measured on commercial</w:t>
      </w:r>
      <w:r>
        <w:t xml:space="preserve"> </w:t>
      </w:r>
      <w:r>
        <w:t xml:space="preserve">batches at all. Clearance is claimed from spiking studies executed on qualified small-scale</w:t>
      </w:r>
      <w:r>
        <w:t xml:space="preserve"> </w:t>
      </w:r>
      <w:r>
        <w:t xml:space="preserve">models, and the commercial process is never spiked</w:t>
      </w:r>
      <w:r>
        <w:t xml:space="preserve"> </w:t>
      </w:r>
      <w:r>
        <w:t xml:space="preserve">(International Council for Harmonisation 2023a)</w:t>
      </w:r>
      <w:r>
        <w:t xml:space="preserve">. The</w:t>
      </w:r>
      <w:r>
        <w:t xml:space="preserve"> </w:t>
      </w:r>
      <w:r>
        <w:t xml:space="preserve">receiving site therefore transfers the release and in-process methods, and takes the viral</w:t>
      </w:r>
      <w:r>
        <w:t xml:space="preserve"> </w:t>
      </w:r>
      <w:r>
        <w:t xml:space="preserve">clearance claim from the characterization package.</w:t>
      </w:r>
    </w:p>
    <w:bookmarkEnd w:id="26"/>
    <w:bookmarkStart w:id="28" w:name="control-strategy"/>
    <w:p>
      <w:pPr>
        <w:pStyle w:val="Heading2"/>
      </w:pPr>
      <w:r>
        <w:t xml:space="preserve">6.3 Control strategy</w:t>
      </w:r>
    </w:p>
    <w:p>
      <w:pPr>
        <w:pStyle w:val="FirstParagraph"/>
      </w:pPr>
      <w:r>
        <w:t xml:space="preserve">The control strategy is what the other two streams exist to deliver, and it has four</w:t>
      </w:r>
      <w:r>
        <w:t xml:space="preserve"> </w:t>
      </w:r>
      <w:r>
        <w:t xml:space="preserve">elements, which are the parameter set-points and their ranges, the in-process controls</w:t>
      </w:r>
      <w:r>
        <w:t xml:space="preserve"> </w:t>
      </w:r>
      <w:r>
        <w:t xml:space="preserve">with their action limits, release testing against the drug substance specification, and</w:t>
      </w:r>
      <w:r>
        <w:t xml:space="preserve"> </w:t>
      </w:r>
      <w:r>
        <w:t xml:space="preserve">life-cycle controls such as resin and membrane reuse limits</w:t>
      </w:r>
      <w:r>
        <w:t xml:space="preserve"> </w:t>
      </w:r>
      <w:r>
        <w:t xml:space="preserve">(International Council for Harmonisation 2012)</w:t>
      </w:r>
      <w:r>
        <w:t xml:space="preserve">. The receiving site</w:t>
      </w:r>
      <w:r>
        <w:t xml:space="preserve"> </w:t>
      </w:r>
      <w:r>
        <w:t xml:space="preserve">implements all four, and Quality Assurance at both sites approves the whole before the</w:t>
      </w:r>
      <w:r>
        <w:t xml:space="preserve"> </w:t>
      </w:r>
      <w:r>
        <w:t xml:space="preserve">qualification batches begin.</w:t>
      </w:r>
    </w:p>
    <w:p>
      <w:pPr>
        <w:pStyle w:val="BodyText"/>
      </w:pPr>
      <w:hyperlink w:anchor="tbl-cqa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lists the attributes the control strategy exists to control, with the acceptance</w:t>
      </w:r>
      <w:r>
        <w:t xml:space="preserve"> </w:t>
      </w:r>
      <w:r>
        <w:t xml:space="preserve">criterion and the criticality of each. The register holds 10 attributes, of</w:t>
      </w:r>
      <w:r>
        <w:t xml:space="preserve"> </w:t>
      </w:r>
      <w:r>
        <w:t xml:space="preserve">which 6 are of high or very high criticality, and the</w:t>
      </w:r>
      <w:r>
        <w:t xml:space="preserve"> </w:t>
      </w:r>
      <w:r>
        <w:t xml:space="preserve">3 of very high criticality are high mannose and the two viral clearance</w:t>
      </w:r>
      <w:r>
        <w:t xml:space="preserve"> </w:t>
      </w:r>
      <w:r>
        <w:t xml:space="preserve">claims. Criticality is treated as a continuum and not as a binary label</w:t>
      </w:r>
      <w:r>
        <w:t xml:space="preserve"> </w:t>
      </w:r>
      <w:r>
        <w:t xml:space="preserve">(International Council for Harmonisation 2023b)</w:t>
      </w:r>
      <w:r>
        <w:t xml:space="preserve">, so the</w:t>
      </w:r>
      <w:r>
        <w:t xml:space="preserve"> </w:t>
      </w:r>
      <w:r>
        <w:t xml:space="preserve">attributes at the lower end of the register stay in the control strategy and are reported,</w:t>
      </w:r>
      <w:r>
        <w:t xml:space="preserve"> </w:t>
      </w:r>
      <w:r>
        <w:t xml:space="preserve">with the depth of control proportionate to criticality.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Drug substance quality attributes, acceptance criteria and criticality.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36"/>
              <w:gridCol w:w="1296"/>
              <w:gridCol w:w="2015"/>
              <w:gridCol w:w="1080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Control is distributed across the train. The glycans are formed in the bioreactor and are</w:t>
      </w:r>
      <w:r>
        <w:t xml:space="preserve"> </w:t>
      </w:r>
      <w:r>
        <w:t xml:space="preserve">not modified downstream, so their control is a culture control and is reported in PCR-003.</w:t>
      </w:r>
      <w:r>
        <w:t xml:space="preserve"> </w:t>
      </w:r>
      <w:r>
        <w:t xml:space="preserve">Aggregate is formed upstream and polished at</w:t>
      </w:r>
      <w:r>
        <w:t xml:space="preserve"> </w:t>
      </w:r>
      <w:r>
        <w:t xml:space="preserve">cation exchange (PCR-007), and host cell protein is cleared by three chromatography steps</w:t>
      </w:r>
      <w:r>
        <w:t xml:space="preserve"> </w:t>
      </w:r>
      <w:r>
        <w:t xml:space="preserve">in series, so the acceptable output of any one of them depends on what the others achieve</w:t>
      </w:r>
      <w:r>
        <w:t xml:space="preserve"> </w:t>
      </w:r>
      <w:r>
        <w:t xml:space="preserve">(PCR-005, PCR-007 and PCR-008). Viral clearance is credited from the three steps named in</w:t>
      </w:r>
      <w:r>
        <w:t xml:space="preserve"> </w:t>
      </w:r>
      <w:r>
        <w:t xml:space="preserve">§2 and is consolidated in PCMR-001. No step is credited twice.</w:t>
      </w:r>
    </w:p>
    <w:p>
      <w:pPr>
        <w:pStyle w:val="BodyText"/>
      </w:pPr>
      <w:r>
        <w:t xml:space="preserve">Until PCMR-001 is approved, the classifications carried in the batch record are</w:t>
      </w:r>
      <w:r>
        <w:t xml:space="preserve"> </w:t>
      </w:r>
      <w:r>
        <w:t xml:space="preserve">provisional. The receiving site operates to the platform set-points and normal operating</w:t>
      </w:r>
      <w:r>
        <w:t xml:space="preserve"> </w:t>
      </w:r>
      <w:r>
        <w:t xml:space="preserve">ranges in the interim, which is the conservative position, and revises the batch record</w:t>
      </w:r>
      <w:r>
        <w:t xml:space="preserve"> </w:t>
      </w:r>
      <w:r>
        <w:t xml:space="preserve">when the campaign reports. This plan defines no design space and classifies no parameter,</w:t>
      </w:r>
      <w:r>
        <w:t xml:space="preserve"> </w:t>
      </w:r>
      <w:r>
        <w:t xml:space="preserve">since both are outputs of the characterization package and neither is created by the act</w:t>
      </w:r>
      <w:r>
        <w:t xml:space="preserve"> </w:t>
      </w:r>
      <w:r>
        <w:t xml:space="preserve">of transfer.</w:t>
      </w:r>
    </w:p>
    <w:bookmarkEnd w:id="28"/>
    <w:bookmarkEnd w:id="29"/>
    <w:bookmarkStart w:id="30" w:name="X1bd6ffe9d61af2f9774a232c0e7713d73efbd3f"/>
    <w:p>
      <w:pPr>
        <w:pStyle w:val="Heading1"/>
      </w:pPr>
      <w:r>
        <w:t xml:space="preserve">7. Process performance qualification strategy</w:t>
      </w:r>
    </w:p>
    <w:p>
      <w:pPr>
        <w:pStyle w:val="FirstParagraph"/>
      </w:pPr>
      <w:r>
        <w:t xml:space="preserve">Process performance qualification is Stage 2 of the lifecycle and it follows this transfer</w:t>
      </w:r>
      <w:r>
        <w:t xml:space="preserve"> </w:t>
      </w:r>
      <w:r>
        <w:t xml:space="preserve">(U.S. Food and Drug Administration 2011)</w:t>
      </w:r>
      <w:r>
        <w:t xml:space="preserve">. The receiving site manufactures 5 consecutive drug substance</w:t>
      </w:r>
      <w:r>
        <w:t xml:space="preserve"> </w:t>
      </w:r>
      <w:r>
        <w:t xml:space="preserve">batches at commercial scale, at the set-points, with every parameter held inside its</w:t>
      </w:r>
      <w:r>
        <w:t xml:space="preserve"> </w:t>
      </w:r>
      <w:r>
        <w:t xml:space="preserve">normal operating range. These batches are not experiments and no parameter is varied</w:t>
      </w:r>
      <w:r>
        <w:t xml:space="preserve"> </w:t>
      </w:r>
      <w:r>
        <w:t xml:space="preserve">deliberately in them, and their purpose is to confirm that the process, as transferred and</w:t>
      </w:r>
      <w:r>
        <w:t xml:space="preserve"> </w:t>
      </w:r>
      <w:r>
        <w:t xml:space="preserve">as controlled, delivers drug substance of the required quality reproducibly in the facility</w:t>
      </w:r>
      <w:r>
        <w:t xml:space="preserve"> </w:t>
      </w:r>
      <w:r>
        <w:t xml:space="preserve">that will make it.</w:t>
      </w:r>
    </w:p>
    <w:p>
      <w:pPr>
        <w:pStyle w:val="BodyText"/>
      </w:pPr>
      <w:r>
        <w:t xml:space="preserve">Qualification may start when the following are in place.</w:t>
      </w:r>
    </w:p>
    <w:p>
      <w:pPr>
        <w:pStyle w:val="Compact"/>
        <w:numPr>
          <w:ilvl w:val="0"/>
          <w:numId w:val="1001"/>
        </w:numPr>
      </w:pPr>
      <w:r>
        <w:t xml:space="preserve">The characterization reports for every unit operation are approved against the approach set in PCMP-001, and PCMR-001 states that the process is ready for Stage 2.</w:t>
      </w:r>
    </w:p>
    <w:p>
      <w:pPr>
        <w:pStyle w:val="Compact"/>
        <w:numPr>
          <w:ilvl w:val="0"/>
          <w:numId w:val="1001"/>
        </w:numPr>
      </w:pPr>
      <w:r>
        <w:t xml:space="preserve">Every method needed for in-process control and for release has been transferred to the receiving site and requalified there.</w:t>
      </w:r>
    </w:p>
    <w:p>
      <w:pPr>
        <w:pStyle w:val="Compact"/>
        <w:numPr>
          <w:ilvl w:val="0"/>
          <w:numId w:val="1001"/>
        </w:numPr>
      </w:pPr>
      <w:r>
        <w:t xml:space="preserve">Equipment, utility and facility qualification are complete, and the approved recipe is loaded in the plant control system.</w:t>
      </w:r>
    </w:p>
    <w:p>
      <w:pPr>
        <w:pStyle w:val="Compact"/>
        <w:numPr>
          <w:ilvl w:val="0"/>
          <w:numId w:val="1001"/>
        </w:numPr>
      </w:pPr>
      <w:r>
        <w:t xml:space="preserve">The engineering runs have been executed and the comparability assessment has been reviewed, with any deviation closed.</w:t>
      </w:r>
    </w:p>
    <w:p>
      <w:pPr>
        <w:pStyle w:val="Compact"/>
        <w:numPr>
          <w:ilvl w:val="0"/>
          <w:numId w:val="1001"/>
        </w:numPr>
      </w:pPr>
      <w:r>
        <w:t xml:space="preserve">The control strategy is approved at both sites and is reflected in the master batch record.</w:t>
      </w:r>
    </w:p>
    <w:p>
      <w:pPr>
        <w:pStyle w:val="Compact"/>
        <w:numPr>
          <w:ilvl w:val="0"/>
          <w:numId w:val="1001"/>
        </w:numPr>
      </w:pPr>
      <w:r>
        <w:t xml:space="preserve">The gaps named in §8 as prerequisites for qualification are closed, and each of the remaining gaps has an agreed closure plan.</w:t>
      </w:r>
    </w:p>
    <w:p>
      <w:pPr>
        <w:pStyle w:val="FirstParagraph"/>
      </w:pPr>
      <w:r>
        <w:t xml:space="preserve">Acceptance criteria for qualification are not set here, but in the qualification protocol,</w:t>
      </w:r>
      <w:r>
        <w:t xml:space="preserve"> </w:t>
      </w:r>
      <w:r>
        <w:t xml:space="preserve">where they are derived from the design space and the process capability reported in</w:t>
      </w:r>
      <w:r>
        <w:t xml:space="preserve"> </w:t>
      </w:r>
      <w:r>
        <w:t xml:space="preserve">PCMR-001 and are approved before the first batch is charged. Sampling during qualification</w:t>
      </w:r>
      <w:r>
        <w:t xml:space="preserve"> </w:t>
      </w:r>
      <w:r>
        <w:t xml:space="preserve">is more extensive than routine sampling, and the additional sampling points are specified</w:t>
      </w:r>
      <w:r>
        <w:t xml:space="preserve"> </w:t>
      </w:r>
      <w:r>
        <w:t xml:space="preserve">in the same protocol.</w:t>
      </w:r>
    </w:p>
    <w:p>
      <w:pPr>
        <w:pStyle w:val="BodyText"/>
      </w:pPr>
      <w:r>
        <w:t xml:space="preserve">Stage 3 continued process verification follows qualification and sits outside this plan.</w:t>
      </w:r>
      <w:r>
        <w:t xml:space="preserve"> </w:t>
      </w:r>
      <w:r>
        <w:t xml:space="preserve">The monitoring plan that supports it uses the same parameter set and the same methods, so</w:t>
      </w:r>
      <w:r>
        <w:t xml:space="preserve"> </w:t>
      </w:r>
      <w:r>
        <w:t xml:space="preserve">it is written once PCMR-001 and the qualification report are available. Confirmation of</w:t>
      </w:r>
      <w:r>
        <w:t xml:space="preserve"> </w:t>
      </w:r>
      <w:r>
        <w:t xml:space="preserve">the design space at commercial scale accumulates over the operating life of the process,</w:t>
      </w:r>
      <w:r>
        <w:t xml:space="preserve"> </w:t>
      </w:r>
      <w:r>
        <w:t xml:space="preserve">because the qualification batches are executed at the set-points and say nothing about the</w:t>
      </w:r>
      <w:r>
        <w:t xml:space="preserve"> </w:t>
      </w:r>
      <w:r>
        <w:t xml:space="preserve">edges of the ranges.</w:t>
      </w:r>
    </w:p>
    <w:bookmarkEnd w:id="30"/>
    <w:bookmarkStart w:id="32" w:name="gap-analysis"/>
    <w:p>
      <w:pPr>
        <w:pStyle w:val="Heading1"/>
      </w:pPr>
      <w:r>
        <w:t xml:space="preserve">8. Gap analysis</w:t>
      </w:r>
    </w:p>
    <w:p>
      <w:pPr>
        <w:pStyle w:val="FirstParagraph"/>
      </w:pPr>
      <w:r>
        <w:t xml:space="preserve">Six gaps were identified during transfer planning, and none of them is closed at the date</w:t>
      </w:r>
      <w:r>
        <w:t xml:space="preserve"> </w:t>
      </w:r>
      <w:r>
        <w:t xml:space="preserve">of this plan.</w:t>
      </w:r>
      <w:r>
        <w:t xml:space="preserve"> </w:t>
      </w:r>
      <w:hyperlink w:anchor="tbl-gaps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is the register, and each entry states the gap, its impact on the</w:t>
      </w:r>
      <w:r>
        <w:t xml:space="preserve"> </w:t>
      </w:r>
      <w:r>
        <w:t xml:space="preserve">process or on the data, the action that closes it, and its status. Each of the six is</w:t>
      </w:r>
      <w:r>
        <w:t xml:space="preserve"> </w:t>
      </w:r>
      <w:r>
        <w:t xml:space="preserve">discussed below, and four of them carry a residual risk that has to be explained.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ga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Transfer gap register, with the impact and the closing action for each gap.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Impact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Mitigation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GAP-01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Alternate Protein A resin has no platform bridging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Second resin cannot enter commercial use on platform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 characterization per RA-004 before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GAP-02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Critical reagent lots for the HCP and leached Protein A assays not bridged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reagent lot difference can present as an impurity difference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Reagent bridging study during method transfer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progress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GAP-03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Validation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 space not confirmed at commercial scale at the edges of its ranges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Operation near a range edge rests on model 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Qualification inside the NOR; edge moves under change control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GAP-04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Equipment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Scale-dependent parameters cannot be matched setting for setting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Small-scale performance may not reproduce at scale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 matching per SOP-1001, tested in engineering runs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progress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GAP-05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Documentation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Procedures and method validations cited are sending site documents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batch record could cite a document the receiving site lacks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Document mapping table issued with the process description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GAP-06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 strategy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 classification is an output of the campaign, not yet complete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batch record cannot yet state which parameters are critical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Interim operation to platform set-points and NORs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GAP-02, GAP-04 and GAP-06 close before qualification and are prerequisites for it. GAP-01</w:t>
      </w:r>
      <w:r>
        <w:t xml:space="preserve"> </w:t>
      </w:r>
      <w:r>
        <w:t xml:space="preserve">and GAP-05 constrain supply and documentation and do not block qualification, and GAP-03 is</w:t>
      </w:r>
      <w:r>
        <w:t xml:space="preserve"> </w:t>
      </w:r>
      <w:r>
        <w:t xml:space="preserve">carried into Stage 3 and is not closed by qualification at all. Two of the six are recorded</w:t>
      </w:r>
      <w:r>
        <w:t xml:space="preserve"> </w:t>
      </w:r>
      <w:r>
        <w:t xml:space="preserve">as in progress in</w:t>
      </w:r>
      <w:r>
        <w:t xml:space="preserve"> </w:t>
      </w:r>
      <w:hyperlink w:anchor="tbl-gaps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because their mitigations have already started, with reserve</w:t>
      </w:r>
      <w:r>
        <w:t xml:space="preserve"> </w:t>
      </w:r>
      <w:r>
        <w:t xml:space="preserve">reagent lots held at the sending site (GAP-02) and the performance matching recorded as each</w:t>
      </w:r>
      <w:r>
        <w:t xml:space="preserve"> </w:t>
      </w:r>
      <w:r>
        <w:t xml:space="preserve">scale-down model is qualified (GAP-04). Closure of GAP-01 and GAP-03 is owned by Process</w:t>
      </w:r>
      <w:r>
        <w:t xml:space="preserve"> </w:t>
      </w:r>
      <w:r>
        <w:t xml:space="preserve">Development at the sending site, and closure of GAP-02 by Analytical Development at both</w:t>
      </w:r>
      <w:r>
        <w:t xml:space="preserve"> </w:t>
      </w:r>
      <w:r>
        <w:t xml:space="preserve">sites. GAP-04 is owned by Manufacturing Science at both sites, and GAP-05 and GAP-06 by</w:t>
      </w:r>
      <w:r>
        <w:t xml:space="preserve"> </w:t>
      </w:r>
      <w:r>
        <w:t xml:space="preserve">MSAT at the sending site. Quality Assurance decides in each case whether a gap is closed</w:t>
      </w:r>
      <w:r>
        <w:t xml:space="preserve"> </w:t>
      </w:r>
      <w:r>
        <w:t xml:space="preserve">(§9).</w:t>
      </w:r>
    </w:p>
    <w:p>
      <w:pPr>
        <w:pStyle w:val="BodyText"/>
      </w:pPr>
      <w:r>
        <w:t xml:space="preserve">The alternate Protein A resin cannot be qualified on platform data (GAP-01), because</w:t>
      </w:r>
      <w:r>
        <w:t xml:space="preserve"> </w:t>
      </w:r>
      <w:r>
        <w:t xml:space="preserve">RA-004 assessed that resin and concluded that independent characterization is required,</w:t>
      </w:r>
      <w:r>
        <w:t xml:space="preserve"> </w:t>
      </w:r>
      <w:r>
        <w:t xml:space="preserve">with no bridging from the platform data set. The receiving site therefore begins commercial</w:t>
      </w:r>
      <w:r>
        <w:t xml:space="preserve"> </w:t>
      </w:r>
      <w:r>
        <w:t xml:space="preserve">manufacture with the primary resin alone, and the second resin enters the process only when</w:t>
      </w:r>
      <w:r>
        <w:t xml:space="preserve"> </w:t>
      </w:r>
      <w:r>
        <w:t xml:space="preserve">its own characterization is complete and approved. What remains is a constraint on supply</w:t>
      </w:r>
      <w:r>
        <w:t xml:space="preserve"> </w:t>
      </w:r>
      <w:r>
        <w:t xml:space="preserve">flexibility and not a risk to product quality, because the resin the characterization</w:t>
      </w:r>
      <w:r>
        <w:t xml:space="preserve"> </w:t>
      </w:r>
      <w:r>
        <w:t xml:space="preserve">package covers is the resin the process will use.</w:t>
      </w:r>
    </w:p>
    <w:p>
      <w:pPr>
        <w:pStyle w:val="BodyText"/>
      </w:pPr>
      <w:r>
        <w:t xml:space="preserve">The design space is defined on qualified scale-down models and is not confirmed at</w:t>
      </w:r>
      <w:r>
        <w:t xml:space="preserve"> </w:t>
      </w:r>
      <w:r>
        <w:t xml:space="preserve">commercial scale at the edges of its ranges (GAP-03). Movement towards the edge of a range</w:t>
      </w:r>
      <w:r>
        <w:t xml:space="preserve"> </w:t>
      </w:r>
      <w:r>
        <w:t xml:space="preserve">at the receiving site is supported by the fitted models and by the scale-down data, and not by</w:t>
      </w:r>
      <w:r>
        <w:t xml:space="preserve"> </w:t>
      </w:r>
      <w:r>
        <w:t xml:space="preserve">experience at scale. Qualification does not close this gap, because the qualification</w:t>
      </w:r>
      <w:r>
        <w:t xml:space="preserve"> </w:t>
      </w:r>
      <w:r>
        <w:t xml:space="preserve">batches are run at the set-points with every parameter inside its normal operating range.</w:t>
      </w:r>
      <w:r>
        <w:t xml:space="preserve"> </w:t>
      </w:r>
      <w:r>
        <w:t xml:space="preserve">The gap closes as data at scale accumulate under continued process verification. A planned</w:t>
      </w:r>
      <w:r>
        <w:t xml:space="preserve"> </w:t>
      </w:r>
      <w:r>
        <w:t xml:space="preserve">move towards the edge of a range before that point is assessed prospectively under change</w:t>
      </w:r>
      <w:r>
        <w:t xml:space="preserve"> </w:t>
      </w:r>
      <w:r>
        <w:t xml:space="preserve">control, which is what movement inside a design space requires of the quality system in</w:t>
      </w:r>
      <w:r>
        <w:t xml:space="preserve"> </w:t>
      </w:r>
      <w:r>
        <w:t xml:space="preserve">any case</w:t>
      </w:r>
      <w:r>
        <w:t xml:space="preserve"> </w:t>
      </w:r>
      <w:r>
        <w:t xml:space="preserve">(International Council for Harmonisation 2009, 2008)</w:t>
      </w:r>
      <w:r>
        <w:t xml:space="preserve">.</w:t>
      </w:r>
    </w:p>
    <w:p>
      <w:pPr>
        <w:pStyle w:val="BodyText"/>
      </w:pPr>
      <w:r>
        <w:t xml:space="preserve">The two immunoassays are the transfer risk that surfaces last (GAP-02). HCP and leached</w:t>
      </w:r>
      <w:r>
        <w:t xml:space="preserve"> </w:t>
      </w:r>
      <w:r>
        <w:t xml:space="preserve">Protein A are both measured by immunoassay, both depend on critical reagent lots, and both</w:t>
      </w:r>
      <w:r>
        <w:t xml:space="preserve"> </w:t>
      </w:r>
      <w:r>
        <w:t xml:space="preserve">report on impurities the drug substance specification covers.</w:t>
      </w:r>
      <w:r>
        <w:t xml:space="preserve"> </w:t>
      </w:r>
      <w:r>
        <w:t xml:space="preserve">AMV-3012 is the least precise of the methods that transfer, so a reagent</w:t>
      </w:r>
      <w:r>
        <w:t xml:space="preserve"> </w:t>
      </w:r>
      <w:r>
        <w:t xml:space="preserve">difference between the two laboratories can look exactly like a process difference at the</w:t>
      </w:r>
      <w:r>
        <w:t xml:space="preserve"> </w:t>
      </w:r>
      <w:r>
        <w:t xml:space="preserve">step that clears the impurity. The mitigation is a reagent bridging study during method</w:t>
      </w:r>
      <w:r>
        <w:t xml:space="preserve"> </w:t>
      </w:r>
      <w:r>
        <w:t xml:space="preserve">transfer, with reserve lots held at the sending site until it is complete. Until that study</w:t>
      </w:r>
      <w:r>
        <w:t xml:space="preserve"> </w:t>
      </w:r>
      <w:r>
        <w:t xml:space="preserve">is closed, an HCP result from the receiving site is compared with the sending site’s data</w:t>
      </w:r>
      <w:r>
        <w:t xml:space="preserve"> </w:t>
      </w:r>
      <w:r>
        <w:t xml:space="preserve">only alongside a split sample analysed at both.</w:t>
      </w:r>
    </w:p>
    <w:p>
      <w:pPr>
        <w:pStyle w:val="BodyText"/>
      </w:pPr>
      <w:r>
        <w:t xml:space="preserve">Scale-dependent parameters are matched on the performance they produce and not setting for</w:t>
      </w:r>
      <w:r>
        <w:t xml:space="preserve"> </w:t>
      </w:r>
      <w:r>
        <w:t xml:space="preserve">setting (GAP-04), which is a weaker warrant than a direct match. The geometry of a bench</w:t>
      </w:r>
      <w:r>
        <w:t xml:space="preserve"> </w:t>
      </w:r>
      <w:r>
        <w:t xml:space="preserve">vessel and the geometry of a commercial vessel differ by construction, and a parameter that</w:t>
      </w:r>
      <w:r>
        <w:t xml:space="preserve"> </w:t>
      </w:r>
      <w:r>
        <w:t xml:space="preserve">depends on that geometry cannot be held at the same value in both. The matching is recorded</w:t>
      </w:r>
      <w:r>
        <w:t xml:space="preserve"> </w:t>
      </w:r>
      <w:r>
        <w:t xml:space="preserve">in each scale-down model qualification (SOP-1001) and is tested in the engineering runs, and</w:t>
      </w:r>
      <w:r>
        <w:t xml:space="preserve"> </w:t>
      </w:r>
      <w:r>
        <w:t xml:space="preserve">that is why those runs are a prerequisite for qualification. Where an engineering run does not reproduce the scale-down performance for a</w:t>
      </w:r>
      <w:r>
        <w:t xml:space="preserve"> </w:t>
      </w:r>
      <w:r>
        <w:t xml:space="preserve">step, the model for that step is requalified before its characterization data are used to</w:t>
      </w:r>
      <w:r>
        <w:t xml:space="preserve"> </w:t>
      </w:r>
      <w:r>
        <w:t xml:space="preserve">support a range at commercial scale.</w:t>
      </w:r>
    </w:p>
    <w:p>
      <w:pPr>
        <w:pStyle w:val="BodyText"/>
      </w:pPr>
      <w:r>
        <w:t xml:space="preserve">The last two gaps are documentary. The characterization package cites sending site</w:t>
      </w:r>
      <w:r>
        <w:t xml:space="preserve"> </w:t>
      </w:r>
      <w:r>
        <w:t xml:space="preserve">procedures and method validation records while the receiving site holds its own set, so a</w:t>
      </w:r>
      <w:r>
        <w:t xml:space="preserve"> </w:t>
      </w:r>
      <w:r>
        <w:t xml:space="preserve">mapping table is issued with the process description (GAP-05). Parameter classification is</w:t>
      </w:r>
      <w:r>
        <w:t xml:space="preserve"> </w:t>
      </w:r>
      <w:r>
        <w:t xml:space="preserve">an output of the campaign, so the batch record cannot yet state which parameters are</w:t>
      </w:r>
      <w:r>
        <w:t xml:space="preserve"> </w:t>
      </w:r>
      <w:r>
        <w:t xml:space="preserve">critical (GAP-06). Both gaps close on approval of the documents they depend on. Neither</w:t>
      </w:r>
      <w:r>
        <w:t xml:space="preserve"> </w:t>
      </w:r>
      <w:r>
        <w:t xml:space="preserve">blocks the engineering runs.</w:t>
      </w:r>
    </w:p>
    <w:bookmarkEnd w:id="32"/>
    <w:bookmarkStart w:id="34" w:name="roles-and-responsibilities"/>
    <w:p>
      <w:pPr>
        <w:pStyle w:val="Heading1"/>
      </w:pPr>
      <w:r>
        <w:t xml:space="preserve">9. Roles and responsibilities</w:t>
      </w:r>
    </w:p>
    <w:p>
      <w:pPr>
        <w:pStyle w:val="FirstParagraph"/>
      </w:pPr>
      <w:r>
        <w:t xml:space="preserve">Three functions own the transfer between them. Process Development and Manufacturing</w:t>
      </w:r>
      <w:r>
        <w:t xml:space="preserve"> </w:t>
      </w:r>
      <w:r>
        <w:t xml:space="preserve">Science at the sending site own the process description, the characterization package and</w:t>
      </w:r>
      <w:r>
        <w:t xml:space="preserve"> </w:t>
      </w:r>
      <w:r>
        <w:t xml:space="preserve">the control strategy. Manufacturing and Manufacturing Science at the receiving site own the</w:t>
      </w:r>
      <w:r>
        <w:t xml:space="preserve"> </w:t>
      </w:r>
      <w:r>
        <w:t xml:space="preserve">batch records, the plant configuration, the engineering runs and execution. Quality</w:t>
      </w:r>
      <w:r>
        <w:t xml:space="preserve"> </w:t>
      </w:r>
      <w:r>
        <w:t xml:space="preserve">Assurance at both sites owns approval, change control and the release decision, and it is</w:t>
      </w:r>
      <w:r>
        <w:t xml:space="preserve"> </w:t>
      </w:r>
      <w:r>
        <w:t xml:space="preserve">the function that decides whether a gap is closed, with</w:t>
      </w:r>
      <w:r>
        <w:t xml:space="preserve"> </w:t>
      </w:r>
      <w:hyperlink w:anchor="tbl-roles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giving the split by</w:t>
      </w:r>
      <w:r>
        <w:t xml:space="preserve"> </w:t>
      </w:r>
      <w:r>
        <w:t xml:space="preserve">deliverable.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Responsibility for each transfer deliverable.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Deliverable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 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 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description and parameter ranges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Characterization plans and reports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Scale-down model qualification records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Master batch records and recipe configuration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method transfer protocols and reports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Co-author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Engineering runs and comparability assessment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 strategy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Qualification protocol and report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Gap register and gap closure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Co-owner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Co-owner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Where a deliverable has an author at one site and a reviewer at the other, both signatures</w:t>
      </w:r>
      <w:r>
        <w:t xml:space="preserve"> </w:t>
      </w:r>
      <w:r>
        <w:t xml:space="preserve">are required. Neither site closes a transfer deliverable on its own.</w:t>
      </w:r>
    </w:p>
    <w:bookmarkEnd w:id="34"/>
    <w:bookmarkStart w:id="36" w:name="deliverables-and-schedule"/>
    <w:p>
      <w:pPr>
        <w:pStyle w:val="Heading1"/>
      </w:pPr>
      <w:r>
        <w:t xml:space="preserve">10. Deliverables and schedule</w:t>
      </w:r>
    </w:p>
    <w:p>
      <w:pPr>
        <w:pStyle w:val="FirstParagraph"/>
      </w:pPr>
      <w:r>
        <w:t xml:space="preserve">The transfer is executed in five phases, each of which ends in a document that Quality</w:t>
      </w:r>
      <w:r>
        <w:t xml:space="preserve"> </w:t>
      </w:r>
      <w:r>
        <w:t xml:space="preserve">Assurance approves, and</w:t>
      </w:r>
      <w:r>
        <w:t xml:space="preserve"> </w:t>
      </w:r>
      <w:hyperlink w:anchor="tbl-deliv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lists the deliverables in sequence. Calendar dates are</w:t>
      </w:r>
      <w:r>
        <w:t xml:space="preserve"> </w:t>
      </w:r>
      <w:r>
        <w:t xml:space="preserve">held in the project schedule and are not reproduced here, because it is the sequence and</w:t>
      </w:r>
      <w:r>
        <w:t xml:space="preserve"> </w:t>
      </w:r>
      <w:r>
        <w:t xml:space="preserve">not the date that governs. A phase is not complete until its deliverables are approved, and</w:t>
      </w:r>
      <w:r>
        <w:t xml:space="preserve"> </w:t>
      </w:r>
      <w:r>
        <w:t xml:space="preserve">phases overlap where the dependency allows.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deli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Transfer deliverables and the phase that produces them.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Deliverables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Planning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transfer plan (PTP-001) and the pre-characterization risk assessment (RA-001)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 site MSAT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Master plan (PCMP-001), the plan and report for each unit operation, master report (PCMR-001)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 site PD and MSAT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Transfer execution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description, master batch records, document mapping table, analytical method transfer reports, scale-down model qualification records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Both sites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Readiness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Engineering runs, comparability assessment, approved control strategy, gap closure record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 site MSAT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Qualification protocol, execution of the qualification batches, qualification report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 site</w:t>
                  </w:r>
                </w:p>
              </w:tc>
            </w:tr>
          </w:tbl>
          <w:bookmarkEnd w:id="35"/>
          <w:p/>
        </w:tc>
      </w:tr>
    </w:tbl>
    <w:p>
      <w:pPr>
        <w:pStyle w:val="BodyText"/>
      </w:pPr>
      <w:r>
        <w:t xml:space="preserve">The characterization phase is the long one, and it runs in parallel with the transfer</w:t>
      </w:r>
      <w:r>
        <w:t xml:space="preserve"> </w:t>
      </w:r>
      <w:r>
        <w:t xml:space="preserve">execution phase for every step whose plan is already approved. The dependency that fixes</w:t>
      </w:r>
      <w:r>
        <w:t xml:space="preserve"> </w:t>
      </w:r>
      <w:r>
        <w:t xml:space="preserve">the critical path is PCMR-001, because qualification cannot start until the master report</w:t>
      </w:r>
      <w:r>
        <w:t xml:space="preserve"> </w:t>
      </w:r>
      <w:r>
        <w:t xml:space="preserve">is approved (§7).</w:t>
      </w:r>
    </w:p>
    <w:bookmarkEnd w:id="36"/>
    <w:bookmarkStart w:id="37" w:name="approvals-1"/>
    <w:p>
      <w:pPr>
        <w:pStyle w:val="Heading1"/>
      </w:pPr>
      <w:r>
        <w:t xml:space="preserve">11. Approvals</w:t>
      </w:r>
    </w:p>
    <w:p>
      <w:pPr>
        <w:pStyle w:val="FirstParagraph"/>
      </w:pPr>
      <w:r>
        <w:t xml:space="preserve">This plan takes effect when every signatory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has approved it. Approval by</w:t>
      </w:r>
      <w:r>
        <w:t xml:space="preserve"> </w:t>
      </w:r>
      <w:r>
        <w:t xml:space="preserve">Quality Assurance is required at both sites before any deliverable listed in</w:t>
      </w:r>
      <w:r>
        <w:t xml:space="preserve"> </w:t>
      </w:r>
      <w:hyperlink w:anchor="tbl-deliv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executed. A change to this plan after approval is handled under change control, and a</w:t>
      </w:r>
      <w:r>
        <w:t xml:space="preserve"> </w:t>
      </w:r>
      <w:r>
        <w:t xml:space="preserve">change that alters the scope stated in §1 requires re-approval by the same signatories.</w:t>
      </w:r>
    </w:p>
    <w:bookmarkEnd w:id="37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Start w:id="38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38"/>
    <w:bookmarkStart w:id="39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39"/>
    <w:bookmarkStart w:id="40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40"/>
    <w:bookmarkStart w:id="41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41"/>
    <w:bookmarkStart w:id="42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42"/>
    <w:bookmarkStart w:id="43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43"/>
    <w:bookmarkStart w:id="44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Transfer Plan</dc:title>
  <dc:creator>Process Development / Manufacturing Science &amp; Technology (MSAT)</dc:creator>
  <cp:keywords/>
  <dcterms:created xsi:type="dcterms:W3CDTF">2026-08-02T19:02:11Z</dcterms:created>
  <dcterms:modified xsi:type="dcterms:W3CDTF">2026-08-02T19:02:11Z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PTP-001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