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Plan</w:t>
      </w:r>
    </w:p>
    <w:p>
      <w:pPr>
        <w:pStyle w:val="Subtitle"/>
      </w:pPr>
      <w:r>
        <w:t xml:space="preserve">A-Mab Drug Substance — PCMP-001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 mediated cytotoxicity; AEX, anion exchange chromatography;</w:t>
      </w:r>
      <w:r>
        <w:t xml:space="preserve"> </w:t>
      </w:r>
      <w:r>
        <w:t xml:space="preserve">AMV, analytical method validation; BLA, Biologics License Application; CCD, central</w:t>
      </w:r>
      <w:r>
        <w:t xml:space="preserve"> </w:t>
      </w:r>
      <w:r>
        <w:t xml:space="preserve">composite design; CEX, cation exchange chromatography; CPP, critical process parameter; CQA,</w:t>
      </w:r>
      <w:r>
        <w:t xml:space="preserve"> </w:t>
      </w:r>
      <w:r>
        <w:t xml:space="preserve">critical quality attribute; DoE, design of experiments; DS, drug substance; GPP, general</w:t>
      </w:r>
      <w:r>
        <w:t xml:space="preserve"> </w:t>
      </w:r>
      <w:r>
        <w:t xml:space="preserve">process parameter; HCP, host cell protein; HMW, high molecular weight; ICH, International</w:t>
      </w:r>
      <w:r>
        <w:t xml:space="preserve"> </w:t>
      </w:r>
      <w:r>
        <w:t xml:space="preserve">Council for Harmonisation; icIEF, imaged capillary isoelectric focusing; KPP, key process</w:t>
      </w:r>
      <w:r>
        <w:t xml:space="preserve"> </w:t>
      </w:r>
      <w:r>
        <w:t xml:space="preserve">parameter; LRV, log reduction value; MSAT, Manufacturing Science and Technology; MVM, minute</w:t>
      </w:r>
      <w:r>
        <w:t xml:space="preserve"> </w:t>
      </w:r>
      <w:r>
        <w:t xml:space="preserve">virus of mice; NOR, normal operating range; PAR, proven acceptable range; PD, Process</w:t>
      </w:r>
      <w:r>
        <w:t xml:space="preserve"> </w:t>
      </w:r>
      <w:r>
        <w:t xml:space="preserve">Development; PPQ, process performance qualification; PRESS, prediction error sum of squares;</w:t>
      </w:r>
      <w:r>
        <w:t xml:space="preserve"> </w:t>
      </w:r>
      <w:r>
        <w:t xml:space="preserve">QbD, quality by design; RSM, response surface methodology; SEC, size exclusion</w:t>
      </w:r>
      <w:r>
        <w:t xml:space="preserve"> </w:t>
      </w:r>
      <w:r>
        <w:t xml:space="preserve">chromatography; SOP, standard operating procedure; UF/DF, ultrafiltration and diafiltration;</w:t>
      </w:r>
      <w:r>
        <w:t xml:space="preserve"> </w:t>
      </w:r>
      <w:r>
        <w:t xml:space="preserve">WC-CPP, well controlled critical process parameter; XMuLV, xenotropic murine leukaemia</w:t>
      </w:r>
      <w:r>
        <w:t xml:space="preserve"> </w:t>
      </w:r>
      <w:r>
        <w:t xml:space="preserve">virus.</w:t>
      </w:r>
    </w:p>
    <w:p>
      <w:r>
        <w:br w:type="page"/>
      </w:r>
    </w:p>
    <w:bookmarkEnd w:id="11"/>
    <w:bookmarkStart w:id="14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master plan defines how the A-Mab drug substance process will be characterized before</w:t>
      </w:r>
      <w:r>
        <w:t xml:space="preserve"> </w:t>
      </w:r>
      <w:r>
        <w:t xml:space="preserve">it is validated at the receiving site. A-Mab is a humanized IgG1 monoclonal antibody</w:t>
      </w:r>
      <w:r>
        <w:t xml:space="preserve"> </w:t>
      </w:r>
      <w:r>
        <w:t xml:space="preserve">produced by fed-batch cell culture at a production bioreactor working volume of 15,000 L and</w:t>
      </w:r>
      <w:r>
        <w:t xml:space="preserve"> </w:t>
      </w:r>
      <w:r>
        <w:t xml:space="preserve">purified on the platform train, then concentrated and exchanged into formulation buffer at a</w:t>
      </w:r>
      <w:r>
        <w:t xml:space="preserve"> </w:t>
      </w:r>
      <w:r>
        <w:t xml:space="preserve">drug substance target of 75 g/L. Characterization covers Steps 3–10 of that train, listed</w:t>
      </w:r>
      <w:r>
        <w:t xml:space="preserve"> </w:t>
      </w:r>
      <w:r>
        <w:t xml:space="preserve">with their role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Every study is executed on a qualified scale-down model at</w:t>
      </w:r>
      <w:r>
        <w:t xml:space="preserve"> </w:t>
      </w:r>
      <w:r>
        <w:t xml:space="preserve">the sending site, and its results are used to justify the ranges the receiving site will</w:t>
      </w:r>
      <w:r>
        <w:t xml:space="preserve"> </w:t>
      </w:r>
      <w:r>
        <w:t xml:space="preserve">operate to.</w:t>
      </w:r>
    </w:p>
    <w:p>
      <w:pPr>
        <w:pStyle w:val="BodyText"/>
      </w:pPr>
      <w:r>
        <w:t xml:space="preserve">The campaign is carried by 8 characterization plans and 8 characterization reports, one</w:t>
      </w:r>
      <w:r>
        <w:t xml:space="preserve"> </w:t>
      </w:r>
      <w:r>
        <w:t xml:space="preserve">pair per step. Much of what those plans would state does not change from one step to the</w:t>
      </w:r>
      <w:r>
        <w:t xml:space="preserve"> </w:t>
      </w:r>
      <w:r>
        <w:t xml:space="preserve">next. The quality attribute framework, the risk basis, the approach to scale-down models,</w:t>
      </w:r>
      <w:r>
        <w:t xml:space="preserve"> </w:t>
      </w:r>
      <w:r>
        <w:t xml:space="preserve">the statistical methods and the acceptance framework are common to all of them, and this</w:t>
      </w:r>
      <w:r>
        <w:t xml:space="preserve"> </w:t>
      </w:r>
      <w:r>
        <w:t xml:space="preserve">plan states them once. Each per-step plan then states what is specific to its step and cites</w:t>
      </w:r>
      <w:r>
        <w:t xml:space="preserve"> </w:t>
      </w:r>
      <w:r>
        <w:t xml:space="preserve">this document for the rest. Where a step needs a different rule, its plan will state the</w:t>
      </w:r>
      <w:r>
        <w:t xml:space="preserve"> </w:t>
      </w:r>
      <w:r>
        <w:t xml:space="preserve">rule and the reason for it.</w:t>
      </w:r>
    </w:p>
    <w:p>
      <w:pPr>
        <w:pStyle w:val="BodyText"/>
      </w:pPr>
      <w:r>
        <w:t xml:space="preserve">The package this plan sits in is listed in</w:t>
      </w:r>
      <w:r>
        <w:t xml:space="preserve"> </w:t>
      </w:r>
      <w:hyperlink w:anchor="tbl-package">
        <w:r>
          <w:rPr>
            <w:rStyle w:val="Hyperlink"/>
          </w:rPr>
          <w:t xml:space="preserve">Table 3</w:t>
        </w:r>
      </w:hyperlink>
      <w:r>
        <w:t xml:space="preserve">. PTP-001 is the parent. It sets the</w:t>
      </w:r>
      <w:r>
        <w:t xml:space="preserve"> </w:t>
      </w:r>
      <w:r>
        <w:t xml:space="preserve">transfer scope, names the sending and receiving sites and frames the campaign as technology</w:t>
      </w:r>
      <w:r>
        <w:t xml:space="preserve"> </w:t>
      </w:r>
      <w:r>
        <w:t xml:space="preserve">transfer under ICH Q10</w:t>
      </w:r>
      <w:r>
        <w:t xml:space="preserve"> </w:t>
      </w:r>
      <w:r>
        <w:t xml:space="preserve">(International Council for Harmonisation 2008)</w:t>
      </w:r>
      <w:r>
        <w:t xml:space="preserve">. RA-001 was performed before any study was executed, and</w:t>
      </w:r>
      <w:r>
        <w:t xml:space="preserve"> </w:t>
      </w:r>
      <w:r>
        <w:t xml:space="preserve">its output is the scope of this campaign (§4). The per-step plans PCP-003 to PCP-010 execute</w:t>
      </w:r>
      <w:r>
        <w:t xml:space="preserve"> </w:t>
      </w:r>
      <w:r>
        <w:t xml:space="preserve">the studies, the matching reports PCR-003 to PCR-010 report them, and PCMR-001 consolidates</w:t>
      </w:r>
      <w:r>
        <w:t xml:space="preserve"> </w:t>
      </w:r>
      <w:r>
        <w:t xml:space="preserve">the campaign for the Biologics License Application.</w:t>
      </w:r>
    </w:p>
    <w:p>
      <w:pPr>
        <w:pStyle w:val="BodyText"/>
      </w:pPr>
      <w:r>
        <w:t xml:space="preserve">Four things are outside the scope of this plan. Drug product manufacture and formulation</w:t>
      </w:r>
      <w:r>
        <w:t xml:space="preserve"> </w:t>
      </w:r>
      <w:r>
        <w:t xml:space="preserve">development are covered elsewhere, and this campaign stops at the drug substance. The seed</w:t>
      </w:r>
      <w:r>
        <w:t xml:space="preserve"> </w:t>
      </w:r>
      <w:r>
        <w:t xml:space="preserve">expansion steps that precede Step 3 are not characterized here, because platform experience</w:t>
      </w:r>
      <w:r>
        <w:t xml:space="preserve"> </w:t>
      </w:r>
      <w:r>
        <w:t xml:space="preserve">places no drug substance quality attribute under their control</w:t>
      </w:r>
      <w:r>
        <w:t xml:space="preserve"> </w:t>
      </w:r>
      <w:r>
        <w:t xml:space="preserve">(CMC Biotech Working Group 2009)</w:t>
      </w:r>
      <w:r>
        <w:t xml:space="preserve">. Validation of</w:t>
      </w:r>
      <w:r>
        <w:t xml:space="preserve"> </w:t>
      </w:r>
      <w:r>
        <w:t xml:space="preserve">the analytical methods is performed under the method validation documents in</w:t>
      </w:r>
      <w:r>
        <w:t xml:space="preserve"> </w:t>
      </w:r>
      <w:hyperlink w:anchor="tbl-controlled">
        <w:r>
          <w:rPr>
            <w:rStyle w:val="Hyperlink"/>
          </w:rPr>
          <w:t xml:space="preserve">Table 5</w:t>
        </w:r>
      </w:hyperlink>
      <w:r>
        <w:t xml:space="preserve">, and this campaign uses those methods rather than qualifying them. Process</w:t>
      </w:r>
      <w:r>
        <w:t xml:space="preserve"> </w:t>
      </w:r>
      <w:r>
        <w:t xml:space="preserve">performance qualification at commercial scale is Stage 2 work, planned under PTP-001 and</w:t>
      </w:r>
      <w:r>
        <w:t xml:space="preserve"> </w:t>
      </w:r>
      <w:r>
        <w:t xml:space="preserve">executed at the receiving site.</w:t>
      </w:r>
    </w:p>
    <w:p>
      <w:pPr>
        <w:pStyle w:val="BodyText"/>
      </w:pPr>
      <w:r>
        <w:t xml:space="preserve">No study result appears in this plan. Each study reports its own results in the report of</w:t>
      </w:r>
      <w:r>
        <w:t xml:space="preserve"> </w:t>
      </w:r>
      <w:r>
        <w:t xml:space="preserve">its step, and PCMR-001 consolidates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role of each step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pack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characterization document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3"/>
          <w:p/>
        </w:tc>
      </w:tr>
    </w:tbl>
    <w:bookmarkEnd w:id="14"/>
    <w:bookmarkStart w:id="15" w:name="stage-1-characterization-strategy"/>
    <w:p>
      <w:pPr>
        <w:pStyle w:val="Heading1"/>
      </w:pPr>
      <w:r>
        <w:t xml:space="preserve">2. Stage 1 characterization strategy</w:t>
      </w:r>
    </w:p>
    <w:p>
      <w:pPr>
        <w:pStyle w:val="FirstParagraph"/>
      </w:pPr>
      <w:r>
        <w:t xml:space="preserve">The campaign follows the enhanced development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 </w:t>
      </w:r>
      <w:r>
        <w:t xml:space="preserve">and the Stage 1 process design activity of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. Under that approach a process is not qualified by showing that fixed</w:t>
      </w:r>
      <w:r>
        <w:t xml:space="preserve"> </w:t>
      </w:r>
      <w:r>
        <w:t xml:space="preserve">set-points reproduce. It is characterized until the mechanism of each step is known well</w:t>
      </w:r>
      <w:r>
        <w:t xml:space="preserve"> </w:t>
      </w:r>
      <w:r>
        <w:t xml:space="preserve">enough to predict the attribute, so that a study can say how much host cell protein the</w:t>
      </w:r>
      <w:r>
        <w:t xml:space="preserve"> </w:t>
      </w:r>
      <w:r>
        <w:t xml:space="preserve">capture pool carries as the protein load on the resin rises and as the elution buffer pH</w:t>
      </w:r>
      <w:r>
        <w:t xml:space="preserve"> </w:t>
      </w:r>
      <w:r>
        <w:t xml:space="preserve">falls, and over what range that relationship holds. The control strategy is then built from</w:t>
      </w:r>
      <w:r>
        <w:t xml:space="preserve"> </w:t>
      </w:r>
      <w:r>
        <w:t xml:space="preserve">those relationships, and the ranges it fixes are ranges the studies have covered.</w:t>
      </w:r>
    </w:p>
    <w:p>
      <w:pPr>
        <w:pStyle w:val="BodyText"/>
      </w:pPr>
      <w:r>
        <w:t xml:space="preserve">Prior knowledge is the starting point. A-Mab is produced on a platform that has supported</w:t>
      </w:r>
      <w:r>
        <w:t xml:space="preserve"> </w:t>
      </w:r>
      <w:r>
        <w:t xml:space="preserve">three prior humanized IgG1 antibodies, X-Mab, Y-Mab and Z-Mab, and on which the A-Mab</w:t>
      </w:r>
      <w:r>
        <w:t xml:space="preserve"> </w:t>
      </w:r>
      <w:r>
        <w:t xml:space="preserve">clinical and engineering batches were made</w:t>
      </w:r>
      <w:r>
        <w:t xml:space="preserve"> </w:t>
      </w:r>
      <w:r>
        <w:t xml:space="preserve">(CMC Biotech Working Group 2009)</w:t>
      </w:r>
      <w:r>
        <w:t xml:space="preserve">. The platform fixes the mechanism of</w:t>
      </w:r>
      <w:r>
        <w:t xml:space="preserve"> </w:t>
      </w:r>
      <w:r>
        <w:t xml:space="preserve">each purification step, and with it the direction each parameter is expected to act in.</w:t>
      </w:r>
      <w:r>
        <w:t xml:space="preserve"> </w:t>
      </w:r>
      <w:r>
        <w:t xml:space="preserve">Protein A binds the antibody through its Fc region while host cell protein and DNA pass in</w:t>
      </w:r>
      <w:r>
        <w:t xml:space="preserve"> </w:t>
      </w:r>
      <w:r>
        <w:t xml:space="preserve">the flow through. The low pH hold inactivates enveloped virus faster as the hold pH falls</w:t>
      </w:r>
      <w:r>
        <w:t xml:space="preserve"> </w:t>
      </w:r>
      <w:r>
        <w:t xml:space="preserve">and as the hold is extended. On the anion exchange resin the counter-ions of the load</w:t>
      </w:r>
      <w:r>
        <w:t xml:space="preserve"> </w:t>
      </w:r>
      <w:r>
        <w:t xml:space="preserve">compete with impurities and virus particles for the quaternary amine ligand, so both host</w:t>
      </w:r>
      <w:r>
        <w:t xml:space="preserve"> </w:t>
      </w:r>
      <w:r>
        <w:t xml:space="preserve">cell protein clearance and virus clearance fall as the load conductivity rises.</w:t>
      </w:r>
      <w:r>
        <w:t xml:space="preserve"> </w:t>
      </w:r>
      <w:r>
        <w:t xml:space="preserve">Characterization measures the size of each of these effects and the range over which it</w:t>
      </w:r>
      <w:r>
        <w:t xml:space="preserve"> </w:t>
      </w:r>
      <w:r>
        <w:t xml:space="preserve">holds, and does not have to establish that the effect exists. Prior knowledge also sets the</w:t>
      </w:r>
      <w:r>
        <w:t xml:space="preserve"> </w:t>
      </w:r>
      <w:r>
        <w:t xml:space="preserve">ranges to be studied, because the platform campaigns have already found the conditions at</w:t>
      </w:r>
      <w:r>
        <w:t xml:space="preserve"> </w:t>
      </w:r>
      <w:r>
        <w:t xml:space="preserve">which the process fails. The low pH hold is not taken below the pH at which the antibody</w:t>
      </w:r>
      <w:r>
        <w:t xml:space="preserve"> </w:t>
      </w:r>
      <w:r>
        <w:t xml:space="preserve">precipitates, and the culture is not extended beyond the point at which falling viability</w:t>
      </w:r>
      <w:r>
        <w:t xml:space="preserve"> </w:t>
      </w:r>
      <w:r>
        <w:t xml:space="preserve">releases host cell protein and DNA into the harvest. Between those bounds the ranges are set</w:t>
      </w:r>
      <w:r>
        <w:t xml:space="preserve"> </w:t>
      </w:r>
      <w:r>
        <w:t xml:space="preserve">wider than the ranges the commercial process will be operated in, so that the studies say</w:t>
      </w:r>
      <w:r>
        <w:t xml:space="preserve"> </w:t>
      </w:r>
      <w:r>
        <w:t xml:space="preserve">something about performance outside routine operation and support later movement within the</w:t>
      </w:r>
      <w:r>
        <w:t xml:space="preserve"> </w:t>
      </w:r>
      <w:r>
        <w:t xml:space="preserve">design space.</w:t>
      </w:r>
    </w:p>
    <w:p>
      <w:pPr>
        <w:pStyle w:val="BodyText"/>
      </w:pPr>
      <w:r>
        <w:t xml:space="preserve">The risk assessment comes second. RA-001 ranks every parameter carried into the assessment</w:t>
      </w:r>
      <w:r>
        <w:t xml:space="preserve"> </w:t>
      </w:r>
      <w:r>
        <w:t xml:space="preserve">on its potential impact on a quality attribute and on its potential to interact with other</w:t>
      </w:r>
      <w:r>
        <w:t xml:space="preserve"> </w:t>
      </w:r>
      <w:r>
        <w:t xml:space="preserve">parameters, and assigns it a study type. Parameters that can affect an attribute and can</w:t>
      </w:r>
      <w:r>
        <w:t xml:space="preserve"> </w:t>
      </w:r>
      <w:r>
        <w:t xml:space="preserve">interact are studied together in a multivariate design. Parameters that can affect an</w:t>
      </w:r>
      <w:r>
        <w:t xml:space="preserve"> </w:t>
      </w:r>
      <w:r>
        <w:t xml:space="preserve">attribute but act independently of the others are studied one at a time. §4 gives the</w:t>
      </w:r>
      <w:r>
        <w:t xml:space="preserve"> </w:t>
      </w:r>
      <w:r>
        <w:t xml:space="preserve">outcome across the train.</w:t>
      </w:r>
    </w:p>
    <w:p>
      <w:pPr>
        <w:pStyle w:val="BodyText"/>
      </w:pPr>
      <w:r>
        <w:t xml:space="preserve">The studies come third. Each step with a multivariate design runs a two-level screening</w:t>
      </w:r>
      <w:r>
        <w:t xml:space="preserve"> </w:t>
      </w:r>
      <w:r>
        <w:t xml:space="preserve">design in its screening factors, followed by a response surface design in the factors</w:t>
      </w:r>
      <w:r>
        <w:t xml:space="preserve"> </w:t>
      </w:r>
      <w:r>
        <w:t xml:space="preserve">screening carries forward. The screening design identifies which factors act and where the</w:t>
      </w:r>
      <w:r>
        <w:t xml:space="preserve"> </w:t>
      </w:r>
      <w:r>
        <w:t xml:space="preserve">interactions are. The response surface model is the predictive model, and the operating</w:t>
      </w:r>
      <w:r>
        <w:t xml:space="preserve"> </w:t>
      </w:r>
      <w:r>
        <w:t xml:space="preserve">region, the proven acceptable ranges and the capability estimate of the step are all derived</w:t>
      </w:r>
      <w:r>
        <w:t xml:space="preserve"> </w:t>
      </w:r>
      <w:r>
        <w:t xml:space="preserve">from it. Steps without a multivariate design are characterized univariately, with</w:t>
      </w:r>
      <w:r>
        <w:t xml:space="preserve"> </w:t>
      </w:r>
      <w:r>
        <w:t xml:space="preserve">verification runs at the edges of the ranges claimed.</w:t>
      </w:r>
    </w:p>
    <w:p>
      <w:pPr>
        <w:pStyle w:val="BodyText"/>
      </w:pPr>
      <w:r>
        <w:t xml:space="preserve">The output is a control strategy. Each report classifies the parameters of its step, states</w:t>
      </w:r>
      <w:r>
        <w:t xml:space="preserve"> </w:t>
      </w:r>
      <w:r>
        <w:t xml:space="preserve">the ranges the step will be operated within, and names the in-process controls and the</w:t>
      </w:r>
      <w:r>
        <w:t xml:space="preserve"> </w:t>
      </w:r>
      <w:r>
        <w:t xml:space="preserve">release tests that hold the attributes the step forms or clears. PCMR-001 assembles those</w:t>
      </w:r>
      <w:r>
        <w:t xml:space="preserve"> </w:t>
      </w:r>
      <w:r>
        <w:t xml:space="preserve">contributions into one control strategy for the drug substance, and states the cumulative</w:t>
      </w:r>
      <w:r>
        <w:t xml:space="preserve"> </w:t>
      </w:r>
      <w:r>
        <w:t xml:space="preserve">viral clearance claim across the steps that carry one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Criticality is treated as a continuum throughout, for attributes and for parameters</w:t>
      </w:r>
      <w:r>
        <w:t xml:space="preserve"> </w:t>
      </w:r>
      <w:r>
        <w:t xml:space="preserve">(International Council for Harmonisation 2023b)</w:t>
      </w:r>
      <w:r>
        <w:t xml:space="preserve">. An attribute is placed on a scale of criticality with the score that put it there,</w:t>
      </w:r>
      <w:r>
        <w:t xml:space="preserve"> </w:t>
      </w:r>
      <w:r>
        <w:t xml:space="preserve">and a parameter is classified from the size of its demonstrated effect together with the</w:t>
      </w:r>
      <w:r>
        <w:t xml:space="preserve"> </w:t>
      </w:r>
      <w:r>
        <w:t xml:space="preserve">risk that it leaves its range in routine operation.</w:t>
      </w:r>
    </w:p>
    <w:p>
      <w:pPr>
        <w:pStyle w:val="BodyText"/>
      </w:pPr>
      <w:r>
        <w:t xml:space="preserve">Stage 1 is executed at small scale. Everything the campaign says about commercial</w:t>
      </w:r>
      <w:r>
        <w:t xml:space="preserve"> </w:t>
      </w:r>
      <w:r>
        <w:t xml:space="preserve">performance rests on the qualification of the scale-down models (§5) and on the ranges</w:t>
      </w:r>
      <w:r>
        <w:t xml:space="preserve"> </w:t>
      </w:r>
      <w:r>
        <w:t xml:space="preserve">actually studied. Confirmation at commercial scale is Stage 2 work. 5 process performance</w:t>
      </w:r>
      <w:r>
        <w:t xml:space="preserve"> </w:t>
      </w:r>
      <w:r>
        <w:t xml:space="preserve">qualification batches are planned at the receiving site under PTP-001, and they are run</w:t>
      </w:r>
      <w:r>
        <w:t xml:space="preserve"> </w:t>
      </w:r>
      <w:r>
        <w:t xml:space="preserve">against the ranges this campaign establishes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15"/>
    <w:bookmarkStart w:id="18" w:name="critical-quality-attribute-framework"/>
    <w:p>
      <w:pPr>
        <w:pStyle w:val="Heading1"/>
      </w:pPr>
      <w:r>
        <w:t xml:space="preserve">3. Critical quality attribute framework</w:t>
      </w:r>
    </w:p>
    <w:p>
      <w:pPr>
        <w:pStyle w:val="FirstParagraph"/>
      </w:pP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the drug substance quality attribute register the campaign works to. It carries</w:t>
      </w:r>
      <w:r>
        <w:t xml:space="preserve"> </w:t>
      </w:r>
      <w:r>
        <w:t xml:space="preserve">10 attributes with the acceptance criterion for each, the criticality assigned to it, the</w:t>
      </w:r>
      <w:r>
        <w:t xml:space="preserve"> </w:t>
      </w:r>
      <w:r>
        <w:t xml:space="preserve">score behind that assignment and the step at which it is formed or set. Every</w:t>
      </w:r>
      <w:r>
        <w:t xml:space="preserve"> </w:t>
      </w:r>
      <w:r>
        <w:t xml:space="preserve">characterization plan draws its study responses from this register. No study defines an</w:t>
      </w:r>
      <w:r>
        <w:t xml:space="preserve"> </w:t>
      </w:r>
      <w:r>
        <w:t xml:space="preserve">attribute of its own, and the criteria in this table are the drug substance criteria the</w:t>
      </w:r>
      <w:r>
        <w:t xml:space="preserve"> </w:t>
      </w:r>
      <w:r>
        <w:t xml:space="preserve">campaign works to. A step may also carry an in-process limit that is tighter than the drug</w:t>
      </w:r>
      <w:r>
        <w:t xml:space="preserve"> </w:t>
      </w:r>
      <w:r>
        <w:t xml:space="preserve">substance criterion, and §7 states how the two relate.</w:t>
      </w:r>
    </w:p>
    <w:p>
      <w:pPr>
        <w:pStyle w:val="BodyText"/>
      </w:pPr>
      <w:r>
        <w:t xml:space="preserve">Criticality was assigned with the risk tool of the case study, in which the score is the</w:t>
      </w:r>
      <w:r>
        <w:t xml:space="preserve"> </w:t>
      </w:r>
      <w:r>
        <w:t xml:space="preserve">impact of the attribute on safety or efficacy multiplied by the uncertainty in that impact</w:t>
      </w:r>
      <w:r>
        <w:t xml:space="preserve"> </w:t>
      </w:r>
      <w:r>
        <w:t xml:space="preserve">(CMC Biotech Working Group 2009)</w:t>
      </w:r>
      <w:r>
        <w:t xml:space="preserve">. Attributes scored high or very high are called critical, and 6 of the 10</w:t>
      </w:r>
      <w:r>
        <w:t xml:space="preserve"> </w:t>
      </w:r>
      <w:r>
        <w:t xml:space="preserve">attributes are critical on that convention. 2 of them are ranked between two levels rather</w:t>
      </w:r>
      <w:r>
        <w:t xml:space="preserve"> </w:t>
      </w:r>
      <w:r>
        <w:t xml:space="preserve">than at one, and those are Host Cell Protein (HCP) and Leached Protein A. Each is studied at the higher of the two levels it spans, so</w:t>
      </w:r>
      <w:r>
        <w:t xml:space="preserve"> </w:t>
      </w:r>
      <w:r>
        <w:t xml:space="preserve">a study of either is designed to the acceptance criterion of a critical attribute</w:t>
      </w:r>
      <w:r>
        <w:t xml:space="preserve"> </w:t>
      </w:r>
      <w:r>
        <w:t xml:space="preserve">(International Council for Harmonisation 2023b)</w:t>
      </w:r>
      <w:r>
        <w:t xml:space="preserve">.</w:t>
      </w:r>
    </w:p>
    <w:p>
      <w:pPr>
        <w:pStyle w:val="BodyText"/>
      </w:pPr>
      <w:r>
        <w:t xml:space="preserve">The register separates what the process forms from what it must remove. The glycan</w:t>
      </w:r>
      <w:r>
        <w:t xml:space="preserve"> </w:t>
      </w:r>
      <w:r>
        <w:t xml:space="preserve">attributes, the acidic charge variants and the aggregate level are formed in the production</w:t>
      </w:r>
      <w:r>
        <w:t xml:space="preserve"> </w:t>
      </w:r>
      <w:r>
        <w:t xml:space="preserve">bioreactor. The glycosylation attributes are not modified by the purification train, because</w:t>
      </w:r>
      <w:r>
        <w:t xml:space="preserve"> </w:t>
      </w:r>
      <w:r>
        <w:t xml:space="preserve">neither affinity capture nor the charge-based separations discriminate between glycoforms at</w:t>
      </w:r>
      <w:r>
        <w:t xml:space="preserve"> </w:t>
      </w:r>
      <w:r>
        <w:t xml:space="preserve">platform conditions</w:t>
      </w:r>
      <w:r>
        <w:t xml:space="preserve"> </w:t>
      </w:r>
      <w:r>
        <w:t xml:space="preserve">(CMC Biotech Working Group 2009)</w:t>
      </w:r>
      <w:r>
        <w:t xml:space="preserve">. Characterization of those attributes is therefore an</w:t>
      </w:r>
      <w:r>
        <w:t xml:space="preserve"> </w:t>
      </w:r>
      <w:r>
        <w:t xml:space="preserve">upstream activity and PCP-003 carries it. Aggregate is formed upstream and reduced at cation</w:t>
      </w:r>
      <w:r>
        <w:t xml:space="preserve"> </w:t>
      </w:r>
      <w:r>
        <w:t xml:space="preserve">exchange, and the acidic variants can increase during the low pH hold, so the plans for</w:t>
      </w:r>
      <w:r>
        <w:t xml:space="preserve"> </w:t>
      </w:r>
      <w:r>
        <w:t xml:space="preserve">those two steps study the change their step makes rather than the level it forms. The</w:t>
      </w:r>
      <w:r>
        <w:t xml:space="preserve"> </w:t>
      </w:r>
      <w:r>
        <w:t xml:space="preserve">process impurities are carried into the purification train by the harvested culture fluid</w:t>
      </w:r>
      <w:r>
        <w:t xml:space="preserve"> </w:t>
      </w:r>
      <w:r>
        <w:t xml:space="preserve">and are cleared by the chromatography steps, so each purification plan studies the clearance</w:t>
      </w:r>
      <w:r>
        <w:t xml:space="preserve"> </w:t>
      </w:r>
      <w:r>
        <w:t xml:space="preserve">its step provides and the input level it is challenged with.</w:t>
      </w:r>
    </w:p>
    <w:p>
      <w:pPr>
        <w:pStyle w:val="BodyText"/>
      </w:pPr>
      <w:r>
        <w:t xml:space="preserve">The 2 viral safety attributes are cumulative. Their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requirements on the whole process, and no single step is required to meet them alone. The</w:t>
      </w:r>
      <w:r>
        <w:t xml:space="preserve"> </w:t>
      </w:r>
      <w:r>
        <w:t xml:space="preserve">low pH hold disrupts the lipid envelope of an enveloped virus, so it inactivates XMuLV and</w:t>
      </w:r>
      <w:r>
        <w:t xml:space="preserve"> </w:t>
      </w:r>
      <w:r>
        <w:t xml:space="preserve">carries no claim against the non-enveloped parvovirus MVM. The anion exchange resin binds</w:t>
      </w:r>
      <w:r>
        <w:t xml:space="preserve"> </w:t>
      </w:r>
      <w:r>
        <w:t xml:space="preserve">virus particles by their net negative surface charge while the antibody flows past. The</w:t>
      </w:r>
      <w:r>
        <w:t xml:space="preserve"> </w:t>
      </w:r>
      <w:r>
        <w:t xml:space="preserve">virus filter retains particles on a membrane whose pore size rating sits below the diameter</w:t>
      </w:r>
      <w:r>
        <w:t xml:space="preserve"> </w:t>
      </w:r>
      <w:r>
        <w:t xml:space="preserve">of MVM. Each of those mechanisms acts on a different property of the particle, its envelope,</w:t>
      </w:r>
      <w:r>
        <w:t xml:space="preserve"> </w:t>
      </w:r>
      <w:r>
        <w:t xml:space="preserve">its charge and its size, so surviving one does not make a particle more likely to survive</w:t>
      </w:r>
      <w:r>
        <w:t xml:space="preserve"> </w:t>
      </w:r>
      <w:r>
        <w:t xml:space="preserve">the next and the log reduction values may be added</w:t>
      </w:r>
      <w:r>
        <w:t xml:space="preserve"> </w:t>
      </w:r>
      <w:r>
        <w:t xml:space="preserve">(International Council for Harmonisation 2023a)</w:t>
      </w:r>
      <w:r>
        <w:t xml:space="preserve">. Each of those three plans</w:t>
      </w:r>
      <w:r>
        <w:t xml:space="preserve"> </w:t>
      </w:r>
      <w:r>
        <w:t xml:space="preserve">states the step contribution it must demonstrate, back-calculated from the cumulative</w:t>
      </w:r>
      <w:r>
        <w:t xml:space="preserve"> </w:t>
      </w:r>
      <w:r>
        <w:t xml:space="preserve">requirement less the nominal contribution of the other steps (§7). PCMR-001 states the</w:t>
      </w:r>
      <w:r>
        <w:t xml:space="preserve"> </w:t>
      </w:r>
      <w:r>
        <w:t xml:space="preserve">cumulative claim, and no per-step report claims the whole of it.</w:t>
      </w:r>
    </w:p>
    <w:p>
      <w:pPr>
        <w:pStyle w:val="BodyText"/>
      </w:pPr>
      <w:r>
        <w:t xml:space="preserve">Every attribute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measured by a validated method, and every study is executed</w:t>
      </w:r>
      <w:r>
        <w:t xml:space="preserve"> </w:t>
      </w:r>
      <w:r>
        <w:t xml:space="preserve">under a controlled procedure.</w:t>
      </w:r>
      <w:r>
        <w:t xml:space="preserve"> </w:t>
      </w:r>
      <w:hyperlink w:anchor="tbl-controlled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procedures and method validations</w:t>
      </w:r>
      <w:r>
        <w:t xml:space="preserve"> </w:t>
      </w:r>
      <w:r>
        <w:t xml:space="preserve">cited across the campaign. Each plan cites the subset that applies to its step and states</w:t>
      </w:r>
      <w:r>
        <w:t xml:space="preserve"> </w:t>
      </w:r>
      <w:r>
        <w:t xml:space="preserve">the precision of the methods its responses depend on, because the precision of an assay sets</w:t>
      </w:r>
      <w:r>
        <w:t xml:space="preserve"> </w:t>
      </w:r>
      <w:r>
        <w:t xml:space="preserve">the smallest effect a study of that response can resolve.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 substance quality attribute register, with the step at which each attribute is formed or set.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34"/>
              <w:gridCol w:w="1011"/>
              <w:gridCol w:w="1572"/>
              <w:gridCol w:w="842"/>
              <w:gridCol w:w="617"/>
              <w:gridCol w:w="17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Formed or set 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controll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analytical method validations cited across the campaign.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7"/>
          <w:p/>
        </w:tc>
      </w:tr>
    </w:tbl>
    <w:bookmarkEnd w:id="18"/>
    <w:bookmarkStart w:id="20" w:name="risk-based-prioritization"/>
    <w:p>
      <w:pPr>
        <w:pStyle w:val="Heading1"/>
      </w:pPr>
      <w:r>
        <w:t xml:space="preserve">4. Risk-based prioritization</w:t>
      </w:r>
    </w:p>
    <w:p>
      <w:pPr>
        <w:pStyle w:val="FirstParagraph"/>
      </w:pPr>
      <w:r>
        <w:t xml:space="preserve">RA-001 was completed before any characterization study was executed, and its output is the</w:t>
      </w:r>
      <w:r>
        <w:t xml:space="preserve"> </w:t>
      </w:r>
      <w:r>
        <w:t xml:space="preserve">scope of this campaign. It is not a classification of parameters. A parameter is classified</w:t>
      </w:r>
      <w:r>
        <w:t xml:space="preserve"> </w:t>
      </w:r>
      <w:r>
        <w:t xml:space="preserve">only after the study that measures its effect has reported, under SOP-4001 and in the report</w:t>
      </w:r>
      <w:r>
        <w:t xml:space="preserve"> </w:t>
      </w:r>
      <w:r>
        <w:t xml:space="preserve">of its own step (§7).</w:t>
      </w:r>
    </w:p>
    <w:p>
      <w:pPr>
        <w:pStyle w:val="BodyText"/>
      </w:pPr>
      <w:r>
        <w:t xml:space="preserve">The method is risk ranking and filtering</w:t>
      </w:r>
      <w:r>
        <w:t xml:space="preserve"> </w:t>
      </w:r>
      <w:r>
        <w:t xml:space="preserve">(CMC Biotech Working Group 2009; International Council for Harmonisation 2023b)</w:t>
      </w:r>
      <w:r>
        <w:t xml:space="preserve">. Each parameter carried into</w:t>
      </w:r>
      <w:r>
        <w:t xml:space="preserve"> </w:t>
      </w:r>
      <w:r>
        <w:t xml:space="preserve">the assessment was ranked twice. One ranking is the potential impact of a deviation in that</w:t>
      </w:r>
      <w:r>
        <w:t xml:space="preserve"> </w:t>
      </w:r>
      <w:r>
        <w:t xml:space="preserve">parameter on a quality attribute, weighted by the criticality of the attribute affected. The</w:t>
      </w:r>
      <w:r>
        <w:t xml:space="preserve"> </w:t>
      </w:r>
      <w:r>
        <w:t xml:space="preserve">other is the potential for the parameter to interact with other parameters of the same step.</w:t>
      </w:r>
      <w:r>
        <w:t xml:space="preserve"> </w:t>
      </w:r>
      <w:r>
        <w:t xml:space="preserve">Where no data or rationale supported an assessment, the parameter was ranked at the highest</w:t>
      </w:r>
      <w:r>
        <w:t xml:space="preserve"> </w:t>
      </w:r>
      <w:r>
        <w:t xml:space="preserve">level. The combined score then decides the study type. A high score with interaction</w:t>
      </w:r>
      <w:r>
        <w:t xml:space="preserve"> </w:t>
      </w:r>
      <w:r>
        <w:t xml:space="preserve">potential sends the parameter into a multivariate design, a high score without it into a</w:t>
      </w:r>
      <w:r>
        <w:t xml:space="preserve"> </w:t>
      </w:r>
      <w:r>
        <w:t xml:space="preserve">univariate study, and a score below the filter into no new study at all.</w:t>
      </w:r>
    </w:p>
    <w:p>
      <w:pPr>
        <w:pStyle w:val="BodyText"/>
      </w:pPr>
      <w:hyperlink w:anchor="tbl-scope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outcome across the train. 37 parameters are carried into the campaign,</w:t>
      </w:r>
      <w:r>
        <w:t xml:space="preserve"> </w:t>
      </w:r>
      <w:r>
        <w:t xml:space="preserve">of which 22 are assigned to a multivariate design and 15 to univariate assessment.</w:t>
      </w:r>
      <w:r>
        <w:t xml:space="preserve"> </w:t>
      </w:r>
      <w:r>
        <w:t xml:space="preserve">Parameters that fell below the filter are not listed in this plan. They are operated to the</w:t>
      </w:r>
      <w:r>
        <w:t xml:space="preserve"> </w:t>
      </w:r>
      <w:r>
        <w:t xml:space="preserve">ranges established from platform manufacture, and RA-001 records them together with the</w:t>
      </w:r>
      <w:r>
        <w:t xml:space="preserve"> </w:t>
      </w:r>
      <w:r>
        <w:t xml:space="preserve">reasoning that excluded them.</w:t>
      </w:r>
    </w:p>
    <w:p>
      <w:pPr>
        <w:pStyle w:val="BodyText"/>
      </w:pPr>
      <w:r>
        <w:t xml:space="preserve">The split is uneven across the train, and it follows what each step does. The production</w:t>
      </w:r>
      <w:r>
        <w:t xml:space="preserve"> </w:t>
      </w:r>
      <w:r>
        <w:t xml:space="preserve">bioreactor carries the largest multivariate design because it forms most of the quality</w:t>
      </w:r>
      <w:r>
        <w:t xml:space="preserve"> </w:t>
      </w:r>
      <w:r>
        <w:t xml:space="preserve">attributes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and because its parameters reach those attributes through one</w:t>
      </w:r>
      <w:r>
        <w:t xml:space="preserve"> </w:t>
      </w:r>
      <w:r>
        <w:t xml:space="preserve">culture environment. Carbon dioxide accumulation acidifies the medium, the base added to</w:t>
      </w:r>
      <w:r>
        <w:t xml:space="preserve"> </w:t>
      </w:r>
      <w:r>
        <w:t xml:space="preserve">hold pH at set-point raises osmolality, and pH and osmolality act together on the Golgi</w:t>
      </w:r>
      <w:r>
        <w:t xml:space="preserve"> </w:t>
      </w:r>
      <w:r>
        <w:t xml:space="preserve">enzymes that attach galactose and fucose, so a change in gassing arrives at the glycan</w:t>
      </w:r>
      <w:r>
        <w:t xml:space="preserve"> </w:t>
      </w:r>
      <w:r>
        <w:t xml:space="preserve">through three routes at once. Culture duration acts on the same enzymes for longer, and</w:t>
      </w:r>
      <w:r>
        <w:t xml:space="preserve"> </w:t>
      </w:r>
      <w:r>
        <w:t xml:space="preserve">platform experience is that a longer culture lowers afucosylation</w:t>
      </w:r>
      <w:r>
        <w:t xml:space="preserve"> </w:t>
      </w:r>
      <w:r>
        <w:t xml:space="preserve">(CMC Biotech Working Group 2009)</w:t>
      </w:r>
      <w:r>
        <w:t xml:space="preserve">. Parameters</w:t>
      </w:r>
      <w:r>
        <w:t xml:space="preserve"> </w:t>
      </w:r>
      <w:r>
        <w:t xml:space="preserve">that reach one attribute by several routes cannot be separated one at a time, which is why</w:t>
      </w:r>
      <w:r>
        <w:t xml:space="preserve"> </w:t>
      </w:r>
      <w:r>
        <w:t xml:space="preserve">they are studied together. 6 of the 8 steps have a multivariate design. The 2 that do</w:t>
      </w:r>
      <w:r>
        <w:t xml:space="preserve"> </w:t>
      </w:r>
      <w:r>
        <w:t xml:space="preserve">not are harvest and clarification, which recovers and clarifies the culture fluid without</w:t>
      </w:r>
      <w:r>
        <w:t xml:space="preserve"> </w:t>
      </w:r>
      <w:r>
        <w:t xml:space="preserve">forming a product quality attribute, and the ultrafiltration and diafiltration step, which</w:t>
      </w:r>
      <w:r>
        <w:t xml:space="preserve"> </w:t>
      </w:r>
      <w:r>
        <w:t xml:space="preserve">concentrates the pool and exchanges it into formulation buffer. The parameters of those two</w:t>
      </w:r>
      <w:r>
        <w:t xml:space="preserve"> </w:t>
      </w:r>
      <w:r>
        <w:t xml:space="preserve">steps are assessed one at a time, and their plans present no designed experiment.</w:t>
      </w:r>
    </w:p>
    <w:p>
      <w:pPr>
        <w:pStyle w:val="BodyText"/>
      </w:pPr>
      <w:r>
        <w:t xml:space="preserve">The assignment is prospective, and it may be wrong. If a study shows an effect where the</w:t>
      </w:r>
      <w:r>
        <w:t xml:space="preserve"> </w:t>
      </w:r>
      <w:r>
        <w:t xml:space="preserve">assessment expected none, or a parameter proves to interact where it was assumed</w:t>
      </w:r>
      <w:r>
        <w:t xml:space="preserve"> </w:t>
      </w:r>
      <w:r>
        <w:t xml:space="preserve">independent, the affected plan will be amended before execution continues and the change</w:t>
      </w:r>
      <w:r>
        <w:t xml:space="preserve"> </w:t>
      </w:r>
      <w:r>
        <w:t xml:space="preserve">recorded in the report of that step. RA-001 is revisited once the campaign has reported, so</w:t>
      </w:r>
      <w:r>
        <w:t xml:space="preserve"> </w:t>
      </w:r>
      <w:r>
        <w:t xml:space="preserve">that the risk basis carried into Stage 2 reflects what the studies measured.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Characterization scope per step, and the plan and report that cover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36"/>
              <w:gridCol w:w="3154"/>
              <w:gridCol w:w="939"/>
              <w:gridCol w:w="1073"/>
              <w:gridCol w:w="939"/>
              <w:gridCol w:w="12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/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 / 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 /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 /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 /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 /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 /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 / PCR-010</w:t>
                  </w:r>
                </w:p>
              </w:tc>
            </w:tr>
          </w:tbl>
          <w:bookmarkEnd w:id="19"/>
          <w:p/>
        </w:tc>
      </w:tr>
    </w:tbl>
    <w:bookmarkEnd w:id="20"/>
    <w:bookmarkStart w:id="21" w:name="scale-down-model-strategy"/>
    <w:p>
      <w:pPr>
        <w:pStyle w:val="Heading1"/>
      </w:pPr>
      <w:r>
        <w:t xml:space="preserve">5. Scale-down model strategy</w:t>
      </w:r>
    </w:p>
    <w:p>
      <w:pPr>
        <w:pStyle w:val="FirstParagraph"/>
      </w:pPr>
      <w:r>
        <w:t xml:space="preserve">Every characterization study in this campaign is executed at small scale. What the studies</w:t>
      </w:r>
      <w:r>
        <w:t xml:space="preserve"> </w:t>
      </w:r>
      <w:r>
        <w:t xml:space="preserve">show applies to the commercial process only if the model used is representative of it, so</w:t>
      </w:r>
      <w:r>
        <w:t xml:space="preserve"> </w:t>
      </w:r>
      <w:r>
        <w:t xml:space="preserve">qualification of the scale-down model is the first thing each plan specifies and the first</w:t>
      </w:r>
      <w:r>
        <w:t xml:space="preserve"> </w:t>
      </w:r>
      <w:r>
        <w:t xml:space="preserve">thing each report defends. Qualification is performed under SOP-1001.</w:t>
      </w:r>
    </w:p>
    <w:p>
      <w:pPr>
        <w:pStyle w:val="BodyText"/>
      </w:pPr>
      <w:r>
        <w:t xml:space="preserve">The principle is the same at every step. Parameters that do not depend on scale are operated</w:t>
      </w:r>
      <w:r>
        <w:t xml:space="preserve"> </w:t>
      </w:r>
      <w:r>
        <w:t xml:space="preserve">at the commercial set-point in the model. Parameters that do depend on scale are set so that</w:t>
      </w:r>
      <w:r>
        <w:t xml:space="preserve"> </w:t>
      </w:r>
      <w:r>
        <w:t xml:space="preserve">the model matches the commercial equipment on the property through which scale reaches the</w:t>
      </w:r>
      <w:r>
        <w:t xml:space="preserve"> </w:t>
      </w:r>
      <w:r>
        <w:t xml:space="preserve">product, which is volumetric mass transfer and mixing time in a bioreactor, linear velocity</w:t>
      </w:r>
      <w:r>
        <w:t xml:space="preserve"> </w:t>
      </w:r>
      <w:r>
        <w:t xml:space="preserve">and residence time on a column, and flux and transmembrane pressure across a membrane. The</w:t>
      </w:r>
      <w:r>
        <w:t xml:space="preserve"> </w:t>
      </w:r>
      <w:r>
        <w:t xml:space="preserve">model is then run at set-point conditions and its input and output attributes are compared</w:t>
      </w:r>
      <w:r>
        <w:t xml:space="preserve"> </w:t>
      </w:r>
      <w:r>
        <w:t xml:space="preserve">with data from the at-scale process. A model is qualified for an attribute when the</w:t>
      </w:r>
      <w:r>
        <w:t xml:space="preserve"> </w:t>
      </w:r>
      <w:r>
        <w:t xml:space="preserve">difference between scales is smaller than the variability of the method that measures it</w:t>
      </w:r>
      <w:r>
        <w:t xml:space="preserve"> </w:t>
      </w:r>
      <w:r>
        <w:t xml:space="preserve">(§7).</w:t>
      </w:r>
    </w:p>
    <w:p>
      <w:pPr>
        <w:pStyle w:val="BodyText"/>
      </w:pPr>
      <w:r>
        <w:t xml:space="preserve">What has to be matched differs by step, and each plan states the basis it uses. For the</w:t>
      </w:r>
      <w:r>
        <w:t xml:space="preserve"> </w:t>
      </w:r>
      <w:r>
        <w:t xml:space="preserve">production bioreactor, pH, temperature, osmolality and culture duration are operated at the</w:t>
      </w:r>
      <w:r>
        <w:t xml:space="preserve"> </w:t>
      </w:r>
      <w:r>
        <w:t xml:space="preserve">commercial set-points, while agitation and gas flow rates are set so that mass transfer and</w:t>
      </w:r>
      <w:r>
        <w:t xml:space="preserve"> </w:t>
      </w:r>
      <w:r>
        <w:t xml:space="preserve">the carbon dioxide accumulation of the small vessel reproduce those of the commercial</w:t>
      </w:r>
      <w:r>
        <w:t xml:space="preserve"> </w:t>
      </w:r>
      <w:r>
        <w:t xml:space="preserve">vessel. For the chromatography steps, bed height, linear velocity, residence time, protein</w:t>
      </w:r>
      <w:r>
        <w:t xml:space="preserve"> </w:t>
      </w:r>
      <w:r>
        <w:t xml:space="preserve">load per litre of resin and the buffer volumes expressed in column volumes are held equal to</w:t>
      </w:r>
      <w:r>
        <w:t xml:space="preserve"> </w:t>
      </w:r>
      <w:r>
        <w:t xml:space="preserve">commercial values, and column efficiency is confirmed by plate count and peak asymmetry</w:t>
      </w:r>
      <w:r>
        <w:t xml:space="preserve"> </w:t>
      </w:r>
      <w:r>
        <w:t xml:space="preserve">before a study is executed. For the low pH hold, the model must reproduce the mixing and the</w:t>
      </w:r>
      <w:r>
        <w:t xml:space="preserve"> </w:t>
      </w:r>
      <w:r>
        <w:t xml:space="preserve">time taken to reach the hold pH, because inactivation depends on the pH the material sees</w:t>
      </w:r>
      <w:r>
        <w:t xml:space="preserve"> </w:t>
      </w:r>
      <w:r>
        <w:t xml:space="preserve">and on how long it sees it. For virus filtration, the volumetric load per membrane area, the</w:t>
      </w:r>
      <w:r>
        <w:t xml:space="preserve"> </w:t>
      </w:r>
      <w:r>
        <w:t xml:space="preserve">flux and the pressure are matched, and the same filter type is used. For ultrafiltration and</w:t>
      </w:r>
      <w:r>
        <w:t xml:space="preserve"> </w:t>
      </w:r>
      <w:r>
        <w:t xml:space="preserve">diafiltration, the membrane chemistry, the channel path length, the flux, the transmembrane</w:t>
      </w:r>
      <w:r>
        <w:t xml:space="preserve"> </w:t>
      </w:r>
      <w:r>
        <w:t xml:space="preserve">pressure and the number of diavolumes are matched.</w:t>
      </w:r>
    </w:p>
    <w:p>
      <w:pPr>
        <w:pStyle w:val="BodyText"/>
      </w:pPr>
      <w:r>
        <w:t xml:space="preserve">The three steps that carry a viral clearance claim are qualified twice over. Their models</w:t>
      </w:r>
      <w:r>
        <w:t xml:space="preserve"> </w:t>
      </w:r>
      <w:r>
        <w:t xml:space="preserve">must be representative of the process step, and they must also be suitable for a spiking</w:t>
      </w:r>
      <w:r>
        <w:t xml:space="preserve"> </w:t>
      </w:r>
      <w:r>
        <w:t xml:space="preserve">study under the conditions of ICH Q5A</w:t>
      </w:r>
      <w:r>
        <w:t xml:space="preserve"> </w:t>
      </w:r>
      <w:r>
        <w:t xml:space="preserve">(International Council for Harmonisation 2023a)</w:t>
      </w:r>
      <w:r>
        <w:t xml:space="preserve">. A virus spike changes the load, so the</w:t>
      </w:r>
      <w:r>
        <w:t xml:space="preserve"> </w:t>
      </w:r>
      <w:r>
        <w:t xml:space="preserve">spiked model is compared with the unspiked model for the attributes the step controls, and</w:t>
      </w:r>
      <w:r>
        <w:t xml:space="preserve"> </w:t>
      </w:r>
      <w:r>
        <w:t xml:space="preserve">the spike volume is kept small enough that the conductivity and pH of the load stay inside</w:t>
      </w:r>
      <w:r>
        <w:t xml:space="preserve"> </w:t>
      </w:r>
      <w:r>
        <w:t xml:space="preserve">the range studied. Where the spiked and unspiked models differ, the difference is reported</w:t>
      </w:r>
      <w:r>
        <w:t xml:space="preserve"> </w:t>
      </w:r>
      <w:r>
        <w:t xml:space="preserve">and the clearance claim is bounded by it.</w:t>
      </w:r>
    </w:p>
    <w:p>
      <w:pPr>
        <w:pStyle w:val="BodyText"/>
      </w:pPr>
      <w:r>
        <w:t xml:space="preserve">Every designed study includes replicated centre points at the set-point condition, and those</w:t>
      </w:r>
      <w:r>
        <w:t xml:space="preserve"> </w:t>
      </w:r>
      <w:r>
        <w:t xml:space="preserve">replicates do two jobs. They provide the pure error term that the lack of fit test needs</w:t>
      </w:r>
      <w:r>
        <w:t xml:space="preserve"> </w:t>
      </w:r>
      <w:r>
        <w:t xml:space="preserve">(§6), and they monitor the model across the execution of the design. A drift in the centre</w:t>
      </w:r>
      <w:r>
        <w:t xml:space="preserve"> </w:t>
      </w:r>
      <w:r>
        <w:t xml:space="preserve">point response between the start and the end of a design is treated as evidence about the</w:t>
      </w:r>
      <w:r>
        <w:t xml:space="preserve"> </w:t>
      </w:r>
      <w:r>
        <w:t xml:space="preserve">model or the material and is investigated before the design is analysed.</w:t>
      </w:r>
    </w:p>
    <w:p>
      <w:pPr>
        <w:pStyle w:val="BodyText"/>
      </w:pPr>
      <w:r>
        <w:t xml:space="preserve">A model that cannot be qualified for an attribute is not used to make a claim about that</w:t>
      </w:r>
      <w:r>
        <w:t xml:space="preserve"> </w:t>
      </w:r>
      <w:r>
        <w:t xml:space="preserve">attribute. Where this occurs, the plan of the step will state what is claimed instead, which</w:t>
      </w:r>
      <w:r>
        <w:t xml:space="preserve"> </w:t>
      </w:r>
      <w:r>
        <w:t xml:space="preserve">may be control of the attribute by release testing, by an in-process limit, or by data from</w:t>
      </w:r>
      <w:r>
        <w:t xml:space="preserve"> </w:t>
      </w:r>
      <w:r>
        <w:t xml:space="preserve">the at-scale process. The instrumented systems used for the studies are maintained under</w:t>
      </w:r>
      <w:r>
        <w:t xml:space="preserve"> </w:t>
      </w:r>
      <w:r>
        <w:t xml:space="preserve">calibration and change control, and each plan records the systems its study uses.</w:t>
      </w:r>
    </w:p>
    <w:bookmarkEnd w:id="21"/>
    <w:bookmarkStart w:id="23" w:name="common-statistical-approach"/>
    <w:p>
      <w:pPr>
        <w:pStyle w:val="Heading1"/>
      </w:pPr>
      <w:r>
        <w:t xml:space="preserve">6. Common statistical approach</w:t>
      </w:r>
    </w:p>
    <w:p>
      <w:pPr>
        <w:pStyle w:val="FirstParagraph"/>
      </w:pPr>
      <w:r>
        <w:t xml:space="preserve">The studies are designed and analysed in coded factors. The set-point of a parameter is</w:t>
      </w:r>
      <w:r>
        <w:t xml:space="preserve"> </w:t>
      </w:r>
      <w:r>
        <w:t xml:space="preserve">coded zero and the edges of its characterization range are coded −1 / +1. Coding puts every</w:t>
      </w:r>
      <w:r>
        <w:t xml:space="preserve"> </w:t>
      </w:r>
      <w:r>
        <w:t xml:space="preserve">parameter on the same footing, so an effect is expressed as the change in the response over</w:t>
      </w:r>
      <w:r>
        <w:t xml:space="preserve"> </w:t>
      </w:r>
      <w:r>
        <w:t xml:space="preserve">half the characterization range and effects on different parameters can be compared</w:t>
      </w:r>
      <w:r>
        <w:t xml:space="preserve"> </w:t>
      </w:r>
      <w:r>
        <w:t xml:space="preserve">directly. Every design is randomized in execution order, and the analysis is performed under</w:t>
      </w:r>
      <w:r>
        <w:t xml:space="preserve"> </w:t>
      </w:r>
      <w:r>
        <w:t xml:space="preserve">SOP-1002.</w:t>
      </w:r>
    </w:p>
    <w:p>
      <w:pPr>
        <w:pStyle w:val="BodyText"/>
      </w:pPr>
      <w:r>
        <w:t xml:space="preserve">Each step with a multivariate design begins with a two-level design in all of its screening</w:t>
      </w:r>
      <w:r>
        <w:t xml:space="preserve"> </w:t>
      </w:r>
      <w:r>
        <w:t xml:space="preserve">factors, augmented with replicated centre points. A full factorial is used where the number</w:t>
      </w:r>
      <w:r>
        <w:t xml:space="preserve"> </w:t>
      </w:r>
      <w:r>
        <w:t xml:space="preserve">of factors allows it, and a resolution V half fraction where it does not, so that main</w:t>
      </w:r>
      <w:r>
        <w:t xml:space="preserve"> </w:t>
      </w:r>
      <w:r>
        <w:t xml:space="preserve">effects and two-factor interactions remain estimable. The model fitted to a screening design</w:t>
      </w:r>
      <w:r>
        <w:t xml:space="preserve"> </w:t>
      </w:r>
      <w:r>
        <w:t xml:space="preserve">carries the main effects and the two-factor interactions. An effect is twice the coded</w:t>
      </w:r>
      <w:r>
        <w:t xml:space="preserve"> </w:t>
      </w:r>
      <w:r>
        <w:t xml:space="preserve">coefficient and is reported with its p-value at a significance level of α = 0.05.</w:t>
      </w:r>
    </w:p>
    <w:p>
      <w:pPr>
        <w:pStyle w:val="BodyText"/>
      </w:pPr>
      <w:r>
        <w:t xml:space="preserve">The factors that screening carries forward go into a face-centred central composite design</w:t>
      </w:r>
      <w:r>
        <w:t xml:space="preserve"> </w:t>
      </w:r>
      <w:r>
        <w:t xml:space="preserve">with replicated centre points, and a full quadratic model is fitted to it. A two-level</w:t>
      </w:r>
      <w:r>
        <w:t xml:space="preserve"> </w:t>
      </w:r>
      <w:r>
        <w:t xml:space="preserve">screening design holds each factor at two settings, so it cannot resolve curvature and the</w:t>
      </w:r>
      <w:r>
        <w:t xml:space="preserve"> </w:t>
      </w:r>
      <w:r>
        <w:t xml:space="preserve">magnitudes it returns are refined by the quadratic model before they are used. The design</w:t>
      </w:r>
      <w:r>
        <w:t xml:space="preserve"> </w:t>
      </w:r>
      <w:r>
        <w:t xml:space="preserve">space, the proven acceptable ranges and the capability estimate are predicted from the</w:t>
      </w:r>
      <w:r>
        <w:t xml:space="preserve"> </w:t>
      </w:r>
      <w:r>
        <w:t xml:space="preserve">response surface model, and each report names the model each number came from.</w:t>
      </w:r>
    </w:p>
    <w:p>
      <w:pPr>
        <w:pStyle w:val="BodyText"/>
      </w:pPr>
      <w:hyperlink w:anchor="tbl-design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planned design structure for the 6 steps with a multivariate design.</w:t>
      </w:r>
      <w:r>
        <w:t xml:space="preserve"> </w:t>
      </w:r>
      <w:r>
        <w:t xml:space="preserve">The run counts include the centre point replicates. The response count is the number of</w:t>
      </w:r>
      <w:r>
        <w:t xml:space="preserve"> </w:t>
      </w:r>
      <w:r>
        <w:t xml:space="preserve">measured responses fitted per design, and each response is modelled separately.</w:t>
      </w:r>
    </w:p>
    <w:p>
      <w:pPr>
        <w:pStyle w:val="BodyText"/>
      </w:pPr>
      <w:r>
        <w:t xml:space="preserve">Model adequacy is judged on four things. The first is the significance of the model terms.</w:t>
      </w:r>
      <w:r>
        <w:t xml:space="preserve"> </w:t>
      </w:r>
      <w:r>
        <w:t xml:space="preserve">The second is the coefficient of determination together with its adjusted form, which</w:t>
      </w:r>
      <w:r>
        <w:t xml:space="preserve"> </w:t>
      </w:r>
      <w:r>
        <w:t xml:space="preserve">penalises terms that buy no explanation. The third is the predicted coefficient of</w:t>
      </w:r>
      <w:r>
        <w:t xml:space="preserve"> </w:t>
      </w:r>
      <w:r>
        <w:t xml:space="preserve">determination computed from the prediction error sum of squares, which says how the model</w:t>
      </w:r>
      <w:r>
        <w:t xml:space="preserve"> </w:t>
      </w:r>
      <w:r>
        <w:t xml:space="preserve">behaves on data it was not fitted to. The fourth is the lack of fit test, in which the</w:t>
      </w:r>
      <w:r>
        <w:t xml:space="preserve"> </w:t>
      </w:r>
      <w:r>
        <w:t xml:space="preserve">residual variation left by the model is compared with the pure error of the centre point</w:t>
      </w:r>
      <w:r>
        <w:t xml:space="preserve"> </w:t>
      </w:r>
      <w:r>
        <w:t xml:space="preserve">replicates. A model whose predicted coefficient falls well below its adjusted coefficient is</w:t>
      </w:r>
      <w:r>
        <w:t xml:space="preserve"> </w:t>
      </w:r>
      <w:r>
        <w:t xml:space="preserve">over-fitted and is reduced before it is used. A model with significant lack of fit does not</w:t>
      </w:r>
      <w:r>
        <w:t xml:space="preserve"> </w:t>
      </w:r>
      <w:r>
        <w:t xml:space="preserve">describe the data, and the response is then reported without a predictive model and its</w:t>
      </w:r>
      <w:r>
        <w:t xml:space="preserve"> </w:t>
      </w:r>
      <w:r>
        <w:t xml:space="preserve">range set by the observations. Residuals are examined against the predicted values and</w:t>
      </w:r>
      <w:r>
        <w:t xml:space="preserve"> </w:t>
      </w:r>
      <w:r>
        <w:t xml:space="preserve">against run order, and normality is checked on a quantile plot.</w:t>
      </w:r>
    </w:p>
    <w:p>
      <w:pPr>
        <w:pStyle w:val="BodyText"/>
      </w:pPr>
      <w:r>
        <w:t xml:space="preserve">A proven acceptable range is computed for each parameter and each attribute the step forms</w:t>
      </w:r>
      <w:r>
        <w:t xml:space="preserve"> </w:t>
      </w:r>
      <w:r>
        <w:t xml:space="preserve">or clears, in two analyses. The first holds the other parameters at the centre of the</w:t>
      </w:r>
      <w:r>
        <w:t xml:space="preserve"> </w:t>
      </w:r>
      <w:r>
        <w:t xml:space="preserve">characterization range and finds the range of the parameter over which the predicted</w:t>
      </w:r>
      <w:r>
        <w:t xml:space="preserve"> </w:t>
      </w:r>
      <w:r>
        <w:t xml:space="preserve">response meets its criterion. The second propagates the variation of the other parameters</w:t>
      </w:r>
      <w:r>
        <w:t xml:space="preserve"> </w:t>
      </w:r>
      <w:r>
        <w:t xml:space="preserve">within their normal operating ranges by Monte-Carlo simulation, and finds the range over</w:t>
      </w:r>
      <w:r>
        <w:t xml:space="preserve"> </w:t>
      </w:r>
      <w:r>
        <w:t xml:space="preserve">which the predictive bound still meets the criterion. The second analysis is the one carried</w:t>
      </w:r>
      <w:r>
        <w:t xml:space="preserve"> </w:t>
      </w:r>
      <w:r>
        <w:t xml:space="preserve">into the control strategy, because the routine process varies every parameter at once. Each</w:t>
      </w:r>
      <w:r>
        <w:t xml:space="preserve"> </w:t>
      </w:r>
      <w:r>
        <w:t xml:space="preserve">report presents both, so that the cost of the surrounding variation can be read directly.</w:t>
      </w:r>
    </w:p>
    <w:p>
      <w:pPr>
        <w:pStyle w:val="BodyText"/>
      </w:pPr>
      <w:r>
        <w:t xml:space="preserve">Capability at commercial scale is estimated by simulation. 2,000 batches are simulated with</w:t>
      </w:r>
      <w:r>
        <w:t xml:space="preserve"> </w:t>
      </w:r>
      <w:r>
        <w:t xml:space="preserve">every parameter drawn about its set-point inside its normal operating range, and the drug</w:t>
      </w:r>
      <w:r>
        <w:t xml:space="preserve"> </w:t>
      </w:r>
      <w:r>
        <w:t xml:space="preserve">substance attributes of each simulated batch are predicted from the characterized process.</w:t>
      </w:r>
      <w:r>
        <w:t xml:space="preserve"> </w:t>
      </w:r>
      <w:r>
        <w:t xml:space="preserve">Capability is then computed one-sided against the criterion that applies. For an impurity</w:t>
      </w:r>
      <w:r>
        <w:t xml:space="preserve"> </w:t>
      </w:r>
      <w:r>
        <w:t xml:space="preserve">the index is computed against the ceiling, for a viral clearance attribute against the</w:t>
      </w:r>
      <w:r>
        <w:t xml:space="preserve"> </w:t>
      </w:r>
      <w:r>
        <w:t xml:space="preserve">floor, and for an attribute with a target range as the smaller of the two. The estimate is</w:t>
      </w:r>
      <w:r>
        <w:t xml:space="preserve"> </w:t>
      </w:r>
      <w:r>
        <w:t xml:space="preserve">conditioned on the fitted models and on the normal operating ranges used to generate it, so</w:t>
      </w:r>
      <w:r>
        <w:t xml:space="preserve"> </w:t>
      </w:r>
      <w:r>
        <w:t xml:space="preserve">narrowing a normal operating range raises the index and widening one lowers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Planned design structure for the steps with a multivariate design.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15"/>
              <w:gridCol w:w="2189"/>
              <w:gridCol w:w="2060"/>
              <w:gridCol w:w="708"/>
              <w:gridCol w:w="515"/>
              <w:gridCol w:w="1094"/>
              <w:gridCol w:w="83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Factors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Centre points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Responses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Two-level screening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Face-centred central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Two-level screening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Face-centred central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Two-level screening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Face-centred central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Two-level screening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Face-centred central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Two-level screening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Face-centred central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Two-level screening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Face-centred central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2"/>
          <w:p/>
        </w:tc>
      </w:tr>
    </w:tbl>
    <w:bookmarkEnd w:id="23"/>
    <w:bookmarkStart w:id="24" w:name="acceptance-criteria-framework"/>
    <w:p>
      <w:pPr>
        <w:pStyle w:val="Heading1"/>
      </w:pPr>
      <w:r>
        <w:t xml:space="preserve">7. Acceptance criteria framework</w:t>
      </w:r>
    </w:p>
    <w:p>
      <w:pPr>
        <w:pStyle w:val="FirstParagraph"/>
      </w:pPr>
      <w:r>
        <w:t xml:space="preserve">This section states what each per-step plan must decide and on what basis it decides. A</w:t>
      </w:r>
      <w:r>
        <w:t xml:space="preserve"> </w:t>
      </w:r>
      <w:r>
        <w:t xml:space="preserve">numeric threshold is stated here only where it is fixed for the whole campaign. Where a</w:t>
      </w:r>
      <w:r>
        <w:t xml:space="preserve"> </w:t>
      </w:r>
      <w:r>
        <w:t xml:space="preserve">threshold depends on the step, on the attribute or on the precision of the method, the</w:t>
      </w:r>
      <w:r>
        <w:t xml:space="preserve"> </w:t>
      </w:r>
      <w:r>
        <w:t xml:space="preserve">criterion is defined in the plan of that step and the reason is given there.</w:t>
      </w:r>
    </w:p>
    <w:p>
      <w:pPr>
        <w:pStyle w:val="BodyText"/>
      </w:pPr>
      <w:r>
        <w:t xml:space="preserve">A scale-down model is qualified when the attributes it produces at the set-point condition</w:t>
      </w:r>
      <w:r>
        <w:t xml:space="preserve"> </w:t>
      </w:r>
      <w:r>
        <w:t xml:space="preserve">agree with data from the at-scale process, and when the difference between scales is smaller</w:t>
      </w:r>
      <w:r>
        <w:t xml:space="preserve"> </w:t>
      </w:r>
      <w:r>
        <w:t xml:space="preserve">than the variability of the method that measures the attribute. Each plan lists the</w:t>
      </w:r>
      <w:r>
        <w:t xml:space="preserve"> </w:t>
      </w:r>
      <w:r>
        <w:t xml:space="preserve">attributes compared, the source of the at-scale data and the number of model runs used.</w:t>
      </w:r>
      <w:r>
        <w:t xml:space="preserve"> </w:t>
      </w:r>
      <w:r>
        <w:t xml:space="preserve">Where at-scale data do not exist for an attribute, qualification rests on engineering</w:t>
      </w:r>
      <w:r>
        <w:t xml:space="preserve"> </w:t>
      </w:r>
      <w:r>
        <w:t xml:space="preserve">equivalence and the plan states that this is the basis.</w:t>
      </w:r>
    </w:p>
    <w:p>
      <w:pPr>
        <w:pStyle w:val="BodyText"/>
      </w:pPr>
      <w:r>
        <w:t xml:space="preserve">A response surface model is accepted as predictive when its terms are significant at α =</w:t>
      </w:r>
      <w:r>
        <w:t xml:space="preserve"> </w:t>
      </w:r>
      <w:r>
        <w:t xml:space="preserve">0.05, when the lack of fit is not significant against pure error, and when the predicted</w:t>
      </w:r>
      <w:r>
        <w:t xml:space="preserve"> </w:t>
      </w:r>
      <w:r>
        <w:t xml:space="preserve">coefficient of determination is consistent with the adjusted coefficient. The thresholds</w:t>
      </w:r>
      <w:r>
        <w:t xml:space="preserve"> </w:t>
      </w:r>
      <w:r>
        <w:t xml:space="preserve">applied to the coefficients of determination are stated per study, because what counts as an</w:t>
      </w:r>
      <w:r>
        <w:t xml:space="preserve"> </w:t>
      </w:r>
      <w:r>
        <w:t xml:space="preserve">adequate fit depends on the precision of the assay that measures the response. A study whose</w:t>
      </w:r>
      <w:r>
        <w:t xml:space="preserve"> </w:t>
      </w:r>
      <w:r>
        <w:t xml:space="preserve">response is measured by a low precision method may be adequate at a lower coefficient than</w:t>
      </w:r>
      <w:r>
        <w:t xml:space="preserve"> </w:t>
      </w:r>
      <w:r>
        <w:t xml:space="preserve">one measured by a precise method, and the plan says which case it is in.</w:t>
      </w:r>
    </w:p>
    <w:p>
      <w:pPr>
        <w:pStyle w:val="BodyText"/>
      </w:pPr>
      <w:r>
        <w:t xml:space="preserve">An operating region is acceptable when every attribute the step forms or clears meets its</w:t>
      </w:r>
      <w:r>
        <w:t xml:space="preserve"> </w:t>
      </w:r>
      <w:r>
        <w:t xml:space="preserve">criterion across the whole region while the other parameters vary within their normal</w:t>
      </w:r>
      <w:r>
        <w:t xml:space="preserve"> </w:t>
      </w:r>
      <w:r>
        <w:t xml:space="preserve">operating ranges. The criterion a response is judged against is the in-process limit of the</w:t>
      </w:r>
      <w:r>
        <w:t xml:space="preserve"> </w:t>
      </w:r>
      <w:r>
        <w:t xml:space="preserve">step where one has been established, and the drug substance acceptance criterion where none</w:t>
      </w:r>
      <w:r>
        <w:t xml:space="preserve"> </w:t>
      </w:r>
      <w:r>
        <w:t xml:space="preserve">has. An in-process limit is generally the tighter of the two, because it is set with margin</w:t>
      </w:r>
      <w:r>
        <w:t xml:space="preserve"> </w:t>
      </w:r>
      <w:r>
        <w:t xml:space="preserve">against the clearance the downstream steps must still deliver, so an operating region judged</w:t>
      </w:r>
      <w:r>
        <w:t xml:space="preserve"> </w:t>
      </w:r>
      <w:r>
        <w:t xml:space="preserve">against it is smaller than one judged against the drug substance criterion. For a viral</w:t>
      </w:r>
      <w:r>
        <w:t xml:space="preserve"> </w:t>
      </w:r>
      <w:r>
        <w:t xml:space="preserve">clearance response the criterion is the step contribution back-calculated from the</w:t>
      </w:r>
      <w:r>
        <w:t xml:space="preserve"> </w:t>
      </w:r>
      <w:r>
        <w:t xml:space="preserve">cumulative requirement less the nominal contribution of the other clearing steps.</w:t>
      </w:r>
    </w:p>
    <w:p>
      <w:pPr>
        <w:pStyle w:val="BodyText"/>
      </w:pPr>
      <w:r>
        <w:t xml:space="preserve">Three ranges are used throughout the campaign. The normal operating range is the range the</w:t>
      </w:r>
      <w:r>
        <w:t xml:space="preserve"> </w:t>
      </w:r>
      <w:r>
        <w:t xml:space="preserve">commercial process is operated within, and it is set by the control capability of the</w:t>
      </w:r>
      <w:r>
        <w:t xml:space="preserve"> </w:t>
      </w:r>
      <w:r>
        <w:t xml:space="preserve">equipment. The characterization range is wider, and it is the knowledge space the studies</w:t>
      </w:r>
      <w:r>
        <w:t xml:space="preserve"> </w:t>
      </w:r>
      <w:r>
        <w:t xml:space="preserve">cover. The proven acceptable range is the range over which an attribute has been shown to</w:t>
      </w:r>
      <w:r>
        <w:t xml:space="preserve"> </w:t>
      </w:r>
      <w:r>
        <w:t xml:space="preserve">meet its criterion. A proven acceptable range is not extrapolated past the edge of the</w:t>
      </w:r>
      <w:r>
        <w:t xml:space="preserve"> </w:t>
      </w:r>
      <w:r>
        <w:t xml:space="preserve">characterization range, and where the acceptable region runs to that edge the report states</w:t>
      </w:r>
      <w:r>
        <w:t xml:space="preserve"> </w:t>
      </w:r>
      <w:r>
        <w:t xml:space="preserve">that the range is bounded by the study and not by the process. The design space is the</w:t>
      </w:r>
      <w:r>
        <w:t xml:space="preserve"> </w:t>
      </w:r>
      <w:r>
        <w:t xml:space="preserve">multivariate region inside the knowledge space over which the attributes the step forms or</w:t>
      </w:r>
      <w:r>
        <w:t xml:space="preserve"> </w:t>
      </w:r>
      <w:r>
        <w:t xml:space="preserve">clears meet their criteria, and the normal operating range sits inside it.</w:t>
      </w:r>
    </w:p>
    <w:p>
      <w:pPr>
        <w:pStyle w:val="BodyText"/>
      </w:pPr>
      <w:r>
        <w:t xml:space="preserve">A parameter is classified under SOP-4001 after the study that measured its effect has</w:t>
      </w:r>
      <w:r>
        <w:t xml:space="preserve"> </w:t>
      </w:r>
      <w:r>
        <w:t xml:space="preserve">reported. A parameter whose variation affects a critical quality attribute is a critical</w:t>
      </w:r>
      <w:r>
        <w:t xml:space="preserve"> </w:t>
      </w:r>
      <w:r>
        <w:t xml:space="preserve">process parameter. Where the risk that it leaves its acceptable range in routine operation</w:t>
      </w:r>
      <w:r>
        <w:t xml:space="preserve"> </w:t>
      </w:r>
      <w:r>
        <w:t xml:space="preserve">is low, because it is readily controlled and the acceptable range is wide against the</w:t>
      </w:r>
      <w:r>
        <w:t xml:space="preserve"> </w:t>
      </w:r>
      <w:r>
        <w:t xml:space="preserve">control capability, it is classified as a well controlled critical process parameter</w:t>
      </w:r>
      <w:r>
        <w:t xml:space="preserve"> </w:t>
      </w:r>
      <w:r>
        <w:t xml:space="preserve">(CMC Biotech Working Group 2009)</w:t>
      </w:r>
      <w:r>
        <w:t xml:space="preserve">. A parameter that affects process performance or consistency without affecting a</w:t>
      </w:r>
      <w:r>
        <w:t xml:space="preserve"> </w:t>
      </w:r>
      <w:r>
        <w:t xml:space="preserve">quality attribute is a key process parameter, and a parameter that affects neither is a</w:t>
      </w:r>
      <w:r>
        <w:t xml:space="preserve"> </w:t>
      </w:r>
      <w:r>
        <w:t xml:space="preserve">general process parameter. No classification appears in a plan, and every classification in</w:t>
      </w:r>
      <w:r>
        <w:t xml:space="preserve"> </w:t>
      </w:r>
      <w:r>
        <w:t xml:space="preserve">a report carries the effect and the control capability that produced it.</w:t>
      </w:r>
    </w:p>
    <w:p>
      <w:pPr>
        <w:pStyle w:val="BodyText"/>
      </w:pPr>
      <w:r>
        <w:t xml:space="preserve">No single capability index is set as an acceptance criterion for this campaign. Capability</w:t>
      </w:r>
      <w:r>
        <w:t xml:space="preserve"> </w:t>
      </w:r>
      <w:r>
        <w:t xml:space="preserve">is estimated per attribute and reported with the margin between the simulated distribution</w:t>
      </w:r>
      <w:r>
        <w:t xml:space="preserve"> </w:t>
      </w:r>
      <w:r>
        <w:t xml:space="preserve">and the criterion, and it is read together with the proven acceptable ranges. The acceptance</w:t>
      </w:r>
      <w:r>
        <w:t xml:space="preserve"> </w:t>
      </w:r>
      <w:r>
        <w:t xml:space="preserve">decision for a step rests on the ranges the study demonstrated, and the capability estimate</w:t>
      </w:r>
      <w:r>
        <w:t xml:space="preserve"> </w:t>
      </w:r>
      <w:r>
        <w:t xml:space="preserve">says how much room the process has inside them.</w:t>
      </w:r>
    </w:p>
    <w:p>
      <w:pPr>
        <w:pStyle w:val="BodyText"/>
      </w:pPr>
      <w:r>
        <w:t xml:space="preserve">Any departure from an approved plan is a deviation and is recorded. The report of the</w:t>
      </w:r>
      <w:r>
        <w:t xml:space="preserve"> </w:t>
      </w:r>
      <w:r>
        <w:t xml:space="preserve">affected step states what happened, the magnitude of the departure, the investigation, the</w:t>
      </w:r>
      <w:r>
        <w:t xml:space="preserve"> </w:t>
      </w:r>
      <w:r>
        <w:t xml:space="preserve">impact assessment and the disposition. Where an investigation shows that a dataset was not</w:t>
      </w:r>
      <w:r>
        <w:t xml:space="preserve"> </w:t>
      </w:r>
      <w:r>
        <w:t xml:space="preserve">representative of the process, the affected design is re-executed on requalified material</w:t>
      </w:r>
      <w:r>
        <w:t xml:space="preserve"> </w:t>
      </w:r>
      <w:r>
        <w:t xml:space="preserve">and the operating region is derived from the re-executed data. The superseded dataset is</w:t>
      </w:r>
      <w:r>
        <w:t xml:space="preserve"> </w:t>
      </w:r>
      <w:r>
        <w:t xml:space="preserve">retained and may be referenced to confirm the root cause, and it is not used to define a</w:t>
      </w:r>
      <w:r>
        <w:t xml:space="preserve"> </w:t>
      </w:r>
      <w:r>
        <w:t xml:space="preserve">range.</w:t>
      </w:r>
    </w:p>
    <w:bookmarkEnd w:id="24"/>
    <w:bookmarkStart w:id="26" w:name="register-of-characterization-plans"/>
    <w:p>
      <w:pPr>
        <w:pStyle w:val="Heading1"/>
      </w:pPr>
      <w:r>
        <w:t xml:space="preserve">8. Register of characterization plans</w:t>
      </w:r>
    </w:p>
    <w:p>
      <w:pPr>
        <w:pStyle w:val="FirstParagraph"/>
      </w:pPr>
      <w:hyperlink w:anchor="tbl-plan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lists the 8 plans this document parents, with the step each covers, the study</w:t>
      </w:r>
      <w:r>
        <w:t xml:space="preserve"> </w:t>
      </w:r>
      <w:r>
        <w:t xml:space="preserve">types its parameters are assigned to and the report that will deliver its result. Each plan</w:t>
      </w:r>
      <w:r>
        <w:t xml:space="preserve"> </w:t>
      </w:r>
      <w:r>
        <w:t xml:space="preserve">is approved before its study is executed, and each is written against the framework in §3 to</w:t>
      </w:r>
      <w:r>
        <w:t xml:space="preserve"> </w:t>
      </w:r>
      <w:r>
        <w:t xml:space="preserve">§7.</w:t>
      </w:r>
    </w:p>
    <w:p>
      <w:pPr>
        <w:pStyle w:val="BodyText"/>
      </w:pPr>
      <w:r>
        <w:t xml:space="preserve">A change to an approved plan is made by amendment, with the reason recorded. A change that</w:t>
      </w:r>
      <w:r>
        <w:t xml:space="preserve"> </w:t>
      </w:r>
      <w:r>
        <w:t xml:space="preserve">alters the scope RA-001 set, or any of the common elements stated in this document, amends</w:t>
      </w:r>
      <w:r>
        <w:t xml:space="preserve"> </w:t>
      </w:r>
      <w:r>
        <w:t xml:space="preserve">this plan as well.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pl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Register of the per-step characterization plans and their reports.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3212"/>
              <w:gridCol w:w="3287"/>
              <w:gridCol w:w="74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Characterization design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Screening, response surface and 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and qualitative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Screening, response surface and 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Screening, response surface and 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Screening, response surface and 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Screening, response surface and 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and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and qualitative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deliverables-and-schedule"/>
    <w:p>
      <w:pPr>
        <w:pStyle w:val="Heading1"/>
      </w:pPr>
      <w:r>
        <w:t xml:space="preserve">9. Deliverables and schedule</w:t>
      </w:r>
    </w:p>
    <w:p>
      <w:pPr>
        <w:pStyle w:val="FirstParagraph"/>
      </w:pPr>
      <w:r>
        <w:t xml:space="preserve">The campaign delivers 8 characterization plans, 8 characterization reports and one</w:t>
      </w:r>
      <w:r>
        <w:t xml:space="preserve"> </w:t>
      </w:r>
      <w:r>
        <w:t xml:space="preserve">master report. PCMR-001 consolidates the reports, states the consolidated quality attribute</w:t>
      </w:r>
      <w:r>
        <w:t xml:space="preserve"> </w:t>
      </w:r>
      <w:r>
        <w:t xml:space="preserve">outcomes, the parameter classification across the train and the cumulative viral clearance</w:t>
      </w:r>
      <w:r>
        <w:t xml:space="preserve"> </w:t>
      </w:r>
      <w:r>
        <w:t xml:space="preserve">claim, and provides the control strategy that PTP-001 carries into Stage 2.</w:t>
      </w:r>
    </w:p>
    <w:p>
      <w:pPr>
        <w:pStyle w:val="BodyText"/>
      </w:pPr>
      <w:r>
        <w:t xml:space="preserve">The sequence is fixed by dependency and not by date. RA-001 must be approved before a plan</w:t>
      </w:r>
      <w:r>
        <w:t xml:space="preserve"> </w:t>
      </w:r>
      <w:r>
        <w:t xml:space="preserve">is written, because the factors of a design come from its ranking, and a factor added after</w:t>
      </w:r>
      <w:r>
        <w:t xml:space="preserve"> </w:t>
      </w:r>
      <w:r>
        <w:t xml:space="preserve">the design has been executed changes the runs and forces the study to be repeated. A plan</w:t>
      </w:r>
      <w:r>
        <w:t xml:space="preserve"> </w:t>
      </w:r>
      <w:r>
        <w:t xml:space="preserve">must be approved before its study is executed. Studies are executed in train order where</w:t>
      </w:r>
      <w:r>
        <w:t xml:space="preserve"> </w:t>
      </w:r>
      <w:r>
        <w:t xml:space="preserve">material dependency requires it, because the load for a downstream step is produced by the</w:t>
      </w:r>
      <w:r>
        <w:t xml:space="preserve"> </w:t>
      </w:r>
      <w:r>
        <w:t xml:space="preserve">step above it, and a characterization study of cation exchange needs a representative</w:t>
      </w:r>
      <w:r>
        <w:t xml:space="preserve"> </w:t>
      </w:r>
      <w:r>
        <w:t xml:space="preserve">Protein A pool. Steps whose feed can be prepared independently of the campaign may be</w:t>
      </w:r>
      <w:r>
        <w:t xml:space="preserve"> </w:t>
      </w:r>
      <w:r>
        <w:t xml:space="preserve">executed in parallel. Each report is issued when its study is complete and its data have</w:t>
      </w:r>
      <w:r>
        <w:t xml:space="preserve"> </w:t>
      </w:r>
      <w:r>
        <w:t xml:space="preserve">been reviewed, and PCMR-001 is written last.</w:t>
      </w:r>
    </w:p>
    <w:p>
      <w:pPr>
        <w:pStyle w:val="BodyText"/>
      </w:pPr>
      <w:r>
        <w:t xml:space="preserve">Process performance qualification follows the campaign at the receiving site and is planned</w:t>
      </w:r>
      <w:r>
        <w:t xml:space="preserve"> </w:t>
      </w:r>
      <w:r>
        <w:t xml:space="preserve">under PTP-001. 5 qualification batches are planned. The ranges in the batch records for</w:t>
      </w:r>
      <w:r>
        <w:t xml:space="preserve"> </w:t>
      </w:r>
      <w:r>
        <w:t xml:space="preserve">those batches come from the design spaces and proven acceptable ranges this campaign</w:t>
      </w:r>
      <w:r>
        <w:t xml:space="preserve"> </w:t>
      </w:r>
      <w:r>
        <w:t xml:space="preserve">establishes, so no qualification batch may be executed until the report of every step that</w:t>
      </w:r>
      <w:r>
        <w:t xml:space="preserve"> </w:t>
      </w:r>
      <w:r>
        <w:t xml:space="preserve">constrains its parameters has issued.</w:t>
      </w:r>
    </w:p>
    <w:p>
      <w:pPr>
        <w:pStyle w:val="BodyText"/>
      </w:pPr>
      <w:r>
        <w:t xml:space="preserve">This plan carries no dates. The programme schedule is maintained under PTP-001, and the</w:t>
      </w:r>
      <w:r>
        <w:t xml:space="preserve"> </w:t>
      </w:r>
      <w:r>
        <w:t xml:space="preserve">order of execution follows the material dependencies stated above.</w:t>
      </w:r>
    </w:p>
    <w:bookmarkEnd w:id="27"/>
    <w:bookmarkStart w:id="28" w:name="approvals-1"/>
    <w:p>
      <w:pPr>
        <w:pStyle w:val="Heading1"/>
      </w:pPr>
      <w:r>
        <w:t xml:space="preserve">10. Approvals</w:t>
      </w:r>
    </w:p>
    <w:p>
      <w:pPr>
        <w:pStyle w:val="FirstParagraph"/>
      </w:pPr>
      <w:r>
        <w:t xml:space="preserve">The approval record for this plan is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Approval by each function named there</w:t>
      </w:r>
      <w:r>
        <w:t xml:space="preserve"> </w:t>
      </w:r>
      <w:r>
        <w:t xml:space="preserve">confirms that the strategy, the risk basis, the scale-down model approach, the statistical</w:t>
      </w:r>
      <w:r>
        <w:t xml:space="preserve"> </w:t>
      </w:r>
      <w:r>
        <w:t xml:space="preserve">approach and the acceptance framework are acceptable for the campaign, and that the per-step</w:t>
      </w:r>
      <w:r>
        <w:t xml:space="preserve"> </w:t>
      </w:r>
      <w:r>
        <w:t xml:space="preserve">plans may be written against them. An amendment to this plan is approved by the same</w:t>
      </w:r>
      <w:r>
        <w:t xml:space="preserve"> </w:t>
      </w:r>
      <w:r>
        <w:t xml:space="preserve">functions.</w:t>
      </w:r>
    </w:p>
    <w:bookmarkEnd w:id="28"/>
    <w:bookmarkStart w:id="37" w:name="references"/>
    <w:p>
      <w:pPr>
        <w:pStyle w:val="Heading1"/>
      </w:pPr>
      <w:r>
        <w:t xml:space="preserve">References</w:t>
      </w:r>
    </w:p>
    <w:bookmarkStart w:id="36" w:name="refs"/>
    <w:bookmarkStart w:id="2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29"/>
    <w:bookmarkStart w:id="30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30"/>
    <w:bookmarkStart w:id="3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31"/>
    <w:bookmarkStart w:id="32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32"/>
    <w:bookmarkStart w:id="33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33"/>
    <w:bookmarkStart w:id="34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34"/>
    <w:bookmarkStart w:id="35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Plan</dc:title>
  <dc:creator>Process Development / Manufacturing Science &amp; Technology (MSAT)</dc:creator>
  <cp:keywords/>
  <dcterms:created xsi:type="dcterms:W3CDTF">2026-08-21T14:10:00Z</dcterms:created>
  <dcterms:modified xsi:type="dcterms:W3CDTF">2026-08-21T14:10:00Z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PCMP-001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