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2.png" ContentType="image/png"/>
  <Override PartName="/word/media/rId20.png" ContentType="image/png"/>
  <Override PartName="/word/media/rId6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Report</w:t>
      </w:r>
    </w:p>
    <w:p>
      <w:pPr>
        <w:pStyle w:val="Subtitle"/>
      </w:pPr>
      <w:r>
        <w:t xml:space="preserve">A-Mab Drug Substance — PCMR-001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AEX, anion exchange chromatography; AMV,</w:t>
      </w:r>
      <w:r>
        <w:t xml:space="preserve"> </w:t>
      </w:r>
      <w:r>
        <w:t xml:space="preserve">analytical method validation; BLA, Biologics License Application; CEX, cation exchange</w:t>
      </w:r>
      <w:r>
        <w:t xml:space="preserve"> </w:t>
      </w:r>
      <w:r>
        <w:t xml:space="preserve">chromatography; CPP, critical process parameter; Cpk, process capability index; CQA, critical</w:t>
      </w:r>
      <w:r>
        <w:t xml:space="preserve"> </w:t>
      </w:r>
      <w:r>
        <w:t xml:space="preserve">quality attribute; DoE, design of experiments; DS, drug substance; ELISA, enzyme linked</w:t>
      </w:r>
      <w:r>
        <w:t xml:space="preserve"> </w:t>
      </w:r>
      <w:r>
        <w:t xml:space="preserve">immunosorbent assay; GPP, general process parameter; HCP, host cell protein; HMW, high molecular</w:t>
      </w:r>
      <w:r>
        <w:t xml:space="preserve"> </w:t>
      </w:r>
      <w:r>
        <w:t xml:space="preserve">weight; icIEF, imaged capillary isoelectric focusing; ICH, International Council for</w:t>
      </w:r>
      <w:r>
        <w:t xml:space="preserve"> </w:t>
      </w:r>
      <w:r>
        <w:t xml:space="preserve">Harmonisation; IgG1, immunoglobulin G subclass 1; KPP, key process parameter; LRF, log reduction</w:t>
      </w:r>
      <w:r>
        <w:t xml:space="preserve"> </w:t>
      </w:r>
      <w:r>
        <w:t xml:space="preserve">factor; MSAT, Manufacturing Science and Technology; MVM, minute virus of mice; NOR, normal</w:t>
      </w:r>
      <w:r>
        <w:t xml:space="preserve"> </w:t>
      </w:r>
      <w:r>
        <w:t xml:space="preserve">operating range; PAR, proven acceptable range; PCMP, Process Characterization Master Plan; PCMR,</w:t>
      </w:r>
      <w:r>
        <w:t xml:space="preserve"> </w:t>
      </w:r>
      <w:r>
        <w:t xml:space="preserve">Process Characterization Master Report; PCP, Process Characterization Plan; PCR, Process</w:t>
      </w:r>
      <w:r>
        <w:t xml:space="preserve"> </w:t>
      </w:r>
      <w:r>
        <w:t xml:space="preserve">Characterization Report; PD, Process Development; PPQ, process performance qualification; PTP,</w:t>
      </w:r>
      <w:r>
        <w:t xml:space="preserve"> </w:t>
      </w:r>
      <w:r>
        <w:t xml:space="preserve">Process Transfer Plan; qPCR, quantitative polymerase chain reaction; RA, risk assessment; RSM,</w:t>
      </w:r>
      <w:r>
        <w:t xml:space="preserve"> </w:t>
      </w:r>
      <w:r>
        <w:t xml:space="preserve">response surface methodology; SEC-HPLC, size exclusion high performance liquid chromatography;</w:t>
      </w:r>
      <w:r>
        <w:t xml:space="preserve"> </w:t>
      </w:r>
      <w:r>
        <w:t xml:space="preserve">SOP, standard operating procedure; TCID50, 50 % tissue culture infectious dose; TFF, tangential</w:t>
      </w:r>
      <w:r>
        <w:t xml:space="preserve"> </w:t>
      </w:r>
      <w:r>
        <w:t xml:space="preserve">flow filtration; TMP, transmembrane pressure; UF/DF, ultrafiltration and diafiltration; WC-CPP,</w:t>
      </w:r>
      <w:r>
        <w:t xml:space="preserve"> </w:t>
      </w:r>
      <w:r>
        <w:t xml:space="preserve">well controlled 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consolidates the Stage 1 process characterization of the A-Mab drug substance</w:t>
      </w:r>
      <w:r>
        <w:t xml:space="preserve"> </w:t>
      </w:r>
      <w:r>
        <w:t xml:space="preserve">process and states the outcome of the campaign as a whole. It summarizes the per step reports</w:t>
      </w:r>
      <w:r>
        <w:t xml:space="preserve"> </w:t>
      </w:r>
      <w:r>
        <w:t xml:space="preserve">listed in</w:t>
      </w:r>
      <w:r>
        <w:t xml:space="preserve"> </w:t>
      </w:r>
      <w:hyperlink w:anchor="tbl-packag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and cites them. It does not re-derive their studies, and every result</w:t>
      </w:r>
      <w:r>
        <w:t xml:space="preserve"> </w:t>
      </w:r>
      <w:r>
        <w:t xml:space="preserve">below is referenced to the report that produced it.</w:t>
      </w:r>
    </w:p>
    <w:p>
      <w:pPr>
        <w:pStyle w:val="BodyText"/>
      </w:pPr>
      <w:r>
        <w:t xml:space="preserve">The drug substance process was characterized end to end on qualified scale-down models, from</w:t>
      </w:r>
      <w:r>
        <w:t xml:space="preserve"> </w:t>
      </w:r>
      <w:r>
        <w:t xml:space="preserve">the production bioreactor through to formulation. The campaign covered 37 process parameters across</w:t>
      </w:r>
      <w:r>
        <w:t xml:space="preserve"> </w:t>
      </w:r>
      <w:r>
        <w:t xml:space="preserve">8 unit operations, of which 22 were studied</w:t>
      </w:r>
      <w:r>
        <w:t xml:space="preserve"> </w:t>
      </w:r>
      <w:r>
        <w:t xml:space="preserve">multivariately in 236 designed runs. A screening design followed by a</w:t>
      </w:r>
      <w:r>
        <w:t xml:space="preserve"> </w:t>
      </w:r>
      <w:r>
        <w:t xml:space="preserve">response surface design was run at 6 of the unit operations. The</w:t>
      </w:r>
      <w:r>
        <w:t xml:space="preserve"> </w:t>
      </w:r>
      <w:r>
        <w:t xml:space="preserve">remaining 2 were characterized univariately. Neither centrifugation</w:t>
      </w:r>
      <w:r>
        <w:t xml:space="preserve"> </w:t>
      </w:r>
      <w:r>
        <w:t xml:space="preserve">and depth filtration nor the ultrafiltration membrane changes the glycan, charge variant or</w:t>
      </w:r>
      <w:r>
        <w:t xml:space="preserve"> </w:t>
      </w:r>
      <w:r>
        <w:t xml:space="preserve">aggregate content of the pool, and §2.3 gives the mechanism in each case.</w:t>
      </w:r>
    </w:p>
    <w:p>
      <w:pPr>
        <w:pStyle w:val="BodyText"/>
      </w:pPr>
      <w:r>
        <w:t xml:space="preserve">All 10 drug substance quality attributes met their acceptance criteria in</w:t>
      </w:r>
      <w:r>
        <w:t xml:space="preserve"> </w:t>
      </w:r>
      <w:r>
        <w:t xml:space="preserve">the commercial scale simulation described in §5. Every one of the 2,000 simulated batches met every criterion at once. The lowest capability index was</w:t>
      </w:r>
      <w:r>
        <w:t xml:space="preserve"> </w:t>
      </w:r>
      <w:r>
        <w:t xml:space="preserve">1.51 on cumulative MVM clearance, and the next lowest was</w:t>
      </w:r>
      <w:r>
        <w:t xml:space="preserve"> </w:t>
      </w:r>
      <w:r>
        <w:t xml:space="preserve">1.53 on cumulative XMuLV clearance. Both are viral safety</w:t>
      </w:r>
      <w:r>
        <w:t xml:space="preserve"> </w:t>
      </w:r>
      <w:r>
        <w:t xml:space="preserve">attributes judged against a one sided requirement, and both are therefore the attributes with</w:t>
      </w:r>
      <w:r>
        <w:t xml:space="preserve"> </w:t>
      </w:r>
      <w:r>
        <w:t xml:space="preserve">the least room in the process as characterized.</w:t>
      </w:r>
    </w:p>
    <w:p>
      <w:pPr>
        <w:pStyle w:val="BodyText"/>
      </w:pPr>
      <w:r>
        <w:t xml:space="preserve">Cumulative viral clearance is 18.87 log10 for XMuLV against a</w:t>
      </w:r>
      <w:r>
        <w:t xml:space="preserve"> </w:t>
      </w:r>
      <w:r>
        <w:t xml:space="preserve">requirement of 16.7 log10, and 10.03 log10 for MVM</w:t>
      </w:r>
      <w:r>
        <w:t xml:space="preserve"> </w:t>
      </w:r>
      <w:r>
        <w:t xml:space="preserve">against a requirement of 8.6 log10. Three steps carry the claim, and they</w:t>
      </w:r>
      <w:r>
        <w:t xml:space="preserve"> </w:t>
      </w:r>
      <w:r>
        <w:t xml:space="preserve">are the low-pH hold, anion exchange chromatography and small virus retentive filtration. Protein</w:t>
      </w:r>
      <w:r>
        <w:t xml:space="preserve"> </w:t>
      </w:r>
      <w:r>
        <w:t xml:space="preserve">A and cation exchange chromatography also remove virus, and no clearance is claimed for either.</w:t>
      </w:r>
    </w:p>
    <w:p>
      <w:pPr>
        <w:pStyle w:val="BodyText"/>
      </w:pPr>
      <w:r>
        <w:t xml:space="preserve">Of the 37 parameters, 1 was classified as a</w:t>
      </w:r>
      <w:r>
        <w:t xml:space="preserve"> </w:t>
      </w:r>
      <w:r>
        <w:t xml:space="preserve">critical process parameter, 20 as well controlled critical process</w:t>
      </w:r>
      <w:r>
        <w:t xml:space="preserve"> </w:t>
      </w:r>
      <w:r>
        <w:t xml:space="preserve">parameters, 10 as key process parameters and 6 as</w:t>
      </w:r>
      <w:r>
        <w:t xml:space="preserve"> </w:t>
      </w:r>
      <w:r>
        <w:t xml:space="preserve">general process parameters. The single critical process parameter is the inactivation pH of</w:t>
      </w:r>
      <w:r>
        <w:t xml:space="preserve"> </w:t>
      </w:r>
      <w:r>
        <w:t xml:space="preserve">Step 6. Its normal operating range spans 25 % of the range over</w:t>
      </w:r>
      <w:r>
        <w:t xml:space="preserve"> </w:t>
      </w:r>
      <w:r>
        <w:t xml:space="preserve">which it was characterized, the smallest fraction of any quality-linked process parameter in the</w:t>
      </w:r>
      <w:r>
        <w:t xml:space="preserve"> </w:t>
      </w:r>
      <w:r>
        <w:t xml:space="preserve">campaign.</w:t>
      </w:r>
    </w:p>
    <w:p>
      <w:pPr>
        <w:pStyle w:val="BodyText"/>
      </w:pPr>
      <w:r>
        <w:t xml:space="preserve">17 deviations were recorded across 8 executed</w:t>
      </w:r>
      <w:r>
        <w:t xml:space="preserve"> </w:t>
      </w:r>
      <w:r>
        <w:t xml:space="preserve">studies. 15 were retained with a documented impact assessment.</w:t>
      </w:r>
      <w:r>
        <w:t xml:space="preserve"> </w:t>
      </w:r>
      <w:r>
        <w:t xml:space="preserve">The register carries 1 deviation that invalidated a designed</w:t>
      </w:r>
      <w:r>
        <w:t xml:space="preserve"> </w:t>
      </w:r>
      <w:r>
        <w:t xml:space="preserve">study, which was re-executed in full on requalified load material and is reported from the</w:t>
      </w:r>
      <w:r>
        <w:t xml:space="preserve"> </w:t>
      </w:r>
      <w:r>
        <w:t xml:space="preserve">re-execution alone. §8 gives the register and names the report that</w:t>
      </w:r>
      <w:r>
        <w:t xml:space="preserve"> </w:t>
      </w:r>
      <w:r>
        <w:t xml:space="preserve">investigated each entry.</w:t>
      </w:r>
    </w:p>
    <w:p>
      <w:pPr>
        <w:pStyle w:val="BodyText"/>
      </w:pPr>
      <w:r>
        <w:t xml:space="preserve">Stage 2 has not been executed. The capability figures in this report are model based estimates</w:t>
      </w:r>
      <w:r>
        <w:t xml:space="preserve"> </w:t>
      </w:r>
      <w:r>
        <w:t xml:space="preserve">built from qualified scale-down data with parameters varying inside their normal operating</w:t>
      </w:r>
      <w:r>
        <w:t xml:space="preserve"> </w:t>
      </w:r>
      <w:r>
        <w:t xml:space="preserve">ranges. They are predictions of commercial performance and will be confirmed during process</w:t>
      </w:r>
      <w:r>
        <w:t xml:space="preserve"> </w:t>
      </w:r>
      <w:r>
        <w:t xml:space="preserve">performance qualification. No design space edge has been run at commercial scale.</w:t>
      </w:r>
    </w:p>
    <w:p>
      <w:r>
        <w:br w:type="page"/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3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 dependent cellular cytotoxicity. The drug substance process is being transferred from</w:t>
      </w:r>
      <w:r>
        <w:t xml:space="preserve"> </w:t>
      </w:r>
      <w:r>
        <w:t xml:space="preserve">the development site (Novacyte Biologics — Cambridge, MA (Development)) to the commercial drug substance facility</w:t>
      </w:r>
      <w:r>
        <w:t xml:space="preserve"> </w:t>
      </w:r>
      <w:r>
        <w:t xml:space="preserve">(Novacyte Biologics — Grafton, WI (Commercial DS)). This report consolidates the Stage 1 characterization campaign</w:t>
      </w:r>
      <w:r>
        <w:t xml:space="preserve"> </w:t>
      </w:r>
      <w:r>
        <w:t xml:space="preserve">that supports that transfer. Its purpose is to state what the campaign established about the</w:t>
      </w:r>
      <w:r>
        <w:t xml:space="preserve"> </w:t>
      </w:r>
      <w:r>
        <w:t xml:space="preserve">process, what the resulting control strategy is, and what remains to be demonstrated at</w:t>
      </w:r>
      <w:r>
        <w:t xml:space="preserve"> </w:t>
      </w:r>
      <w:r>
        <w:t xml:space="preserve">commercial scale.</w:t>
      </w:r>
    </w:p>
    <w:p>
      <w:pPr>
        <w:pStyle w:val="BodyText"/>
      </w:pPr>
      <w:r>
        <w:t xml:space="preserve">The report is written for an assessor reading the Biologics License Application, and it answers</w:t>
      </w:r>
      <w:r>
        <w:t xml:space="preserve"> </w:t>
      </w:r>
      <w:r>
        <w:t xml:space="preserve">four questions. It says which parameters affect which quality attributes and over what ranges.</w:t>
      </w:r>
      <w:r>
        <w:t xml:space="preserve"> </w:t>
      </w:r>
      <w:r>
        <w:t xml:space="preserve">It states what the process is capable of delivering at commercial scale. It gives the viral</w:t>
      </w:r>
      <w:r>
        <w:t xml:space="preserve"> </w:t>
      </w:r>
      <w:r>
        <w:t xml:space="preserve">clearance the train provides and names the steps credited with it. It says where each of those</w:t>
      </w:r>
      <w:r>
        <w:t xml:space="preserve"> </w:t>
      </w:r>
      <w:r>
        <w:t xml:space="preserve">claims stops.</w:t>
      </w:r>
    </w:p>
    <w:bookmarkEnd w:id="13"/>
    <w:bookmarkStart w:id="15" w:name="the-document-package"/>
    <w:p>
      <w:pPr>
        <w:pStyle w:val="Heading2"/>
      </w:pPr>
      <w:r>
        <w:t xml:space="preserve">1.2 The document package</w:t>
      </w:r>
    </w:p>
    <w:p>
      <w:pPr>
        <w:pStyle w:val="FirstParagraph"/>
      </w:pPr>
      <w:r>
        <w:t xml:space="preserve">The characterization campaign is documented in 20 controlled documents.</w:t>
      </w:r>
      <w:r>
        <w:t xml:space="preserve"> </w:t>
      </w:r>
      <w:r>
        <w:t xml:space="preserve">PTP-001 frames the transfer and defines its scope. RA-001 is the pre-characterization risk</w:t>
      </w:r>
      <w:r>
        <w:t xml:space="preserve"> </w:t>
      </w:r>
      <w:r>
        <w:t xml:space="preserve">assessment, and its output is the study scope that every plan inherits. PCMP-001 is the master</w:t>
      </w:r>
      <w:r>
        <w:t xml:space="preserve"> </w:t>
      </w:r>
      <w:r>
        <w:t xml:space="preserve">plan over the campaign. Each unit operation then has a plan and a report, PCP-00N and PCR-00N,</w:t>
      </w:r>
      <w:r>
        <w:t xml:space="preserve"> </w:t>
      </w:r>
      <w:r>
        <w:t xml:space="preserve">where N is the process step. This report consolidates the 8 reports.</w:t>
      </w:r>
      <w:r>
        <w:t xml:space="preserve"> </w:t>
      </w:r>
      <w:hyperlink w:anchor="tbl-packag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package.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document package. This report consolidates the 8 PCR-00N reports and inherits its study scope from RA-001.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dependency between the documents is what makes the package readable in one direction.</w:t>
      </w:r>
      <w:r>
        <w:t xml:space="preserve"> </w:t>
      </w:r>
      <w:r>
        <w:t xml:space="preserve">RA-001 scoped the studies, each PCP-00N planned one of them, each PCR-00N executed and reported</w:t>
      </w:r>
      <w:r>
        <w:t xml:space="preserve"> </w:t>
      </w:r>
      <w:r>
        <w:t xml:space="preserve">it, and this report consolidates the set. Where a number in this report differs in the last</w:t>
      </w:r>
      <w:r>
        <w:t xml:space="preserve"> </w:t>
      </w:r>
      <w:r>
        <w:t xml:space="preserve">digit from the same number in a step report, the step report takes precedence. It reports the</w:t>
      </w:r>
      <w:r>
        <w:t xml:space="preserve"> </w:t>
      </w:r>
      <w:r>
        <w:t xml:space="preserve">analysis, and this report reports a summary of it.</w:t>
      </w:r>
    </w:p>
    <w:bookmarkEnd w:id="15"/>
    <w:bookmarkStart w:id="16" w:name="regulatory-basis"/>
    <w:p>
      <w:pPr>
        <w:pStyle w:val="Heading2"/>
      </w:pPr>
      <w:r>
        <w:t xml:space="preserve">1.3 Regulatory basis</w:t>
      </w:r>
    </w:p>
    <w:p>
      <w:pPr>
        <w:pStyle w:val="FirstParagraph"/>
      </w:pPr>
      <w:r>
        <w:t xml:space="preserve">The campaign follows the lifecycle approach to process validation, in which process design is</w:t>
      </w:r>
      <w:r>
        <w:t xml:space="preserve"> </w:t>
      </w:r>
      <w:r>
        <w:t xml:space="preserve">Stage 1 and process performance qualification is Stage 2</w:t>
      </w:r>
      <w:r>
        <w:t xml:space="preserve"> </w:t>
      </w:r>
      <w:r>
        <w:t xml:space="preserve">(U.S. Food and Drug Administration 2011)</w:t>
      </w:r>
      <w:r>
        <w:t xml:space="preserve">. The enhanced development</w:t>
      </w:r>
      <w:r>
        <w:t xml:space="preserve"> </w:t>
      </w:r>
      <w:r>
        <w:t xml:space="preserve">approach and the design space concept are taken from ICH Q8 and ICH Q11</w:t>
      </w:r>
      <w:r>
        <w:t xml:space="preserve"> </w:t>
      </w:r>
      <w:r>
        <w:t xml:space="preserve">(International Council for Harmonisation 2009, 2012)</w:t>
      </w:r>
      <w:r>
        <w:t xml:space="preserve">.</w:t>
      </w:r>
      <w:r>
        <w:t xml:space="preserve"> </w:t>
      </w:r>
      <w:r>
        <w:t xml:space="preserve">Criticality is treated as a continuum and assigned by risk, following ICH Q9</w:t>
      </w:r>
      <w:r>
        <w:t xml:space="preserve"> </w:t>
      </w:r>
      <w:r>
        <w:t xml:space="preserve">(International Council for Harmonisation 2023b)</w:t>
      </w:r>
      <w:r>
        <w:t xml:space="preserve">. The</w:t>
      </w:r>
      <w:r>
        <w:t xml:space="preserve"> </w:t>
      </w:r>
      <w:r>
        <w:t xml:space="preserve">transfer between sites is managed under the pharmaceutical quality system described in ICH Q10</w:t>
      </w:r>
      <w:r>
        <w:t xml:space="preserve"> </w:t>
      </w:r>
      <w:r>
        <w:t xml:space="preserve">(International Council for Harmonisation 2008)</w:t>
      </w:r>
      <w:r>
        <w:t xml:space="preserve">. Viral clearance is evaluated as a modular claim under ICH Q5A</w:t>
      </w:r>
      <w:r>
        <w:t xml:space="preserve"> </w:t>
      </w:r>
      <w:r>
        <w:t xml:space="preserve">(International Council for Harmonisation 2023a)</w:t>
      </w:r>
      <w:r>
        <w:t xml:space="preserve">. The process</w:t>
      </w:r>
      <w:r>
        <w:t xml:space="preserve"> </w:t>
      </w:r>
      <w:r>
        <w:t xml:space="preserve">model, the quality attribute framework and the risk methodology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6"/>
    <w:bookmarkStart w:id="17" w:name="what-this-report-does-not-cover"/>
    <w:p>
      <w:pPr>
        <w:pStyle w:val="Heading2"/>
      </w:pPr>
      <w:r>
        <w:t xml:space="preserve">1.4 What this report does not cover</w:t>
      </w:r>
    </w:p>
    <w:p>
      <w:pPr>
        <w:pStyle w:val="FirstParagraph"/>
      </w:pPr>
      <w:r>
        <w:t xml:space="preserve">This report covers the drug substance process from the production bioreactor through</w:t>
      </w:r>
      <w:r>
        <w:t xml:space="preserve"> </w:t>
      </w:r>
      <w:r>
        <w:t xml:space="preserve">ultrafiltration and diafiltration. Drug product manufacture, container closure and stability are</w:t>
      </w:r>
      <w:r>
        <w:t xml:space="preserve"> </w:t>
      </w:r>
      <w:r>
        <w:t xml:space="preserve">outside its scope. Analytical method validation is reported separately under the AMV references</w:t>
      </w:r>
      <w:r>
        <w:t xml:space="preserve"> </w:t>
      </w:r>
      <w:r>
        <w:t xml:space="preserve">listed in §7, and this report cites those references without repeating their content. The</w:t>
      </w:r>
      <w:r>
        <w:t xml:space="preserve"> </w:t>
      </w:r>
      <w:r>
        <w:t xml:space="preserve">Stage 2 protocol and its results are not part of this report, and §9 states what they must</w:t>
      </w:r>
      <w:r>
        <w:t xml:space="preserve"> </w:t>
      </w:r>
      <w:r>
        <w:t xml:space="preserve">still demonstrate.</w:t>
      </w:r>
    </w:p>
    <w:p>
      <w:r>
        <w:br w:type="page"/>
      </w:r>
    </w:p>
    <w:bookmarkEnd w:id="17"/>
    <w:bookmarkEnd w:id="18"/>
    <w:bookmarkStart w:id="33" w:name="process-description-and-performance"/>
    <w:p>
      <w:pPr>
        <w:pStyle w:val="Heading1"/>
      </w:pPr>
      <w:r>
        <w:t xml:space="preserve">2. Process description and performance</w:t>
      </w:r>
    </w:p>
    <w:bookmarkStart w:id="24" w:name="the-process-train"/>
    <w:p>
      <w:pPr>
        <w:pStyle w:val="Heading2"/>
      </w:pPr>
      <w:r>
        <w:t xml:space="preserve">2.1 The process train</w:t>
      </w:r>
    </w:p>
    <w:p>
      <w:pPr>
        <w:pStyle w:val="FirstParagraph"/>
      </w:pPr>
      <w:r>
        <w:t xml:space="preserve">The drug substance process is a fed-batch culture followed by the platform purification train</w:t>
      </w:r>
      <w:r>
        <w:t xml:space="preserve"> </w:t>
      </w:r>
      <w:r>
        <w:t xml:space="preserve">established on the Novacyte humanized IgG1 platform and used for three prior products. The order is</w:t>
      </w:r>
      <w:r>
        <w:t xml:space="preserve"> </w:t>
      </w:r>
      <w:r>
        <w:t xml:space="preserve">Protein A capture, low-pH viral inactivation, cation exchange, anion exchange, virus filtration</w:t>
      </w:r>
      <w:r>
        <w:t xml:space="preserve"> </w:t>
      </w:r>
      <w:r>
        <w:t xml:space="preserve">and formulation by ultrafiltration and diafiltration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gives each step and</w:t>
      </w:r>
      <w:r>
        <w:t xml:space="preserve"> </w:t>
      </w:r>
      <w:r>
        <w:t xml:space="preserve">its principal role in the 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train, from the production bioreactor through to formulation, with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production bioreactor forms the glycan, charge variant and aggregate attributes, so it is</w:t>
      </w:r>
      <w:r>
        <w:t xml:space="preserve"> </w:t>
      </w:r>
      <w:r>
        <w:t xml:space="preserve">the step at which those attributes can be changed by an operating parameter. The purification</w:t>
      </w:r>
      <w:r>
        <w:t xml:space="preserve"> </w:t>
      </w:r>
      <w:r>
        <w:t xml:space="preserve">steps remove impurities and virus and, under platform conditions, do not separate glycosylation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(CMC Biotech Working Group 2009)</w:t>
      </w:r>
      <w:r>
        <w:t xml:space="preserve">. Continuous disk stack centrifugation separates the cells from the culture</w:t>
      </w:r>
      <w:r>
        <w:t xml:space="preserve"> </w:t>
      </w:r>
      <w:r>
        <w:t xml:space="preserve">fluid by density, and depth filtration retains the residual debris. Ultrafiltration and</w:t>
      </w:r>
      <w:r>
        <w:t xml:space="preserve"> </w:t>
      </w:r>
      <w:r>
        <w:t xml:space="preserve">diafiltration concentrates the pool to the drug substance target and exchanges it into the</w:t>
      </w:r>
      <w:r>
        <w:t xml:space="preserve"> </w:t>
      </w:r>
      <w:r>
        <w:t xml:space="preserve">formulation buffer.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 with the principal quality impact of each unit operation.</w:t>
            </w:r>
          </w:p>
          <w:bookmarkEnd w:id="23"/>
        </w:tc>
      </w:tr>
    </w:tbl>
    <w:bookmarkEnd w:id="24"/>
    <w:bookmarkStart w:id="30" w:name="scale-and-performance"/>
    <w:p>
      <w:pPr>
        <w:pStyle w:val="Heading2"/>
      </w:pPr>
      <w:r>
        <w:t xml:space="preserve">2.2 Scale and performance</w:t>
      </w:r>
    </w:p>
    <w:p>
      <w:pPr>
        <w:pStyle w:val="FirstParagraph"/>
      </w:pPr>
      <w:r>
        <w:t xml:space="preserve">The commercial process runs at 15,000 L working volume in the</w:t>
      </w:r>
      <w:r>
        <w:t xml:space="preserve"> </w:t>
      </w:r>
      <w:r>
        <w:t xml:space="preserve">production bioreactor. The nominal harvest titer is</w:t>
      </w:r>
      <w:r>
        <w:t xml:space="preserve"> </w:t>
      </w:r>
      <w:r>
        <w:t xml:space="preserve">4.37 g/L, and the nominal drug substance concentration</w:t>
      </w:r>
      <w:r>
        <w:t xml:space="preserve"> </w:t>
      </w:r>
      <w:r>
        <w:t xml:space="preserve">after formulation is 75 g/L. A nominal batch delivers</w:t>
      </w:r>
      <w:r>
        <w:t xml:space="preserve"> </w:t>
      </w:r>
      <w:r>
        <w:t xml:space="preserve">54.6 kg of drug substance at an overall step yield of</w:t>
      </w:r>
      <w:r>
        <w:t xml:space="preserve"> </w:t>
      </w:r>
      <w:r>
        <w:t xml:space="preserve">83.2 %.</w:t>
      </w:r>
      <w:r>
        <w:t xml:space="preserve"> </w:t>
      </w:r>
      <w:hyperlink w:anchor="tbl-perf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yield of each step and the</w:t>
      </w:r>
      <w:r>
        <w:t xml:space="preserve"> </w:t>
      </w:r>
      <w:r>
        <w:t xml:space="preserve">cumulative yield across the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pe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Nominal step yield, cumulative yield and pool mass across the drug substance train. Step yield is referenced to the production bioreactor harvest.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27"/>
              <w:gridCol w:w="2666"/>
              <w:gridCol w:w="1411"/>
              <w:gridCol w:w="1881"/>
              <w:gridCol w:w="13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mass (g)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65,596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62,293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61,670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58,733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57,133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56,232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54,588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Cation exchange chromatography carries the largest single step loss in the train, at a step</w:t>
      </w:r>
      <w:r>
        <w:t xml:space="preserve"> </w:t>
      </w:r>
      <w:r>
        <w:t xml:space="preserve">yield of 95.2 %.</w:t>
      </w:r>
      <w:r>
        <w:t xml:space="preserve"> </w:t>
      </w:r>
      <w:r>
        <w:t xml:space="preserve">That loss is a consequence of the step elution used to separate aggregate from monomer, which</w:t>
      </w:r>
      <w:r>
        <w:t xml:space="preserve"> </w:t>
      </w:r>
      <w:r>
        <w:t xml:space="preserve">sacrifices monomer in the trailing edge of the pool in order to reach the aggregate criterion.</w:t>
      </w:r>
      <w:r>
        <w:t xml:space="preserve"> </w:t>
      </w:r>
      <w:r>
        <w:t xml:space="preserve">PCR-007 reports the trade-off in full. No step in the train was operated to maximize yield.</w:t>
      </w:r>
      <w:r>
        <w:t xml:space="preserve"> </w:t>
      </w:r>
      <w:r>
        <w:t xml:space="preserve">Yield carries no acceptance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was tracked as a process performance</w:t>
      </w:r>
      <w:r>
        <w:t xml:space="preserve"> </w:t>
      </w:r>
      <w:r>
        <w:t xml:space="preserve">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yield"/>
          <w:p>
            <w:pPr>
              <w:pStyle w:val="Compact"/>
              <w:jc w:val="center"/>
            </w:pPr>
            <w:r>
              <w:drawing>
                <wp:inline>
                  <wp:extent cx="5067300" cy="275954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7595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Cumulative product step-yield across the eight modelled unit operations.</w:t>
            </w:r>
          </w:p>
          <w:bookmarkEnd w:id="29"/>
        </w:tc>
      </w:tr>
    </w:tbl>
    <w:bookmarkEnd w:id="30"/>
    <w:bookmarkStart w:id="32" w:name="characterization-scope"/>
    <w:p>
      <w:pPr>
        <w:pStyle w:val="Heading2"/>
      </w:pPr>
      <w:r>
        <w:t xml:space="preserve">2.3 Characterization scope</w:t>
      </w:r>
    </w:p>
    <w:p>
      <w:pPr>
        <w:pStyle w:val="FirstParagraph"/>
      </w:pPr>
      <w:hyperlink w:anchor="tbl-scope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scope of the campaign by step. It shows how many parameters each step</w:t>
      </w:r>
      <w:r>
        <w:t xml:space="preserve"> </w:t>
      </w:r>
      <w:r>
        <w:t xml:space="preserve">carries, how many were taken into a multivariate study, and how many designed runs the step</w:t>
      </w:r>
      <w:r>
        <w:t xml:space="preserve"> </w:t>
      </w:r>
      <w:r>
        <w:t xml:space="preserve">required. The split between multivariate and univariate study follows the risk ranking in</w:t>
      </w:r>
      <w:r>
        <w:t xml:space="preserve"> </w:t>
      </w:r>
      <w:r>
        <w:t xml:space="preserve">RA-001, in which parameters that scored high for impact on a quality attribute or for</w:t>
      </w:r>
      <w:r>
        <w:t xml:space="preserve"> </w:t>
      </w:r>
      <w:r>
        <w:t xml:space="preserve">interaction with another parameter were taken into the designed experiments and the remainder</w:t>
      </w:r>
      <w:r>
        <w:t xml:space="preserve"> </w:t>
      </w:r>
      <w:r>
        <w:t xml:space="preserve">were bounded univariately.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Characterization scope by step. DoE runs is the sum of the screening and response surface designs, including centre points.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1"/>
              <w:gridCol w:w="2301"/>
              <w:gridCol w:w="947"/>
              <w:gridCol w:w="1083"/>
              <w:gridCol w:w="947"/>
              <w:gridCol w:w="812"/>
              <w:gridCol w:w="128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DoE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campaign carries no designed experiment at 2 of the steps.</w:t>
      </w:r>
      <w:r>
        <w:t xml:space="preserve"> </w:t>
      </w:r>
      <w:r>
        <w:t xml:space="preserve">Centrifugation and depth filtration act on cells and cell debris, and neither operation binds or</w:t>
      </w:r>
      <w:r>
        <w:t xml:space="preserve"> </w:t>
      </w:r>
      <w:r>
        <w:t xml:space="preserve">elutes the antibody, so the glycan, charge variant and aggregate content of the clarified pool</w:t>
      </w:r>
      <w:r>
        <w:t xml:space="preserve"> </w:t>
      </w:r>
      <w:r>
        <w:t xml:space="preserve">is the content of the harvest. The ultrafiltration membrane retains the antibody and passes</w:t>
      </w:r>
      <w:r>
        <w:t xml:space="preserve"> </w:t>
      </w:r>
      <w:r>
        <w:t xml:space="preserve">water and buffer salts, which raises the concentration of the pool and leaves the molecule</w:t>
      </w:r>
      <w:r>
        <w:t xml:space="preserve"> </w:t>
      </w:r>
      <w:r>
        <w:t xml:space="preserve">unchanged. RA-001 scoped both steps to univariate range confirmation, and PCR-004 and PCR-010</w:t>
      </w:r>
      <w:r>
        <w:t xml:space="preserve"> </w:t>
      </w:r>
      <w:r>
        <w:t xml:space="preserve">report those studies.</w:t>
      </w:r>
    </w:p>
    <w:p>
      <w:r>
        <w:br w:type="page"/>
      </w:r>
    </w:p>
    <w:bookmarkEnd w:id="32"/>
    <w:bookmarkEnd w:id="33"/>
    <w:bookmarkStart w:id="39" w:name="consolidated-quality-attribute-outcomes"/>
    <w:p>
      <w:pPr>
        <w:pStyle w:val="Heading1"/>
      </w:pPr>
      <w:r>
        <w:t xml:space="preserve">3. Consolidated quality attribute outcomes</w:t>
      </w:r>
    </w:p>
    <w:bookmarkStart w:id="35" w:name="the-register"/>
    <w:p>
      <w:pPr>
        <w:pStyle w:val="Heading2"/>
      </w:pPr>
      <w:r>
        <w:t xml:space="preserve">3.1 The register</w:t>
      </w:r>
    </w:p>
    <w:p>
      <w:pPr>
        <w:pStyle w:val="FirstParagraph"/>
      </w:pPr>
      <w:r>
        <w:t xml:space="preserve">The drug substance quality attribute register holds 10 attributes. It is</w:t>
      </w:r>
      <w:r>
        <w:t xml:space="preserve"> </w:t>
      </w:r>
      <w:r>
        <w:t xml:space="preserve">reproduced as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with the acceptance criterion, the criticality level and the Tool #1 risk</w:t>
      </w:r>
      <w:r>
        <w:t xml:space="preserve"> </w:t>
      </w:r>
      <w:r>
        <w:t xml:space="preserve">score assigned in RA-001. Criticality is not a binary label. It is a level assigned from the</w:t>
      </w:r>
      <w:r>
        <w:t xml:space="preserve"> </w:t>
      </w:r>
      <w:r>
        <w:t xml:space="preserve">severity of the consequence and the uncertainty around the structure and function relationship,</w:t>
      </w:r>
      <w:r>
        <w:t xml:space="preserve"> </w:t>
      </w:r>
      <w:r>
        <w:t xml:space="preserve">following ICH Q9 and the A-Mab framework</w:t>
      </w:r>
      <w:r>
        <w:t xml:space="preserve"> </w:t>
      </w:r>
      <w:r>
        <w:t xml:space="preserve">(International Council for Harmonisation 2023b; CMC Biotech Working Group 2009)</w:t>
      </w:r>
      <w:r>
        <w:t xml:space="preserve">. The attributes at high and very</w:t>
      </w:r>
      <w:r>
        <w:t xml:space="preserve"> </w:t>
      </w:r>
      <w:r>
        <w:t xml:space="preserve">high criticality are the ones the design space is built to protect.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A-Mab drug substance quality attribute register, with acceptance criteria, assigned criticality and the Tool #1 risk score from RA-001.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3 entries in the register sit at very high criticality. High mannose is one</w:t>
      </w:r>
      <w:r>
        <w:t xml:space="preserve"> </w:t>
      </w:r>
      <w:r>
        <w:t xml:space="preserve">of them, and it carries the highest Tool #1 score in the register at</w:t>
      </w:r>
      <w:r>
        <w:t xml:space="preserve"> </w:t>
      </w:r>
      <w:r>
        <w:t xml:space="preserve">80. The two cumulative viral clearance attributes</w:t>
      </w:r>
      <w:r>
        <w:t xml:space="preserve"> </w:t>
      </w:r>
      <w:r>
        <w:t xml:space="preserve">are the others. Acidic charge variants sit at the other end of the register, at very low</w:t>
      </w:r>
      <w:r>
        <w:t xml:space="preserve"> </w:t>
      </w:r>
      <w:r>
        <w:t xml:space="preserve">criticality and the lowest Tool #1 score at</w:t>
      </w:r>
      <w:r>
        <w:t xml:space="preserve"> </w:t>
      </w:r>
      <w:r>
        <w:t xml:space="preserve">4. The attribute is nevertheless carried through</w:t>
      </w:r>
      <w:r>
        <w:t xml:space="preserve"> </w:t>
      </w:r>
      <w:r>
        <w:t xml:space="preserve">the campaign with an upper acceptance limit. Deamidation converts an asparagine residue to</w:t>
      </w:r>
      <w:r>
        <w:t xml:space="preserve"> </w:t>
      </w:r>
      <w:r>
        <w:t xml:space="preserve">aspartate, which adds a negative charge and moves the molecule into the acidic peaks, and the</w:t>
      </w:r>
      <w:r>
        <w:t xml:space="preserve"> </w:t>
      </w:r>
      <w:r>
        <w:t xml:space="preserve">converted fraction rises with the time the pool is held near neutral pH. A</w:t>
      </w:r>
      <w:r>
        <w:t xml:space="preserve"> </w:t>
      </w:r>
      <w:r>
        <w:t xml:space="preserve">36 hour neutralized hold before anion exchange</w:t>
      </w:r>
      <w:r>
        <w:t xml:space="preserve"> </w:t>
      </w:r>
      <w:r>
        <w:t xml:space="preserve">raised the acidic charge variant content of the load from</w:t>
      </w:r>
      <w:r>
        <w:t xml:space="preserve"> </w:t>
      </w:r>
      <w:r>
        <w:t xml:space="preserve">21.0 % to</w:t>
      </w:r>
      <w:r>
        <w:t xml:space="preserve"> </w:t>
      </w:r>
      <w:r>
        <w:t xml:space="preserve">33.5 %, and §8 reports the</w:t>
      </w:r>
      <w:r>
        <w:t xml:space="preserve"> </w:t>
      </w:r>
      <w:r>
        <w:t xml:space="preserve">consequence.</w:t>
      </w:r>
    </w:p>
    <w:bookmarkEnd w:id="35"/>
    <w:bookmarkStart w:id="37" w:name="where-each-attribute-was-studied"/>
    <w:p>
      <w:pPr>
        <w:pStyle w:val="Heading2"/>
      </w:pPr>
      <w:r>
        <w:t xml:space="preserve">3.2 Where each attribute was studied</w:t>
      </w:r>
    </w:p>
    <w:p>
      <w:pPr>
        <w:pStyle w:val="FirstParagraph"/>
      </w:pPr>
      <w:hyperlink w:anchor="tbl-map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pairs each attribute with the primary step the register assigns it to and with the</w:t>
      </w:r>
      <w:r>
        <w:t xml:space="preserve"> </w:t>
      </w:r>
      <w:r>
        <w:t xml:space="preserve">reports in which the attribute appears as a response of a designed study. The two columns answer</w:t>
      </w:r>
      <w:r>
        <w:t xml:space="preserve"> </w:t>
      </w:r>
      <w:r>
        <w:t xml:space="preserve">different questions. The first is a register assignment. The second lists the steps at which a</w:t>
      </w:r>
      <w:r>
        <w:t xml:space="preserve"> </w:t>
      </w:r>
      <w:r>
        <w:t xml:space="preserve">fitted model predicts the attribute from operating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m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Each drug substance quality attribute, the primary step the register assigns it to, and the reports in which it was carried as a designed-study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47"/>
              <w:gridCol w:w="1508"/>
              <w:gridCol w:w="2208"/>
              <w:gridCol w:w="2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step (register)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Characterized as a study response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(PCR-003)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(PCR-003)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(PCR-003)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(PCR-003)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PCR-003, PCR-006,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(PCR-003)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PCR-003,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(PCR-003)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PCR-005, PCR-007,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(PCR-003)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designed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(PCR-005)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(PCR-006)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PCR-006, PCR-008,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(PCR-008)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PCR-008, PCR-009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3 glycan attributes appear in PCR-003 alone. Afucosylation,</w:t>
      </w:r>
      <w:r>
        <w:t xml:space="preserve"> </w:t>
      </w:r>
      <w:r>
        <w:t xml:space="preserve">galactosylation and high mannose are formed by the culture, and neither the affinity resin nor</w:t>
      </w:r>
      <w:r>
        <w:t xml:space="preserve"> </w:t>
      </w:r>
      <w:r>
        <w:t xml:space="preserve">the two ion exchange resins separates one glycoform from another under platform conditions, so</w:t>
      </w:r>
      <w:r>
        <w:t xml:space="preserve"> </w:t>
      </w:r>
      <w:r>
        <w:t xml:space="preserve">no downstream step carries them as a response</w:t>
      </w:r>
      <w:r>
        <w:t xml:space="preserve"> </w:t>
      </w:r>
      <w:r>
        <w:t xml:space="preserve">(CMC Biotech Working Group 2009)</w:t>
      </w:r>
      <w:r>
        <w:t xml:space="preserve">. Their control therefore rests on the</w:t>
      </w:r>
      <w:r>
        <w:t xml:space="preserve"> </w:t>
      </w:r>
      <w:r>
        <w:t xml:space="preserve">bioreactor design space alone. The bioreactor design carries</w:t>
      </w:r>
      <w:r>
        <w:t xml:space="preserve"> </w:t>
      </w:r>
      <w:r>
        <w:t xml:space="preserve">5 responses, more than any other step in the campaign.</w:t>
      </w:r>
    </w:p>
    <w:p>
      <w:pPr>
        <w:pStyle w:val="BodyText"/>
      </w:pPr>
      <w:r>
        <w:t xml:space="preserve">5 attributes are carried as a response at more than one step.</w:t>
      </w:r>
      <w:r>
        <w:t xml:space="preserve"> </w:t>
      </w:r>
      <w:r>
        <w:t xml:space="preserve">Aggregate is formed in the bioreactor, raised across the low-pH hold and reduced at cation</w:t>
      </w:r>
      <w:r>
        <w:t xml:space="preserve"> </w:t>
      </w:r>
      <w:r>
        <w:t xml:space="preserve">exchange, and all 3 steps model it. Host cell protein is formed in the</w:t>
      </w:r>
      <w:r>
        <w:t xml:space="preserve"> </w:t>
      </w:r>
      <w:r>
        <w:t xml:space="preserve">culture and is characterized at the 3 chromatography steps that clear</w:t>
      </w:r>
      <w:r>
        <w:t xml:space="preserve"> </w:t>
      </w:r>
      <w:r>
        <w:t xml:space="preserve">it. Cumulative clearance of both model viruses is built from the</w:t>
      </w:r>
      <w:r>
        <w:t xml:space="preserve"> </w:t>
      </w:r>
      <w:r>
        <w:t xml:space="preserve">3 steps credited in §6. For each of these attributes the drug</w:t>
      </w:r>
      <w:r>
        <w:t xml:space="preserve"> </w:t>
      </w:r>
      <w:r>
        <w:t xml:space="preserve">substance outcome is the product of several steps, and no single report can claim it. §7 states</w:t>
      </w:r>
      <w:r>
        <w:t xml:space="preserve"> </w:t>
      </w:r>
      <w:r>
        <w:t xml:space="preserve">how the in-process criteria at the contributing steps are set so that the cumulative outcome</w:t>
      </w:r>
      <w:r>
        <w:t xml:space="preserve"> </w:t>
      </w:r>
      <w:r>
        <w:t xml:space="preserve">follows.</w:t>
      </w:r>
    </w:p>
    <w:p>
      <w:pPr>
        <w:pStyle w:val="BodyText"/>
      </w:pPr>
      <w:r>
        <w:t xml:space="preserve">Residual DNA is carried as a designed response at no step, and</w:t>
      </w:r>
      <w:r>
        <w:t xml:space="preserve"> </w:t>
      </w:r>
      <w:hyperlink w:anchor="tbl-map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records that. The</w:t>
      </w:r>
      <w:r>
        <w:t xml:space="preserve"> </w:t>
      </w:r>
      <w:r>
        <w:t xml:space="preserve">platform chromatography steps clear DNA by mechanisms that are established from prior products</w:t>
      </w:r>
      <w:r>
        <w:t xml:space="preserve"> </w:t>
      </w:r>
      <w:r>
        <w:t xml:space="preserve">and were not challenged again here</w:t>
      </w:r>
      <w:r>
        <w:t xml:space="preserve"> </w:t>
      </w:r>
      <w:r>
        <w:t xml:space="preserve">(CMC Biotech Working Group 2009)</w:t>
      </w:r>
      <w:r>
        <w:t xml:space="preserve">. Assurance for residual DNA therefore rests on</w:t>
      </w:r>
      <w:r>
        <w:t xml:space="preserve"> </w:t>
      </w:r>
      <w:r>
        <w:t xml:space="preserve">the capability estimate in §5 and on release testing by the qualified qPCR method, and not on a</w:t>
      </w:r>
      <w:r>
        <w:t xml:space="preserve"> </w:t>
      </w:r>
      <w:r>
        <w:t xml:space="preserve">fitted model. This is the weakest evidential basis of any attribute in the register. The</w:t>
      </w:r>
      <w:r>
        <w:t xml:space="preserve"> </w:t>
      </w:r>
      <w:r>
        <w:t xml:space="preserve">simulated mean sits a factor of 8 below the acceptance limit, and</w:t>
      </w:r>
      <w:r>
        <w:t xml:space="preserve"> </w:t>
      </w:r>
      <w:r>
        <w:t xml:space="preserve">the highest of the 2,000 simulated batches reached</w:t>
      </w:r>
      <w:r>
        <w:t xml:space="preserve"> </w:t>
      </w:r>
      <w:r>
        <w:t xml:space="preserve">0.00025 ng/dose against a limit of 0.001 ng/dose.</w:t>
      </w:r>
    </w:p>
    <w:bookmarkEnd w:id="37"/>
    <w:bookmarkStart w:id="38" w:name="outcome"/>
    <w:p>
      <w:pPr>
        <w:pStyle w:val="Heading2"/>
      </w:pPr>
      <w:r>
        <w:t xml:space="preserve">3.3 Outcome</w:t>
      </w:r>
    </w:p>
    <w:p>
      <w:pPr>
        <w:pStyle w:val="FirstParagraph"/>
      </w:pPr>
      <w:r>
        <w:t xml:space="preserve">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met its acceptance criterion in the commercial scale simulation, and</w:t>
      </w:r>
      <w:r>
        <w:t xml:space="preserve"> </w:t>
      </w:r>
      <w:r>
        <w:t xml:space="preserve">§5 gives the distribution, the mean and the capability index for each. The two attributes with</w:t>
      </w:r>
      <w:r>
        <w:t xml:space="preserve"> </w:t>
      </w:r>
      <w:r>
        <w:t xml:space="preserve">the least room are the two cumulative viral clearance attributes, and §6 reports how their</w:t>
      </w:r>
      <w:r>
        <w:t xml:space="preserve"> </w:t>
      </w:r>
      <w:r>
        <w:t xml:space="preserve">claims are built.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are the criteria the studies were designed</w:t>
      </w:r>
      <w:r>
        <w:t xml:space="preserve"> </w:t>
      </w:r>
      <w:r>
        <w:t xml:space="preserve">against, and the campaign did not revise any of them.</w:t>
      </w:r>
    </w:p>
    <w:p>
      <w:r>
        <w:br w:type="page"/>
      </w:r>
    </w:p>
    <w:bookmarkEnd w:id="38"/>
    <w:bookmarkEnd w:id="39"/>
    <w:bookmarkStart w:id="49" w:name="parameter-classification-summary"/>
    <w:p>
      <w:pPr>
        <w:pStyle w:val="Heading1"/>
      </w:pPr>
      <w:r>
        <w:t xml:space="preserve">4. Parameter classification summary</w:t>
      </w:r>
    </w:p>
    <w:bookmarkStart w:id="46" w:name="the-consolidated-classification"/>
    <w:p>
      <w:pPr>
        <w:pStyle w:val="Heading2"/>
      </w:pPr>
      <w:r>
        <w:t xml:space="preserve">4.1 The consolidated classification</w:t>
      </w:r>
    </w:p>
    <w:p>
      <w:pPr>
        <w:pStyle w:val="FirstParagraph"/>
      </w:pPr>
      <w:r>
        <w:t xml:space="preserve">Parameters were classified after the studies were executed, using the decision logic in</w:t>
      </w:r>
      <w:r>
        <w:t xml:space="preserve"> </w:t>
      </w:r>
      <w:r>
        <w:t xml:space="preserve">SOP-4001. A parameter whose variability affects a critical quality attribute is a critical</w:t>
      </w:r>
      <w:r>
        <w:t xml:space="preserve"> </w:t>
      </w:r>
      <w:r>
        <w:t xml:space="preserve">process parameter, and it is a well controlled critical process parameter where the risk of</w:t>
      </w:r>
      <w:r>
        <w:t xml:space="preserve"> </w:t>
      </w:r>
      <w:r>
        <w:t xml:space="preserve">falling outside the design space is low</w:t>
      </w:r>
      <w:r>
        <w:t xml:space="preserve"> </w:t>
      </w:r>
      <w:r>
        <w:t xml:space="preserve">(CMC Biotech Working Group 2009)</w:t>
      </w:r>
      <w:r>
        <w:t xml:space="preserve">. A key process parameter affects process</w:t>
      </w:r>
      <w:r>
        <w:t xml:space="preserve"> </w:t>
      </w:r>
      <w:r>
        <w:t xml:space="preserve">performance and not product quality. A general process parameter affects neither over the range</w:t>
      </w:r>
      <w:r>
        <w:t xml:space="preserve"> </w:t>
      </w:r>
      <w:r>
        <w:t xml:space="preserve">studied.</w:t>
      </w:r>
      <w:r>
        <w:t xml:space="preserve"> </w:t>
      </w:r>
      <w:hyperlink w:anchor="tbl-clas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counts by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classification by unit operation across the whole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046"/>
              <w:gridCol w:w="1205"/>
              <w:gridCol w:w="602"/>
              <w:gridCol w:w="860"/>
              <w:gridCol w:w="602"/>
              <w:gridCol w:w="6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21 of the 37 parameters are quality-linked</w:t>
      </w:r>
      <w:r>
        <w:t xml:space="preserve"> </w:t>
      </w:r>
      <w:r>
        <w:t xml:space="preserve">process parameters, the critical and the well controlled critical classes together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They are listed with their set-points and normal operating ranges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. These are the parameters the control</w:t>
      </w:r>
      <w:r>
        <w:t xml:space="preserve"> </w:t>
      </w:r>
      <w:r>
        <w:t xml:space="preserve">strategy must hold, and the remaining 16 are monitored for</w:t>
      </w:r>
      <w:r>
        <w:t xml:space="preserve"> </w:t>
      </w:r>
      <w:r>
        <w:t xml:space="preserve">process consistency.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The quality-linked parameters across the train, with set-point and normal operating range. Each is classified in the report for its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64"/>
              <w:gridCol w:w="2036"/>
              <w:gridCol w:w="829"/>
              <w:gridCol w:w="980"/>
              <w:gridCol w:w="829"/>
              <w:gridCol w:w="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lass"/>
          <w:p>
            <w:pPr>
              <w:pStyle w:val="Compact"/>
              <w:jc w:val="center"/>
            </w:pPr>
            <w:r>
              <w:drawing>
                <wp:inline>
                  <wp:extent cx="5067300" cy="215564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aram_classificati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155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Parameter classification by unit operation across the drug substance train.</w:t>
            </w:r>
          </w:p>
          <w:bookmarkEnd w:id="45"/>
        </w:tc>
      </w:tr>
    </w:tbl>
    <w:bookmarkEnd w:id="46"/>
    <w:bookmarkStart w:id="47" w:name="the-single-critical-process-parameter"/>
    <w:p>
      <w:pPr>
        <w:pStyle w:val="Heading2"/>
      </w:pPr>
      <w:r>
        <w:t xml:space="preserve">4.2 The single critical process parameter</w:t>
      </w:r>
    </w:p>
    <w:p>
      <w:pPr>
        <w:pStyle w:val="FirstParagraph"/>
      </w:pPr>
      <w:r>
        <w:t xml:space="preserve">Inactivation pH at Step 6 is the only parameter classified as a critical</w:t>
      </w:r>
      <w:r>
        <w:t xml:space="preserve"> </w:t>
      </w:r>
      <w:r>
        <w:t xml:space="preserve">process parameter. It governs the rate of enveloped virus inactivation, and the log reduction</w:t>
      </w:r>
      <w:r>
        <w:t xml:space="preserve"> </w:t>
      </w:r>
      <w:r>
        <w:t xml:space="preserve">achieved by the step falls as the pH rises</w:t>
      </w:r>
      <w:r>
        <w:t xml:space="preserve"> </w:t>
      </w:r>
      <w:r>
        <w:t xml:space="preserve">(CMC Biotech Working Group 2009)</w:t>
      </w:r>
      <w:r>
        <w:t xml:space="preserve">. Its normal operating range of</w:t>
      </w:r>
      <w:r>
        <w:t xml:space="preserve"> </w:t>
      </w:r>
      <w:r>
        <w:t xml:space="preserve">3.4 to 3.6 pH units spans</w:t>
      </w:r>
      <w:r>
        <w:t xml:space="preserve"> </w:t>
      </w:r>
      <w:r>
        <w:t xml:space="preserve">25 % of the range over which it was characterized, against</w:t>
      </w:r>
      <w:r>
        <w:t xml:space="preserve"> </w:t>
      </w:r>
      <w:r>
        <w:t xml:space="preserve">40 % for the next narrowest quality-linked process parameter. A</w:t>
      </w:r>
      <w:r>
        <w:t xml:space="preserve"> </w:t>
      </w:r>
      <w:r>
        <w:t xml:space="preserve">parameter held in a narrow band relative to the range over which it was studied has a higher</w:t>
      </w:r>
      <w:r>
        <w:t xml:space="preserve"> </w:t>
      </w:r>
      <w:r>
        <w:t xml:space="preserve">risk of leaving the design space on a normal excursion. Inactivation pH was classified as</w:t>
      </w:r>
      <w:r>
        <w:t xml:space="preserve"> </w:t>
      </w:r>
      <w:r>
        <w:t xml:space="preserve">critical on that ground, and PCR-006 records the assessment.</w:t>
      </w:r>
    </w:p>
    <w:p>
      <w:pPr>
        <w:pStyle w:val="BodyText"/>
      </w:pPr>
      <w:r>
        <w:t xml:space="preserve">Every other quality-linked process parameter was classified as well controlled. In each case the</w:t>
      </w:r>
      <w:r>
        <w:t xml:space="preserve"> </w:t>
      </w:r>
      <w:r>
        <w:t xml:space="preserve">report for the step recorded the same two grounds. The parameter has a measured effect on a</w:t>
      </w:r>
      <w:r>
        <w:t xml:space="preserve"> </w:t>
      </w:r>
      <w:r>
        <w:t xml:space="preserve">critical quality attribute, and the equipment holds it inside a normal operating range that sits</w:t>
      </w:r>
      <w:r>
        <w:t xml:space="preserve"> </w:t>
      </w:r>
      <w:r>
        <w:t xml:space="preserve">well within the acceptable range proven for it. Each classification was made from the data of</w:t>
      </w:r>
      <w:r>
        <w:t xml:space="preserve"> </w:t>
      </w:r>
      <w:r>
        <w:t xml:space="preserve">its own step.</w:t>
      </w:r>
    </w:p>
    <w:bookmarkEnd w:id="47"/>
    <w:bookmarkStart w:id="48" w:name="classifications-that-rest-on-bounding"/>
    <w:p>
      <w:pPr>
        <w:pStyle w:val="Heading2"/>
      </w:pPr>
      <w:r>
        <w:t xml:space="preserve">4.3 Classifications that rest on bounding</w:t>
      </w:r>
    </w:p>
    <w:p>
      <w:pPr>
        <w:pStyle w:val="FirstParagraph"/>
      </w:pP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holds 1 quality-linked process parameter whose</w:t>
      </w:r>
      <w:r>
        <w:t xml:space="preserve"> </w:t>
      </w:r>
      <w:r>
        <w:t xml:space="preserve">classification rests on a univariate study rather than on a fitted effect.</w:t>
      </w:r>
      <w:r>
        <w:t xml:space="preserve"> </w:t>
      </w:r>
      <w:r>
        <w:t xml:space="preserve">Operating flow rate at Step 8 was held at its set-point in the designed</w:t>
      </w:r>
      <w:r>
        <w:t xml:space="preserve"> </w:t>
      </w:r>
      <w:r>
        <w:t xml:space="preserve">experiments and varied univariately across</w:t>
      </w:r>
      <w:r>
        <w:t xml:space="preserve"> </w:t>
      </w:r>
      <w:r>
        <w:t xml:space="preserve">150 to 450</w:t>
      </w:r>
      <w:r>
        <w:t xml:space="preserve"> </w:t>
      </w:r>
      <w:r>
        <w:t xml:space="preserve">cm/hr. Its classification rests on the absence of an effect over</w:t>
      </w:r>
      <w:r>
        <w:t xml:space="preserve"> </w:t>
      </w:r>
      <w:r>
        <w:t xml:space="preserve">that range and on the control capability of the skid, both reported in PCR-008, and not on a</w:t>
      </w:r>
      <w:r>
        <w:t xml:space="preserve"> </w:t>
      </w:r>
      <w:r>
        <w:t xml:space="preserve">coefficient in a response surface model. A univariate study cannot resolve an interaction</w:t>
      </w:r>
      <w:r>
        <w:t xml:space="preserve"> </w:t>
      </w:r>
      <w:r>
        <w:t xml:space="preserve">between that parameter and another. The classification claims no more than that.</w:t>
      </w:r>
    </w:p>
    <w:p>
      <w:pPr>
        <w:pStyle w:val="BodyText"/>
      </w:pPr>
      <w:r>
        <w:t xml:space="preserve">The general process parameters carry the same qualification in a milder form. Each was bounded</w:t>
      </w:r>
      <w:r>
        <w:t xml:space="preserve"> </w:t>
      </w:r>
      <w:r>
        <w:t xml:space="preserve">over a range wider than its normal operating range and showed no effect on any attribute in</w:t>
      </w:r>
      <w:r>
        <w:t xml:space="preserve"> </w:t>
      </w:r>
      <w:r>
        <w:t xml:space="preserve">scope for its step. That is evidence of no effect over the range tested, and it is not evidence</w:t>
      </w:r>
      <w:r>
        <w:t xml:space="preserve"> </w:t>
      </w:r>
      <w:r>
        <w:t xml:space="preserve">that no effect exists outside it. The report for each step gives the range tested in each</w:t>
      </w:r>
      <w:r>
        <w:t xml:space="preserve"> </w:t>
      </w:r>
      <w:r>
        <w:t xml:space="preserve">case.</w:t>
      </w:r>
    </w:p>
    <w:p>
      <w:r>
        <w:br w:type="page"/>
      </w:r>
    </w:p>
    <w:bookmarkEnd w:id="48"/>
    <w:bookmarkEnd w:id="49"/>
    <w:bookmarkStart w:id="57" w:name="process-capability"/>
    <w:p>
      <w:pPr>
        <w:pStyle w:val="Heading1"/>
      </w:pPr>
      <w:r>
        <w:t xml:space="preserve">5. Process capability</w:t>
      </w:r>
    </w:p>
    <w:bookmarkStart w:id="55" w:name="basis-of-the-estimate"/>
    <w:p>
      <w:pPr>
        <w:pStyle w:val="Heading2"/>
      </w:pPr>
      <w:r>
        <w:t xml:space="preserve">5.1 Basis of the estimate</w:t>
      </w:r>
    </w:p>
    <w:p>
      <w:pPr>
        <w:pStyle w:val="FirstParagraph"/>
      </w:pPr>
      <w:r>
        <w:t xml:space="preserve">Commercial scale capability was estimated by simulating 2,000 batches of the</w:t>
      </w:r>
      <w:r>
        <w:t xml:space="preserve"> </w:t>
      </w:r>
      <w:r>
        <w:t xml:space="preserve">whole train. In each batch every parameter was drawn from within its normal operating range and</w:t>
      </w:r>
      <w:r>
        <w:t xml:space="preserve"> </w:t>
      </w:r>
      <w:r>
        <w:t xml:space="preserve">the qualified scale-down models were used to propagate the settings to the drug substance</w:t>
      </w:r>
      <w:r>
        <w:t xml:space="preserve"> </w:t>
      </w:r>
      <w:r>
        <w:t xml:space="preserve">attributes. The simulation therefore answers a narrow question. It asks what distribution of drug substance</w:t>
      </w:r>
      <w:r>
        <w:t xml:space="preserve"> </w:t>
      </w:r>
      <w:r>
        <w:t xml:space="preserve">commercial manufacture would produce, given a process held inside the ranges the campaign</w:t>
      </w:r>
      <w:r>
        <w:t xml:space="preserve"> </w:t>
      </w:r>
      <w:r>
        <w:t xml:space="preserve">established and given the effects the campaign measured.</w:t>
      </w:r>
    </w:p>
    <w:p>
      <w:pPr>
        <w:pStyle w:val="BodyText"/>
      </w:pP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result for every attribute in the register. The mean and standard deviation</w:t>
      </w:r>
      <w:r>
        <w:t xml:space="preserve"> </w:t>
      </w:r>
      <w:r>
        <w:t xml:space="preserve">are the simulated drug substance distribution, and the capability index is the one sided index</w:t>
      </w:r>
      <w:r>
        <w:t xml:space="preserve"> </w:t>
      </w:r>
      <w:r>
        <w:t xml:space="preserve">against the acceptance limit that applies to that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Commercial-scale process capability by quality attribute, from the simulated batches. Cpk is the one-sided index against the acceptance limit that applies to each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02"/>
              <w:gridCol w:w="734"/>
              <w:gridCol w:w="898"/>
              <w:gridCol w:w="1143"/>
              <w:gridCol w:w="1306"/>
              <w:gridCol w:w="7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The simulation produced 0 batches outside an acceptance criterion, from</w:t>
      </w:r>
      <w:r>
        <w:t xml:space="preserve"> </w:t>
      </w:r>
      <w:r>
        <w:t xml:space="preserve">2,000 simulated. The lowest capability index is</w:t>
      </w:r>
      <w:r>
        <w:t xml:space="preserve"> </w:t>
      </w:r>
      <w:r>
        <w:t xml:space="preserve">1.51 for cumulative MVM clearance, followed by</w:t>
      </w:r>
      <w:r>
        <w:t xml:space="preserve"> </w:t>
      </w:r>
      <w:r>
        <w:t xml:space="preserve">1.53 for cumulative XMuLV clearance. The highest is</w:t>
      </w:r>
      <w:r>
        <w:t xml:space="preserve"> </w:t>
      </w:r>
      <w:r>
        <w:t xml:space="preserve">2,785 for Leached Protein A, where the</w:t>
      </w:r>
      <w:r>
        <w:t xml:space="preserve"> </w:t>
      </w:r>
      <w:r>
        <w:t xml:space="preserve">drug substance acceptance limit sits far above anything the train delivers. The campaign set no acceptance</w:t>
      </w:r>
      <w:r>
        <w:t xml:space="preserve"> </w:t>
      </w:r>
      <w:r>
        <w:t xml:space="preserve">criterion for the capability index, so these values are reported as results and not as a</w:t>
      </w:r>
      <w:r>
        <w:t xml:space="preserve"> </w:t>
      </w:r>
      <w:r>
        <w:t xml:space="preserve">pass or fail against a target.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cap"/>
          <w:p>
            <w:pPr>
              <w:pStyle w:val="Compact"/>
              <w:jc w:val="center"/>
            </w:pPr>
            <w:r>
              <w:drawing>
                <wp:inline>
                  <wp:extent cx="5067300" cy="2755736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apability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7557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Monte-Carlo drug-substance CQA distributions against acceptance limits, annotated with process capability.</w:t>
            </w:r>
          </w:p>
          <w:bookmarkEnd w:id="54"/>
        </w:tc>
      </w:tr>
    </w:tbl>
    <w:bookmarkEnd w:id="55"/>
    <w:bookmarkStart w:id="56" w:name="what-the-estimate-is-conditioned-on"/>
    <w:p>
      <w:pPr>
        <w:pStyle w:val="Heading2"/>
      </w:pPr>
      <w:r>
        <w:t xml:space="preserve">5.2 What the estimate is conditioned on</w:t>
      </w:r>
    </w:p>
    <w:p>
      <w:pPr>
        <w:pStyle w:val="FirstParagraph"/>
      </w:pPr>
      <w:r>
        <w:t xml:space="preserve">Four conditions bound every capability figure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, and none of them is removed by</w:t>
      </w:r>
      <w:r>
        <w:t xml:space="preserve"> </w:t>
      </w:r>
      <w:r>
        <w:t xml:space="preserve">increasing the size of the simulation.</w:t>
      </w:r>
    </w:p>
    <w:p>
      <w:pPr>
        <w:pStyle w:val="BodyText"/>
      </w:pPr>
      <w:r>
        <w:t xml:space="preserve">The estimate is conditioned on the scale-down models being representative. Each model was</w:t>
      </w:r>
      <w:r>
        <w:t xml:space="preserve"> </w:t>
      </w:r>
      <w:r>
        <w:t xml:space="preserve">qualified against development and pilot scale data before its study was run, under SOP-1001, and</w:t>
      </w:r>
      <w:r>
        <w:t xml:space="preserve"> </w:t>
      </w:r>
      <w:r>
        <w:t xml:space="preserve">the report for each step records that qualification.</w:t>
      </w:r>
    </w:p>
    <w:p>
      <w:pPr>
        <w:pStyle w:val="BodyText"/>
      </w:pPr>
      <w:r>
        <w:t xml:space="preserve">The estimate is conditioned on the parameters staying inside their normal operating ranges. The</w:t>
      </w:r>
      <w:r>
        <w:t xml:space="preserve"> </w:t>
      </w:r>
      <w:r>
        <w:t xml:space="preserve">simulation samples the normal operating range and not the wider characterized range, so it</w:t>
      </w:r>
      <w:r>
        <w:t xml:space="preserve"> </w:t>
      </w:r>
      <w:r>
        <w:t xml:space="preserve">describes routine operation. It does not describe an excursion, and the proven acceptable ranges</w:t>
      </w:r>
      <w:r>
        <w:t xml:space="preserve"> </w:t>
      </w:r>
      <w:r>
        <w:t xml:space="preserve">in the step reports are the right place to look for the consequence of one.</w:t>
      </w:r>
    </w:p>
    <w:p>
      <w:pPr>
        <w:pStyle w:val="BodyText"/>
      </w:pPr>
      <w:r>
        <w:t xml:space="preserve">The estimate is conditioned on the form of the fitted models. A response surface model predicts</w:t>
      </w:r>
      <w:r>
        <w:t xml:space="preserve"> </w:t>
      </w:r>
      <w:r>
        <w:t xml:space="preserve">mean levels over the region it was fitted in</w:t>
      </w:r>
      <w:r>
        <w:t xml:space="preserve"> </w:t>
      </w:r>
      <w:r>
        <w:t xml:space="preserve">(CMC Biotech Working Group 2009)</w:t>
      </w:r>
      <w:r>
        <w:t xml:space="preserve">. It carries the uncertainty of its own</w:t>
      </w:r>
      <w:r>
        <w:t xml:space="preserve"> </w:t>
      </w:r>
      <w:r>
        <w:t xml:space="preserve">coefficients, and it says nothing about a mechanism that was not in the design.</w:t>
      </w:r>
    </w:p>
    <w:p>
      <w:pPr>
        <w:pStyle w:val="BodyText"/>
      </w:pPr>
      <w:r>
        <w:t xml:space="preserve">The estimate is not a commercial scale measurement. No commercial batch has been made. Every</w:t>
      </w:r>
      <w:r>
        <w:t xml:space="preserve"> </w:t>
      </w:r>
      <w:r>
        <w:t xml:space="preserve">figure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a prediction to be confirmed during process performance qualification.</w:t>
      </w:r>
    </w:p>
    <w:p>
      <w:r>
        <w:br w:type="page"/>
      </w:r>
    </w:p>
    <w:bookmarkEnd w:id="56"/>
    <w:bookmarkEnd w:id="57"/>
    <w:bookmarkStart w:id="66" w:name="viral-clearance-summary"/>
    <w:p>
      <w:pPr>
        <w:pStyle w:val="Heading1"/>
      </w:pPr>
      <w:r>
        <w:t xml:space="preserve">6. Viral clearance summary</w:t>
      </w:r>
    </w:p>
    <w:bookmarkStart w:id="59" w:name="the-modular-claim"/>
    <w:p>
      <w:pPr>
        <w:pStyle w:val="Heading2"/>
      </w:pPr>
      <w:r>
        <w:t xml:space="preserve">6.1 The modular claim</w:t>
      </w:r>
    </w:p>
    <w:p>
      <w:pPr>
        <w:pStyle w:val="FirstParagraph"/>
      </w:pPr>
      <w:r>
        <w:t xml:space="preserve">Viral safety for A-Mab rests on a modular clearance claim built under ICH Q5A</w:t>
      </w:r>
      <w:r>
        <w:t xml:space="preserve"> </w:t>
      </w:r>
      <w:r>
        <w:t xml:space="preserve">(International Council for Harmonisation 2023a)</w:t>
      </w:r>
      <w:r>
        <w:t xml:space="preserve">. Each</w:t>
      </w:r>
      <w:r>
        <w:t xml:space="preserve"> </w:t>
      </w:r>
      <w:r>
        <w:t xml:space="preserve">contributing step was spiked and studied independently of the others, and the cumulative claim</w:t>
      </w:r>
      <w:r>
        <w:t xml:space="preserve"> </w:t>
      </w:r>
      <w:r>
        <w:t xml:space="preserve">is the sum of the individual log reduction factors</w:t>
      </w:r>
      <w:r>
        <w:t xml:space="preserve"> </w:t>
      </w:r>
      <w:r>
        <w:t xml:space="preserve">(CMC Biotech Working Group 2009)</w:t>
      </w:r>
      <w:r>
        <w:t xml:space="preserve">. Two model viruses carry the</w:t>
      </w:r>
      <w:r>
        <w:t xml:space="preserve"> </w:t>
      </w:r>
      <w:r>
        <w:t xml:space="preserve">claim. XMuLV is the model enveloped retrovirus, and MVM is the model small non-enveloped</w:t>
      </w:r>
      <w:r>
        <w:t xml:space="preserve"> </w:t>
      </w:r>
      <w:r>
        <w:t xml:space="preserve">parvovirus and the harder of the two to clear.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contribution of each step</w:t>
      </w:r>
      <w:r>
        <w:t xml:space="preserve"> </w:t>
      </w:r>
      <w:r>
        <w:t xml:space="preserve">and the cumulative total.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vi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Modular viral clearance by step, and the cumulative claim for each model virus.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Cumulative XMuLV clearance is 18.87 log10 against a requirement of</w:t>
      </w:r>
      <w:r>
        <w:t xml:space="preserve"> </w:t>
      </w:r>
      <w:r>
        <w:t xml:space="preserve">16.7 log10, a margin of 2.17 log10.</w:t>
      </w:r>
      <w:r>
        <w:t xml:space="preserve"> </w:t>
      </w:r>
      <w:r>
        <w:t xml:space="preserve">Cumulative MVM clearance is 10.03 log10 against a requirement of</w:t>
      </w:r>
      <w:r>
        <w:t xml:space="preserve"> </w:t>
      </w:r>
      <w:r>
        <w:t xml:space="preserve">8.6 log10, a margin of 1.43 log10. MVM</w:t>
      </w:r>
      <w:r>
        <w:t xml:space="preserve"> </w:t>
      </w:r>
      <w:r>
        <w:t xml:space="preserve">therefore carries the smaller margin, and it is also the attribute with the lowest capability</w:t>
      </w:r>
      <w:r>
        <w:t xml:space="preserve"> </w:t>
      </w:r>
      <w:r>
        <w:t xml:space="preserve">index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. The parvovirus claim is built from fewer steps and each of them delivers</w:t>
      </w:r>
      <w:r>
        <w:t xml:space="preserve"> </w:t>
      </w:r>
      <w:r>
        <w:t xml:space="preserve">less.</w:t>
      </w:r>
    </w:p>
    <w:bookmarkEnd w:id="59"/>
    <w:bookmarkStart w:id="60" w:name="orthogonality"/>
    <w:p>
      <w:pPr>
        <w:pStyle w:val="Heading2"/>
      </w:pPr>
      <w:r>
        <w:t xml:space="preserve">6.2 Orthogonality</w:t>
      </w:r>
    </w:p>
    <w:p>
      <w:pPr>
        <w:pStyle w:val="FirstParagraph"/>
      </w:pPr>
      <w:r>
        <w:t xml:space="preserve">The claim is only additive if the steps remove virus by mechanisms that are independent of one</w:t>
      </w:r>
      <w:r>
        <w:t xml:space="preserve"> </w:t>
      </w:r>
      <w:r>
        <w:t xml:space="preserve">another, so that a virus resistant to one step is not thereby resistant to the next. The 3</w:t>
      </w:r>
      <w:r>
        <w:t xml:space="preserve"> </w:t>
      </w:r>
      <w:r>
        <w:t xml:space="preserve">credited steps meet that condition. The low-pH hold inactivates by acid denaturation of the</w:t>
      </w:r>
      <w:r>
        <w:t xml:space="preserve"> </w:t>
      </w:r>
      <w:r>
        <w:t xml:space="preserve">viral envelope. Anion exchange holds virus on the positively charged resin at a load pH of</w:t>
      </w:r>
      <w:r>
        <w:t xml:space="preserve"> </w:t>
      </w:r>
      <w:r>
        <w:t xml:space="preserve">7.5, at which the antibody carries too little negative charge to bind</w:t>
      </w:r>
      <w:r>
        <w:t xml:space="preserve"> </w:t>
      </w:r>
      <w:r>
        <w:t xml:space="preserve">and passes through. Small virus retentive filtration retains virus at the membrane by size and</w:t>
      </w:r>
      <w:r>
        <w:t xml:space="preserve"> </w:t>
      </w:r>
      <w:r>
        <w:t xml:space="preserve">passes the antibody.</w:t>
      </w:r>
    </w:p>
    <w:p>
      <w:pPr>
        <w:pStyle w:val="BodyText"/>
      </w:pPr>
      <w:r>
        <w:t xml:space="preserve">The low-pH hold delivers</w:t>
      </w:r>
      <w:r>
        <w:t xml:space="preserve"> </w:t>
      </w:r>
      <w:r>
        <w:t xml:space="preserve">7.10 log10 against XMuLV and 0 log10 against MVM,</w:t>
      </w:r>
      <w:r>
        <w:t xml:space="preserve"> </w:t>
      </w:r>
      <w:r>
        <w:t xml:space="preserve">because MVM has no envelope to denature. The whole parvovirus claim therefore rests on the</w:t>
      </w:r>
      <w:r>
        <w:t xml:space="preserve"> </w:t>
      </w:r>
      <w:r>
        <w:t xml:space="preserve">2 steps that remove virus by a physical mechanism, anion exchange at</w:t>
      </w:r>
      <w:r>
        <w:t xml:space="preserve"> </w:t>
      </w:r>
      <w:r>
        <w:t xml:space="preserve">4.71 log10 and virus filtration at 5.32 log10.</w:t>
      </w:r>
      <w:r>
        <w:t xml:space="preserve"> </w:t>
      </w:r>
      <w:r>
        <w:t xml:space="preserve">Virus filtration is the larger of the two and the more robust, because retention by a membrane</w:t>
      </w:r>
      <w:r>
        <w:t xml:space="preserve"> </w:t>
      </w:r>
      <w:r>
        <w:t xml:space="preserve">does not depend on the load conductivity or pH.</w:t>
      </w:r>
    </w:p>
    <w:bookmarkEnd w:id="60"/>
    <w:bookmarkStart w:id="65" w:name="what-is-credited-and-what-is-not"/>
    <w:p>
      <w:pPr>
        <w:pStyle w:val="Heading2"/>
      </w:pPr>
      <w:r>
        <w:t xml:space="preserve">6.3 What is credited and what is not</w:t>
      </w:r>
    </w:p>
    <w:p>
      <w:pPr>
        <w:pStyle w:val="FirstParagraph"/>
      </w:pPr>
      <w:r>
        <w:t xml:space="preserve">3 of the 8 unit operations are credited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, and only 2 of them contribute to the parvovirus claim.</w:t>
      </w:r>
      <w:r>
        <w:t xml:space="preserve"> </w:t>
      </w:r>
      <w:r>
        <w:t xml:space="preserve">Protein A chromatography and cation exchange chromatography both remove virus in routine</w:t>
      </w:r>
      <w:r>
        <w:t xml:space="preserve"> </w:t>
      </w:r>
      <w:r>
        <w:t xml:space="preserve">operation on the platform</w:t>
      </w:r>
      <w:r>
        <w:t xml:space="preserve"> </w:t>
      </w:r>
      <w:r>
        <w:t xml:space="preserve">(CMC Biotech Working Group 2009)</w:t>
      </w:r>
      <w:r>
        <w:t xml:space="preserve">, and no clearance is claimed for either of them here.</w:t>
      </w:r>
      <w:r>
        <w:t xml:space="preserve"> </w:t>
      </w:r>
      <w:r>
        <w:t xml:space="preserve">Excluding them keeps the claim conservative and keeps it independent of two steps whose viral</w:t>
      </w:r>
      <w:r>
        <w:t xml:space="preserve"> </w:t>
      </w:r>
      <w:r>
        <w:t xml:space="preserve">removal was not studied in this campaign. PCR-005 and PCR-007 report those steps without a</w:t>
      </w:r>
      <w:r>
        <w:t xml:space="preserve"> </w:t>
      </w:r>
      <w:r>
        <w:t xml:space="preserve">clearance claim.</w:t>
      </w:r>
    </w:p>
    <w:p>
      <w:pPr>
        <w:pStyle w:val="BodyText"/>
      </w:pPr>
      <w:r>
        <w:t xml:space="preserve">§7 explains how the in-process</w:t>
      </w:r>
      <w:r>
        <w:t xml:space="preserve"> </w:t>
      </w:r>
      <w:r>
        <w:t xml:space="preserve">criterion for a viral step is derived from the cumulative requirement minus the nominal</w:t>
      </w:r>
      <w:r>
        <w:t xml:space="preserve"> </w:t>
      </w:r>
      <w:r>
        <w:t xml:space="preserve">contribution of the other credited steps, with an allowance of</w:t>
      </w:r>
      <w:r>
        <w:t xml:space="preserve"> </w:t>
      </w:r>
      <w:r>
        <w:t xml:space="preserve">0.35 log10 subtracted for the variability of the infectivity assay.</w:t>
      </w:r>
      <w:r>
        <w:t xml:space="preserve"> </w:t>
      </w:r>
      <w:r>
        <w:t xml:space="preserve">The consequence is that no single step is asked to carry the whole requirement, and the failure</w:t>
      </w:r>
      <w:r>
        <w:t xml:space="preserve"> </w:t>
      </w:r>
      <w:r>
        <w:t xml:space="preserve">of any one step to reach its nominal contribution is visible against its own criterion before it</w:t>
      </w:r>
      <w:r>
        <w:t xml:space="preserve"> </w:t>
      </w:r>
      <w:r>
        <w:t xml:space="preserve">reaches the drug substance.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viral"/>
          <w:p>
            <w:pPr>
              <w:pStyle w:val="Compact"/>
              <w:jc w:val="center"/>
            </w:pPr>
            <w:r>
              <w:drawing>
                <wp:inline>
                  <wp:extent cx="5067300" cy="203306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ral_clearanc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0330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Modular viral clearance by step for XMuLV and MVM, against the cumulative requirement.</w:t>
            </w:r>
          </w:p>
          <w:bookmarkEnd w:id="64"/>
        </w:tc>
      </w:tr>
    </w:tbl>
    <w:p>
      <w:pPr>
        <w:pStyle w:val="BodyText"/>
      </w:pPr>
      <w:r>
        <w:t xml:space="preserve">The log reduction factors are measured on spiked scale-down</w:t>
      </w:r>
      <w:r>
        <w:t xml:space="preserve"> </w:t>
      </w:r>
      <w:r>
        <w:t xml:space="preserve">runs and not on manufacturing material. ICH Q5A sets that out as the basis for a modular claim</w:t>
      </w:r>
      <w:r>
        <w:t xml:space="preserve"> </w:t>
      </w:r>
      <w:r>
        <w:t xml:space="preserve">(International Council for Harmonisation 2023a)</w:t>
      </w:r>
      <w:r>
        <w:t xml:space="preserve">. The claim is also a nominal claim, in the sense that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evaluates each step at</w:t>
      </w:r>
      <w:r>
        <w:t xml:space="preserve"> </w:t>
      </w:r>
      <w:r>
        <w:t xml:space="preserve">its design centre. Under normal operating range</w:t>
      </w:r>
      <w:r>
        <w:t xml:space="preserve"> </w:t>
      </w:r>
      <w:r>
        <w:t xml:space="preserve">variation the simulated cumulative clearance has a mean of</w:t>
      </w:r>
      <w:r>
        <w:t xml:space="preserve"> </w:t>
      </w:r>
      <w:r>
        <w:t xml:space="preserve">19.51 log10 for XMuLV and</w:t>
      </w:r>
      <w:r>
        <w:t xml:space="preserve"> </w:t>
      </w:r>
      <w:r>
        <w:t xml:space="preserve">10.38 log10 for MVM, which sits above the nominal claim in</w:t>
      </w:r>
      <w:r>
        <w:t xml:space="preserve"> </w:t>
      </w:r>
      <w:r>
        <w:t xml:space="preserve">both cases. The nominal claim is therefore the lower of the two figures, and it is the one</w:t>
      </w:r>
      <w:r>
        <w:t xml:space="preserve"> </w:t>
      </w:r>
      <w:r>
        <w:t xml:space="preserve">carried forward into the control strategy.</w:t>
      </w:r>
    </w:p>
    <w:p>
      <w:r>
        <w:br w:type="page"/>
      </w:r>
    </w:p>
    <w:bookmarkEnd w:id="65"/>
    <w:bookmarkEnd w:id="66"/>
    <w:bookmarkStart w:id="78" w:name="overall-control-strategy"/>
    <w:p>
      <w:pPr>
        <w:pStyle w:val="Heading1"/>
      </w:pPr>
      <w:r>
        <w:t xml:space="preserve">7. Overall control strategy</w:t>
      </w:r>
    </w:p>
    <w:bookmarkStart w:id="67" w:name="the-elements-and-how-they-combine"/>
    <w:p>
      <w:pPr>
        <w:pStyle w:val="Heading2"/>
      </w:pPr>
      <w:r>
        <w:t xml:space="preserve">7.1 The elements and how they combine</w:t>
      </w:r>
    </w:p>
    <w:p>
      <w:pPr>
        <w:pStyle w:val="FirstParagraph"/>
      </w:pPr>
      <w:r>
        <w:t xml:space="preserve">The control strategy has two purposes. It ensures product quality and safety, and it ensures</w:t>
      </w:r>
      <w:r>
        <w:t xml:space="preserve"> </w:t>
      </w:r>
      <w:r>
        <w:t xml:space="preserve">that commercial manufacture is consistent and robust</w:t>
      </w:r>
      <w:r>
        <w:t xml:space="preserve"> </w:t>
      </w:r>
      <w:r>
        <w:t xml:space="preserve">(CMC Biotech Working Group 2009)</w:t>
      </w:r>
      <w:r>
        <w:t xml:space="preserve">. Product quality is protected</w:t>
      </w:r>
      <w:r>
        <w:t xml:space="preserve"> </w:t>
      </w:r>
      <w:r>
        <w:t xml:space="preserve">by holding every quality-linked process parameter inside a normal operating range that sits</w:t>
      </w:r>
      <w:r>
        <w:t xml:space="preserve"> </w:t>
      </w:r>
      <w:r>
        <w:t xml:space="preserve">within the design space of its step. Process consistency is protected by holding the key process parameters</w:t>
      </w:r>
      <w:r>
        <w:t xml:space="preserve"> </w:t>
      </w:r>
      <w:r>
        <w:t xml:space="preserve">inside their established limits and by monitoring the process attributes that report on them.</w:t>
      </w:r>
      <w:r>
        <w:t xml:space="preserve"> </w:t>
      </w:r>
      <w:r>
        <w:t xml:space="preserve">No single element below carries the strategy alone.</w:t>
      </w:r>
    </w:p>
    <w:bookmarkEnd w:id="67"/>
    <w:bookmarkStart w:id="69" w:name="X8c8d2658b30748f2fc0f4fbedb009e6064a3cfc"/>
    <w:p>
      <w:pPr>
        <w:pStyle w:val="Heading2"/>
      </w:pPr>
      <w:r>
        <w:t xml:space="preserve">7.2 Parameter ranges and the design space of each step</w:t>
      </w:r>
    </w:p>
    <w:p>
      <w:pPr>
        <w:pStyle w:val="FirstParagraph"/>
      </w:pPr>
      <w:r>
        <w:t xml:space="preserve">The first element is the set of ranges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. A normal operating range is where the</w:t>
      </w:r>
      <w:r>
        <w:t xml:space="preserve"> </w:t>
      </w:r>
      <w:r>
        <w:t xml:space="preserve">process is held. The characterized range is the wider region the studies covered. The proven</w:t>
      </w:r>
      <w:r>
        <w:t xml:space="preserve"> </w:t>
      </w:r>
      <w:r>
        <w:t xml:space="preserve">acceptable range for a parameter is the part of the characterized range over which the response</w:t>
      </w:r>
      <w:r>
        <w:t xml:space="preserve"> </w:t>
      </w:r>
      <w:r>
        <w:t xml:space="preserve">still meets its criterion, and each step report gives it per attribute and per parameter.</w:t>
      </w:r>
    </w:p>
    <w:p>
      <w:pPr>
        <w:pStyle w:val="BodyText"/>
      </w:pPr>
      <w:hyperlink w:anchor="tbl-ds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states how much of each characterized region meets every criterion that applies to the</w:t>
      </w:r>
      <w:r>
        <w:t xml:space="preserve"> </w:t>
      </w:r>
      <w:r>
        <w:t xml:space="preserve">step. The fitted response surface models were evaluated on an even grid across the coded</w:t>
      </w:r>
      <w:r>
        <w:t xml:space="preserve"> </w:t>
      </w:r>
      <w:r>
        <w:t xml:space="preserve">region of each step, and the table reports the share of grid points that satisfy every criterion</w:t>
      </w:r>
      <w:r>
        <w:t xml:space="preserve"> </w:t>
      </w:r>
      <w:r>
        <w:t xml:space="preserve">at once, together with the response that rejects most of the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Share of each step’s characterized region that meets every criterion applying to the step, from the fitted response-surface models evaluated on an even grid.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8"/>
              <w:gridCol w:w="1819"/>
              <w:gridCol w:w="802"/>
              <w:gridCol w:w="2033"/>
              <w:gridCol w:w="1123"/>
              <w:gridCol w:w="1177"/>
              <w:gridCol w:w="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Grid points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Region meeting every criterion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Limiting 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Rejected by it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</w:tbl>
          <w:bookmarkEnd w:id="68"/>
          <w:p/>
        </w:tc>
      </w:tr>
    </w:tbl>
    <w:p>
      <w:pPr>
        <w:pStyle w:val="BodyText"/>
      </w:pPr>
      <w:r>
        <w:t xml:space="preserve">The characterized region is not the design space at any step. At every step some part of the</w:t>
      </w:r>
      <w:r>
        <w:t xml:space="preserve"> </w:t>
      </w:r>
      <w:r>
        <w:t xml:space="preserve">region studied fails a criterion. The</w:t>
      </w:r>
      <w:r>
        <w:t xml:space="preserve"> </w:t>
      </w:r>
      <w:r>
        <w:t xml:space="preserve">Production Bioreactor has the narrowest acceptable region, at</w:t>
      </w:r>
      <w:r>
        <w:t xml:space="preserve"> </w:t>
      </w:r>
      <w:r>
        <w:t xml:space="preserve">53 % of the region</w:t>
      </w:r>
      <w:r>
        <w:t xml:space="preserve"> </w:t>
      </w:r>
      <w:r>
        <w:t xml:space="preserve">studied. It is also the step with the most criteria to satisfy at once,</w:t>
      </w:r>
      <w:r>
        <w:t xml:space="preserve"> </w:t>
      </w:r>
      <w:r>
        <w:t xml:space="preserve">5 of them. The limiting response differs by step. Aggregate limits</w:t>
      </w:r>
      <w:r>
        <w:t xml:space="preserve"> </w:t>
      </w:r>
      <w:r>
        <w:t xml:space="preserve">the low-pH hold and cation exchange, and pool host cell protein limits Protein A capture and</w:t>
      </w:r>
      <w:r>
        <w:t xml:space="preserve"> </w:t>
      </w:r>
      <w:r>
        <w:t xml:space="preserve">anion exchange.</w:t>
      </w:r>
    </w:p>
    <w:p>
      <w:pPr>
        <w:pStyle w:val="BodyText"/>
      </w:pPr>
      <w:r>
        <w:t xml:space="preserve">The grid in</w:t>
      </w:r>
      <w:r>
        <w:t xml:space="preserve"> </w:t>
      </w:r>
      <w:hyperlink w:anchor="tbl-ds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is evaluated on mean predictions, so a point that</w:t>
      </w:r>
      <w:r>
        <w:t xml:space="preserve"> </w:t>
      </w:r>
      <w:r>
        <w:t xml:space="preserve">just satisfies a criterion on the mean carries roughly even odds of meeting it on an individual</w:t>
      </w:r>
      <w:r>
        <w:t xml:space="preserve"> </w:t>
      </w:r>
      <w:r>
        <w:t xml:space="preserve">batch</w:t>
      </w:r>
      <w:r>
        <w:t xml:space="preserve"> </w:t>
      </w:r>
      <w:r>
        <w:t xml:space="preserve">(CMC Biotech Working Group 2009)</w:t>
      </w:r>
      <w:r>
        <w:t xml:space="preserve">. The normal operating range of every parameter sits inside its acceptable</w:t>
      </w:r>
      <w:r>
        <w:t xml:space="preserve"> </w:t>
      </w:r>
      <w:r>
        <w:t xml:space="preserve">region. The design space claimed for each step is stated in that step’s report and not here.</w:t>
      </w:r>
    </w:p>
    <w:bookmarkEnd w:id="69"/>
    <w:bookmarkStart w:id="71" w:name="in-process-controls"/>
    <w:p>
      <w:pPr>
        <w:pStyle w:val="Heading2"/>
      </w:pPr>
      <w:r>
        <w:t xml:space="preserve">7.3 In-process controls</w:t>
      </w:r>
    </w:p>
    <w:p>
      <w:pPr>
        <w:pStyle w:val="FirstParagraph"/>
      </w:pPr>
      <w:r>
        <w:t xml:space="preserve">The second element is the set of in-process criteria in</w:t>
      </w:r>
      <w:r>
        <w:t xml:space="preserve"> </w:t>
      </w:r>
      <w:hyperlink w:anchor="tbl-ipc">
        <w:r>
          <w:rPr>
            <w:rStyle w:val="Hyperlink"/>
          </w:rPr>
          <w:t xml:space="preserve">Table 13</w:t>
        </w:r>
      </w:hyperlink>
      <w:r>
        <w:t xml:space="preserve">. An intermediate carries every</w:t>
      </w:r>
      <w:r>
        <w:t xml:space="preserve"> </w:t>
      </w:r>
      <w:r>
        <w:t xml:space="preserve">impurity at the level the steps before it left, and the steps that clear the remainder have not</w:t>
      </w:r>
      <w:r>
        <w:t xml:space="preserve"> </w:t>
      </w:r>
      <w:r>
        <w:t xml:space="preserve">yet run. The Protein A pool carries 9,125 ng/mg host cell protein</w:t>
      </w:r>
      <w:r>
        <w:t xml:space="preserve"> </w:t>
      </w:r>
      <w:r>
        <w:t xml:space="preserve">against a drug substance limit of 100 ng/mg, and it is nevertheless in</w:t>
      </w:r>
      <w:r>
        <w:t xml:space="preserve"> </w:t>
      </w:r>
      <w:r>
        <w:t xml:space="preserve">control, because cation exchange and anion exchange clear it afterwards. The drug substance limit</w:t>
      </w:r>
      <w:r>
        <w:t xml:space="preserve"> </w:t>
      </w:r>
      <w:r>
        <w:t xml:space="preserve">is the wrong yardstick for an intermediate, and the campaign uses a criterion for each step that</w:t>
      </w:r>
      <w:r>
        <w:t xml:space="preserve"> </w:t>
      </w:r>
      <w:r>
        <w:t xml:space="preserve">applies to that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ip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In-process criteria by step, with the basis on which each was set. The</w:t>
            </w:r>
            <w:r>
              <w:t xml:space="preserve"> </w:t>
            </w:r>
            <w:r>
              <w:t xml:space="preserve">“in-process”</w:t>
            </w:r>
            <w:r>
              <w:t xml:space="preserve"> </w:t>
            </w:r>
            <w:r>
              <w:t xml:space="preserve">basis is a criterion derived for the step;</w:t>
            </w:r>
            <w:r>
              <w:t xml:space="preserve"> </w:t>
            </w:r>
            <w:r>
              <w:t xml:space="preserve">“drug substance”</w:t>
            </w:r>
            <w:r>
              <w:t xml:space="preserve"> </w:t>
            </w:r>
            <w:r>
              <w:t xml:space="preserve">means the register criterion applies directly.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7"/>
              <w:gridCol w:w="2540"/>
              <w:gridCol w:w="1867"/>
              <w:gridCol w:w="971"/>
              <w:gridCol w:w="1195"/>
              <w:gridCol w:w="7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10,724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21.7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5.47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</w:tbl>
          <w:bookmarkEnd w:id="70"/>
          <w:p/>
        </w:tc>
      </w:tr>
    </w:tbl>
    <w:p>
      <w:pPr>
        <w:pStyle w:val="BodyText"/>
      </w:pPr>
      <w:r>
        <w:t xml:space="preserve">12 of the 17 criteria are derived for the step and</w:t>
      </w:r>
      <w:r>
        <w:t xml:space="preserve"> </w:t>
      </w:r>
      <w:r>
        <w:t xml:space="preserve">the remaining 5 are the drug substance criterion applied directly. Three</w:t>
      </w:r>
      <w:r>
        <w:t xml:space="preserve"> </w:t>
      </w:r>
      <w:r>
        <w:t xml:space="preserve">methods of derivation are used. For an impurity that the downstream train clears, the drug</w:t>
      </w:r>
      <w:r>
        <w:t xml:space="preserve"> </w:t>
      </w:r>
      <w:r>
        <w:t xml:space="preserve">substance limit is carried back through the clearance the downstream steps deliver and then</w:t>
      </w:r>
      <w:r>
        <w:t xml:space="preserve"> </w:t>
      </w:r>
      <w:r>
        <w:t xml:space="preserve">divided by a safety factor, so that the limit does not depend on every downstream step</w:t>
      </w:r>
      <w:r>
        <w:t xml:space="preserve"> </w:t>
      </w:r>
      <w:r>
        <w:t xml:space="preserve">performing exactly at nominal. For an attribute that no downstream step clears or modifies, such</w:t>
      </w:r>
      <w:r>
        <w:t xml:space="preserve"> </w:t>
      </w:r>
      <w:r>
        <w:t xml:space="preserve">as a glycan, the criterion is set from the demonstrated capability of the process, as an alert</w:t>
      </w:r>
      <w:r>
        <w:t xml:space="preserve"> </w:t>
      </w:r>
      <w:r>
        <w:t xml:space="preserve">limit at 2.5 standard deviations from the simulated mean. For a viral</w:t>
      </w:r>
      <w:r>
        <w:t xml:space="preserve"> </w:t>
      </w:r>
      <w:r>
        <w:t xml:space="preserve">clearance response the criterion is the cumulative requirement minus the nominal contribution of</w:t>
      </w:r>
      <w:r>
        <w:t xml:space="preserve"> </w:t>
      </w:r>
      <w:r>
        <w:t xml:space="preserve">the other credited steps, less the assay allowance described in §6.</w:t>
      </w:r>
    </w:p>
    <w:p>
      <w:pPr>
        <w:pStyle w:val="BodyText"/>
      </w:pPr>
      <w:r>
        <w:t xml:space="preserve">The criteria in</w:t>
      </w:r>
      <w:r>
        <w:t xml:space="preserve"> </w:t>
      </w:r>
      <w:hyperlink w:anchor="tbl-ipc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are the link between the step reports and the drug substance outcome.</w:t>
      </w:r>
      <w:r>
        <w:t xml:space="preserve"> </w:t>
      </w:r>
      <w:r>
        <w:t xml:space="preserve">Each one is set so that a step meeting its own criterion hands on material the rest of the train</w:t>
      </w:r>
      <w:r>
        <w:t xml:space="preserve"> </w:t>
      </w:r>
      <w:r>
        <w:t xml:space="preserve">can bring to specification. A step that misses its criterion is a deviation at that step and is</w:t>
      </w:r>
      <w:r>
        <w:t xml:space="preserve"> </w:t>
      </w:r>
      <w:r>
        <w:t xml:space="preserve">investigated there, and the consolidated outcome in §3 rests on that.</w:t>
      </w:r>
    </w:p>
    <w:bookmarkEnd w:id="71"/>
    <w:bookmarkStart w:id="73" w:name="release-testing-and-analytical-control"/>
    <w:p>
      <w:pPr>
        <w:pStyle w:val="Heading2"/>
      </w:pPr>
      <w:r>
        <w:t xml:space="preserve">7.4 Release testing and analytical control</w:t>
      </w:r>
    </w:p>
    <w:p>
      <w:pPr>
        <w:pStyle w:val="FirstParagraph"/>
      </w:pPr>
      <w:r>
        <w:t xml:space="preserve">The third element is release testing of the drug substance against the register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,</w:t>
      </w:r>
      <w:r>
        <w:t xml:space="preserve"> </w:t>
      </w:r>
      <w:r>
        <w:t xml:space="preserve">using the validated methods listed in</w:t>
      </w:r>
      <w:r>
        <w:t xml:space="preserve"> </w:t>
      </w:r>
      <w:hyperlink w:anchor="tbl-ctrl">
        <w:r>
          <w:rPr>
            <w:rStyle w:val="Hyperlink"/>
          </w:rPr>
          <w:t xml:space="preserve">Table 14</w:t>
        </w:r>
      </w:hyperlink>
      <w:r>
        <w:t xml:space="preserve">. Release testing is the only element that</w:t>
      </w:r>
      <w:r>
        <w:t xml:space="preserve"> </w:t>
      </w:r>
      <w:r>
        <w:t xml:space="preserve">measures the drug substance itself. It is also the last one, and a result outside a limit at</w:t>
      </w:r>
      <w:r>
        <w:t xml:space="preserve"> </w:t>
      </w:r>
      <w:r>
        <w:t xml:space="preserve">release is found after the batch has been made. Residual DNA is the clearest case. It carries no</w:t>
      </w:r>
      <w:r>
        <w:t xml:space="preserve"> </w:t>
      </w:r>
      <w:r>
        <w:t xml:space="preserve">fitted model at any step, and release testing and the clearance the platform steps deliver are</w:t>
      </w:r>
      <w:r>
        <w:t xml:space="preserve"> </w:t>
      </w:r>
      <w:r>
        <w:t xml:space="preserve">the whole of its assurance.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ctr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Procedures and validated analytical methods cited by the characterization studies. SOP and AMV numbers are placeholders for a synthetic corpus.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The register holds 19 procedures and 10 validated</w:t>
      </w:r>
      <w:r>
        <w:t xml:space="preserve"> </w:t>
      </w:r>
      <w:r>
        <w:t xml:space="preserve">methods. Two procedures apply to every step with a designed experiment, SOP-1001 for the</w:t>
      </w:r>
      <w:r>
        <w:t xml:space="preserve"> </w:t>
      </w:r>
      <w:r>
        <w:t xml:space="preserve">qualification of scale-down models and SOP-1002 for the design and analysis of those</w:t>
      </w:r>
      <w:r>
        <w:t xml:space="preserve"> </w:t>
      </w:r>
      <w:r>
        <w:t xml:space="preserve">experiments. SOP-4001 carries the classification logic used in §4. The step reports cite the</w:t>
      </w:r>
      <w:r>
        <w:t xml:space="preserve"> </w:t>
      </w:r>
      <w:r>
        <w:t xml:space="preserve">subset relevant to each step.</w:t>
      </w:r>
    </w:p>
    <w:bookmarkEnd w:id="73"/>
    <w:bookmarkStart w:id="75" w:name="equipment-and-life-cycle-controls"/>
    <w:p>
      <w:pPr>
        <w:pStyle w:val="Heading2"/>
      </w:pPr>
      <w:r>
        <w:t xml:space="preserve">7.5 Equipment and life-cycle controls</w:t>
      </w:r>
    </w:p>
    <w:p>
      <w:pPr>
        <w:pStyle w:val="FirstParagraph"/>
      </w:pPr>
      <w:r>
        <w:t xml:space="preserve">The fourth element is the equipment and life-cycle control that keeps the process inside the</w:t>
      </w:r>
      <w:r>
        <w:t xml:space="preserve"> </w:t>
      </w:r>
      <w:r>
        <w:t xml:space="preserve">ranges the studies established. 3 instrumented scale-down systems were</w:t>
      </w:r>
      <w:r>
        <w:t xml:space="preserve"> </w:t>
      </w:r>
      <w:r>
        <w:t xml:space="preserve">under calibration and change control during the campaign, and</w:t>
      </w:r>
      <w:r>
        <w:t xml:space="preserve"> </w:t>
      </w:r>
      <w:hyperlink w:anchor="tbl-equip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records the status of</w:t>
      </w:r>
      <w:r>
        <w:t xml:space="preserve"> </w:t>
      </w:r>
      <w:r>
        <w:t xml:space="preserve">each at the time the studies ran.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Instrumented scale-down systems under calibration and change control during the campaign.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3294"/>
              <w:gridCol w:w="2032"/>
              <w:gridCol w:w="16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 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Next calibration due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EQ-CHR-118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temperature-controlled chromatography chamber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 calibration at 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2026-05-30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EQ-BRX-205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scale-down bioreactor pCO2 probe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 calibration at 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2026-06-14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EQ-TFF-142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TFF skid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 calibration at 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2026-04-22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All 3 systems were inside their calibration interval when the studies</w:t>
      </w:r>
      <w:r>
        <w:t xml:space="preserve"> </w:t>
      </w:r>
      <w:r>
        <w:t xml:space="preserve">were executed, and all of them appear in the deviation register in §8. Beyond calibration, the</w:t>
      </w:r>
      <w:r>
        <w:t xml:space="preserve"> </w:t>
      </w:r>
      <w:r>
        <w:t xml:space="preserve">life-cycle element covers change control over the process and its controlled documents, resin</w:t>
      </w:r>
      <w:r>
        <w:t xml:space="preserve"> </w:t>
      </w:r>
      <w:r>
        <w:t xml:space="preserve">life-cycle limits under SOP-2008, post-use filter integrity testing under SOP-2012, and continued</w:t>
      </w:r>
      <w:r>
        <w:t xml:space="preserve"> </w:t>
      </w:r>
      <w:r>
        <w:t xml:space="preserve">process verification once commercial manufacture begins.</w:t>
      </w:r>
    </w:p>
    <w:bookmarkEnd w:id="75"/>
    <w:bookmarkStart w:id="76" w:name="input-material-controls"/>
    <w:p>
      <w:pPr>
        <w:pStyle w:val="Heading2"/>
      </w:pPr>
      <w:r>
        <w:t xml:space="preserve">7.6 Input material controls</w:t>
      </w:r>
    </w:p>
    <w:p>
      <w:pPr>
        <w:pStyle w:val="FirstParagraph"/>
      </w:pPr>
      <w:r>
        <w:t xml:space="preserve">The fifth element controls what enters the process. Cell culture media and feed are prepared</w:t>
      </w:r>
      <w:r>
        <w:t xml:space="preserve"> </w:t>
      </w:r>
      <w:r>
        <w:t xml:space="preserve">under SOP-2004 and buffers under SOP-2103, and both carry expiry control. The load material</w:t>
      </w:r>
      <w:r>
        <w:t xml:space="preserve"> </w:t>
      </w:r>
      <w:r>
        <w:t xml:space="preserve">deviation described in §8 raised the acidic charge variant content of the anion exchange load</w:t>
      </w:r>
      <w:r>
        <w:t xml:space="preserve"> </w:t>
      </w:r>
      <w:r>
        <w:t xml:space="preserve">from 21.0 % to</w:t>
      </w:r>
      <w:r>
        <w:t xml:space="preserve"> </w:t>
      </w:r>
      <w:r>
        <w:t xml:space="preserve">33.5 % and invalidated a designed study.</w:t>
      </w:r>
      <w:r>
        <w:t xml:space="preserve"> </w:t>
      </w:r>
      <w:r>
        <w:t xml:space="preserve">Control of the neutralized hold time between cation exchange and anion exchange is therefore part</w:t>
      </w:r>
      <w:r>
        <w:t xml:space="preserve"> </w:t>
      </w:r>
      <w:r>
        <w:t xml:space="preserve">of the control strategy for Step 8.</w:t>
      </w:r>
    </w:p>
    <w:bookmarkEnd w:id="76"/>
    <w:bookmarkStart w:id="77" w:name="what-the-control-strategy-does-not-cover"/>
    <w:p>
      <w:pPr>
        <w:pStyle w:val="Heading2"/>
      </w:pPr>
      <w:r>
        <w:t xml:space="preserve">7.7 What the control strategy does not cover</w:t>
      </w:r>
    </w:p>
    <w:p>
      <w:pPr>
        <w:pStyle w:val="FirstParagraph"/>
      </w:pPr>
      <w:r>
        <w:t xml:space="preserve">The control strategy defined here covers the drug substance process from the production</w:t>
      </w:r>
      <w:r>
        <w:t xml:space="preserve"> </w:t>
      </w:r>
      <w:r>
        <w:t xml:space="preserve">bioreactor to formulation. It does not cover drug product manufacture, container closure or</w:t>
      </w:r>
      <w:r>
        <w:t xml:space="preserve"> </w:t>
      </w:r>
      <w:r>
        <w:t xml:space="preserve">stability. It does not set commercial in-process alert or action limits, which are established</w:t>
      </w:r>
      <w:r>
        <w:t xml:space="preserve"> </w:t>
      </w:r>
      <w:r>
        <w:t xml:space="preserve">from commercial data during Stage 2. It does not cover raw material specifications beyond the</w:t>
      </w:r>
      <w:r>
        <w:t xml:space="preserve"> </w:t>
      </w:r>
      <w:r>
        <w:t xml:space="preserve">preparation and expiry controls named above. Movement within the design space of a step remains</w:t>
      </w:r>
      <w:r>
        <w:t xml:space="preserve"> </w:t>
      </w:r>
      <w:r>
        <w:t xml:space="preserve">subject to the change management system. ICH Q8 does not treat such movement as a regulatory</w:t>
      </w:r>
      <w:r>
        <w:t xml:space="preserve"> </w:t>
      </w:r>
      <w:r>
        <w:t xml:space="preserve">change, and ICH Q10 requires the quality system to assess it</w:t>
      </w:r>
      <w:r>
        <w:t xml:space="preserve"> </w:t>
      </w:r>
      <w:r>
        <w:t xml:space="preserve">(International Council for Harmonisation 2009, 2008)</w:t>
      </w:r>
      <w:r>
        <w:t xml:space="preserve">.</w:t>
      </w:r>
    </w:p>
    <w:p>
      <w:r>
        <w:br w:type="page"/>
      </w:r>
    </w:p>
    <w:bookmarkEnd w:id="77"/>
    <w:bookmarkEnd w:id="78"/>
    <w:bookmarkStart w:id="84" w:name="deviations-across-the-campaign"/>
    <w:p>
      <w:pPr>
        <w:pStyle w:val="Heading1"/>
      </w:pPr>
      <w:r>
        <w:t xml:space="preserve">8. Deviations across the campaign</w:t>
      </w:r>
    </w:p>
    <w:bookmarkStart w:id="80" w:name="the-register-1"/>
    <w:p>
      <w:pPr>
        <w:pStyle w:val="Heading2"/>
      </w:pPr>
      <w:r>
        <w:t xml:space="preserve">8.1 The register</w:t>
      </w:r>
    </w:p>
    <w:p>
      <w:pPr>
        <w:pStyle w:val="FirstParagraph"/>
      </w:pPr>
      <w:r>
        <w:t xml:space="preserve">17 deviations were recorded across the 8 executed</w:t>
      </w:r>
      <w:r>
        <w:t xml:space="preserve"> </w:t>
      </w:r>
      <w:r>
        <w:t xml:space="preserve">studies.</w:t>
      </w:r>
      <w:r>
        <w:t xml:space="preserve"> 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lists them with the report that investigated each one.</w:t>
      </w:r>
      <w:r>
        <w:t xml:space="preserve"> </w:t>
      </w:r>
      <w:r>
        <w:t xml:space="preserve">15 were retained, which means the affected data were kept and the</w:t>
      </w:r>
      <w:r>
        <w:t xml:space="preserve"> </w:t>
      </w:r>
      <w:r>
        <w:t xml:space="preserve">report carries a documented impact assessment for them. 1 invalidated</w:t>
      </w:r>
      <w:r>
        <w:t xml:space="preserve"> </w:t>
      </w:r>
      <w:r>
        <w:t xml:space="preserve">a study, and 1 was corrected by modelling and confirmed by</w:t>
      </w:r>
      <w:r>
        <w:t xml:space="preserve"> </w:t>
      </w:r>
      <w:r>
        <w:t xml:space="preserve">verification runs.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The campaign deviation register. The investigation and the impact assessment for each entry are in the report named in the first column.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63"/>
              <w:gridCol w:w="602"/>
              <w:gridCol w:w="4724"/>
              <w:gridCol w:w="21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Depth-filter lot pre-use flush turbidity above alert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Elution-buffer pH prepared below target on an RSM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result initially out-of-trend; re-assayed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Expired Tris load/wash buffer 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Column inlet temperature 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Non-representative (deamidated) load in the first DoE execution; designs 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invalidated and re 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Trailing-edge UV pool-collection set-point slightly 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corrected by modelling and verification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Equilibration/Wash-1 buffer released below its pH acceptance range on one screening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DEV-009-01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Transient filtration-pressure excursion above 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DEV-009-02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Filter membrane lot flux below vendor-typical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Transmembrane-pressure excursion above NOR during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below 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9"/>
          <w:p/>
        </w:tc>
      </w:tr>
    </w:tbl>
    <w:bookmarkEnd w:id="80"/>
    <w:bookmarkStart w:id="81" w:name="the-invalidated-study"/>
    <w:p>
      <w:pPr>
        <w:pStyle w:val="Heading2"/>
      </w:pPr>
      <w:r>
        <w:t xml:space="preserve">8.2 The invalidated study</w:t>
      </w:r>
    </w:p>
    <w:p>
      <w:pPr>
        <w:pStyle w:val="FirstParagraph"/>
      </w:pPr>
      <w:r>
        <w:t xml:space="preserve">The first anion exchange design was executed on a non-representative load. An extended</w:t>
      </w:r>
      <w:r>
        <w:t xml:space="preserve"> </w:t>
      </w:r>
      <w:r>
        <w:t xml:space="preserve">neutralized hold of the cation exchange eluate, of</w:t>
      </w:r>
      <w:r>
        <w:t xml:space="preserve"> </w:t>
      </w:r>
      <w:r>
        <w:t xml:space="preserve">36 hours, promoted asparagine deamidation and raised</w:t>
      </w:r>
      <w:r>
        <w:t xml:space="preserve"> </w:t>
      </w:r>
      <w:r>
        <w:t xml:space="preserve">the acidic charge variant content of the load material to</w:t>
      </w:r>
      <w:r>
        <w:t xml:space="preserve"> </w:t>
      </w:r>
      <w:r>
        <w:t xml:space="preserve">33.5 %, against</w:t>
      </w:r>
      <w:r>
        <w:t xml:space="preserve"> </w:t>
      </w:r>
      <w:r>
        <w:t xml:space="preserve">21.0 % in representative material. The</w:t>
      </w:r>
      <w:r>
        <w:t xml:space="preserve"> </w:t>
      </w:r>
      <w:r>
        <w:t xml:space="preserve">deviation was found when the load was verified by icIEF under AMV-3013, after the designs had</w:t>
      </w:r>
      <w:r>
        <w:t xml:space="preserve"> </w:t>
      </w:r>
      <w:r>
        <w:t xml:space="preserve">been run. Both the screening and the response surface designs were invalidated for the purpose</w:t>
      </w:r>
      <w:r>
        <w:t xml:space="preserve"> </w:t>
      </w:r>
      <w:r>
        <w:t xml:space="preserve">of defining an operating region.</w:t>
      </w:r>
    </w:p>
    <w:p>
      <w:pPr>
        <w:pStyle w:val="BodyText"/>
      </w:pPr>
      <w:r>
        <w:t xml:space="preserve">The studies were re-executed in full on a requalified, representative load, and PCR-008 reports</w:t>
      </w:r>
      <w:r>
        <w:t xml:space="preserve"> </w:t>
      </w:r>
      <w:r>
        <w:t xml:space="preserve">that execution alone. The first execution is retained as a dataset and is used only to confirm</w:t>
      </w:r>
      <w:r>
        <w:t xml:space="preserve"> </w:t>
      </w:r>
      <w:r>
        <w:t xml:space="preserve">the root cause. It showed an interaction between protein load and wash conductivity that carried</w:t>
      </w:r>
      <w:r>
        <w:t xml:space="preserve"> </w:t>
      </w:r>
      <w:r>
        <w:t xml:space="preserve">the flow-through pool above its in-process host cell protein limit at the corner where both were</w:t>
      </w:r>
      <w:r>
        <w:t xml:space="preserve"> </w:t>
      </w:r>
      <w:r>
        <w:t xml:space="preserve">high, and that interaction is absent from the requalified data. Nothing in the design space or</w:t>
      </w:r>
      <w:r>
        <w:t xml:space="preserve"> </w:t>
      </w:r>
      <w:r>
        <w:t xml:space="preserve">the classification of Step 8 rests on the first execution. The deviation cost a full re-execution</w:t>
      </w:r>
      <w:r>
        <w:t xml:space="preserve"> </w:t>
      </w:r>
      <w:r>
        <w:t xml:space="preserve">of 47 runs.</w:t>
      </w:r>
    </w:p>
    <w:bookmarkEnd w:id="81"/>
    <w:bookmarkStart w:id="82" w:name="the-corrected-deviation"/>
    <w:p>
      <w:pPr>
        <w:pStyle w:val="Heading2"/>
      </w:pPr>
      <w:r>
        <w:t xml:space="preserve">8.3 The corrected deviation</w:t>
      </w:r>
    </w:p>
    <w:p>
      <w:pPr>
        <w:pStyle w:val="FirstParagraph"/>
      </w:pPr>
      <w:r>
        <w:t xml:space="preserve">The trailing edge collection set-point on the anion exchange pool was slightly permissive in</w:t>
      </w:r>
      <w:r>
        <w:t xml:space="preserve"> </w:t>
      </w:r>
      <w:r>
        <w:t xml:space="preserve">both executions, at 180 mAU where</w:t>
      </w:r>
      <w:r>
        <w:t xml:space="preserve"> </w:t>
      </w:r>
      <w:r>
        <w:t xml:space="preserve">120 mAU was intended. The effect was</w:t>
      </w:r>
      <w:r>
        <w:t xml:space="preserve"> </w:t>
      </w:r>
      <w:r>
        <w:t xml:space="preserve">corrected in the model and then confirmed experimentally in</w:t>
      </w:r>
      <w:r>
        <w:t xml:space="preserve"> </w:t>
      </w:r>
      <w:r>
        <w:t xml:space="preserve">3 verification runs, whose confidence interval half width was</w:t>
      </w:r>
      <w:r>
        <w:t xml:space="preserve"> </w:t>
      </w:r>
      <w:r>
        <w:t xml:space="preserve">23.6 on the affected response. PCR-008 gives the correction and the</w:t>
      </w:r>
      <w:r>
        <w:t xml:space="preserve"> </w:t>
      </w:r>
      <w:r>
        <w:t xml:space="preserve">verification.</w:t>
      </w:r>
    </w:p>
    <w:bookmarkEnd w:id="82"/>
    <w:bookmarkStart w:id="83" w:name="the-retained-deviations"/>
    <w:p>
      <w:pPr>
        <w:pStyle w:val="Heading2"/>
      </w:pPr>
      <w:r>
        <w:t xml:space="preserve">8.4 The retained deviations</w:t>
      </w:r>
    </w:p>
    <w:p>
      <w:pPr>
        <w:pStyle w:val="FirstParagraph"/>
      </w:pPr>
      <w:r>
        <w:t xml:space="preserve">The remaining 15 entries were retained, and they fall into three</w:t>
      </w:r>
      <w:r>
        <w:t xml:space="preserve"> </w:t>
      </w:r>
      <w:r>
        <w:t xml:space="preserve">groups. Instrument and equipment deviations account for the entries against EQ-BRX-205,</w:t>
      </w:r>
      <w:r>
        <w:t xml:space="preserve"> </w:t>
      </w:r>
      <w:r>
        <w:t xml:space="preserve">EQ-CHR-118 and EQ-TFF-142, and each was bounded by the size of the offset against the range the</w:t>
      </w:r>
      <w:r>
        <w:t xml:space="preserve"> </w:t>
      </w:r>
      <w:r>
        <w:t xml:space="preserve">design covered. The dissolved carbon dioxide probe drift at Step 3 is representative. The offset</w:t>
      </w:r>
      <w:r>
        <w:t xml:space="preserve"> </w:t>
      </w:r>
      <w:r>
        <w:t xml:space="preserve">between the in-process probe and the offline reference was</w:t>
      </w:r>
      <w:r>
        <w:t xml:space="preserve"> </w:t>
      </w:r>
      <w:r>
        <w:t xml:space="preserve">6.5 mmHg, against a characterized range of</w:t>
      </w:r>
      <w:r>
        <w:t xml:space="preserve"> </w:t>
      </w:r>
      <w:r>
        <w:t xml:space="preserve">40 to 160 mmHg, so the affected run stayed</w:t>
      </w:r>
      <w:r>
        <w:t xml:space="preserve"> </w:t>
      </w:r>
      <w:r>
        <w:t xml:space="preserve">inside the region the design covers. Material and preparation deviations account for the buffer</w:t>
      </w:r>
      <w:r>
        <w:t xml:space="preserve"> </w:t>
      </w:r>
      <w:r>
        <w:t xml:space="preserve">and filter lot entries. The anion exchange equilibration buffer is representative of those. It</w:t>
      </w:r>
      <w:r>
        <w:t xml:space="preserve"> </w:t>
      </w:r>
      <w:r>
        <w:t xml:space="preserve">was released at pH 7.32 against a lower acceptance</w:t>
      </w:r>
      <w:r>
        <w:t xml:space="preserve"> </w:t>
      </w:r>
      <w:r>
        <w:t xml:space="preserve">limit of 7.4 and a target of</w:t>
      </w:r>
      <w:r>
        <w:t xml:space="preserve"> </w:t>
      </w:r>
      <w:r>
        <w:t xml:space="preserve">7.5. Assay deviations account for the remainder, and</w:t>
      </w:r>
      <w:r>
        <w:t xml:space="preserve"> </w:t>
      </w:r>
      <w:r>
        <w:t xml:space="preserve">each was resolved by re-assay under the qualified method.</w:t>
      </w:r>
    </w:p>
    <w:p>
      <w:pPr>
        <w:pStyle w:val="BodyText"/>
      </w:pPr>
      <w:r>
        <w:t xml:space="preserve">PCR-008 carries the most entries at 3. Its study</w:t>
      </w:r>
      <w:r>
        <w:t xml:space="preserve"> </w:t>
      </w:r>
      <w:r>
        <w:t xml:space="preserve">was executed twice. Every entry was dispositioned</w:t>
      </w:r>
      <w:r>
        <w:t xml:space="preserve"> </w:t>
      </w:r>
      <w:r>
        <w:t xml:space="preserve">within the report that recorded it, and</w:t>
      </w:r>
      <w:r>
        <w:t xml:space="preserve"> 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 that disposition. The impact assessment</w:t>
      </w:r>
      <w:r>
        <w:t xml:space="preserve"> </w:t>
      </w:r>
      <w:r>
        <w:t xml:space="preserve">behind each entry is in the same report, and this report does not repeat it.</w:t>
      </w:r>
    </w:p>
    <w:p>
      <w:r>
        <w:br w:type="page"/>
      </w:r>
    </w:p>
    <w:bookmarkEnd w:id="83"/>
    <w:bookmarkEnd w:id="84"/>
    <w:bookmarkStart w:id="88" w:name="conclusions-and-stage-2-readiness"/>
    <w:p>
      <w:pPr>
        <w:pStyle w:val="Heading1"/>
      </w:pPr>
      <w:r>
        <w:t xml:space="preserve">9. Conclusions and Stage 2 readiness</w:t>
      </w:r>
    </w:p>
    <w:bookmarkStart w:id="85" w:name="what-the-campaign-established"/>
    <w:p>
      <w:pPr>
        <w:pStyle w:val="Heading2"/>
      </w:pPr>
      <w:r>
        <w:t xml:space="preserve">9.1 What the campaign established</w:t>
      </w:r>
    </w:p>
    <w:p>
      <w:pPr>
        <w:pStyle w:val="FirstParagraph"/>
      </w:pPr>
      <w:r>
        <w:t xml:space="preserve">The A-Mab drug substance process has been characterized across</w:t>
      </w:r>
      <w:r>
        <w:t xml:space="preserve"> </w:t>
      </w:r>
      <w:r>
        <w:t xml:space="preserve">8 unit operations and 37 process parameters, on</w:t>
      </w:r>
      <w:r>
        <w:t xml:space="preserve"> </w:t>
      </w:r>
      <w:r>
        <w:t xml:space="preserve">qualified scale-down models, in 236 designed runs and the univariate</w:t>
      </w:r>
      <w:r>
        <w:t xml:space="preserve"> </w:t>
      </w:r>
      <w:r>
        <w:t xml:space="preserve">studies that accompany them. The campaign delivered four things.</w:t>
      </w:r>
    </w:p>
    <w:p>
      <w:pPr>
        <w:pStyle w:val="BodyText"/>
      </w:pPr>
      <w:r>
        <w:t xml:space="preserve">It delivered a classified parameter set. 21 are quality-linked</w:t>
      </w:r>
      <w:r>
        <w:t xml:space="preserve"> </w:t>
      </w:r>
      <w:r>
        <w:t xml:space="preserve">process parameters and are held within the design space of their step, and the remaining</w:t>
      </w:r>
      <w:r>
        <w:t xml:space="preserve"> </w:t>
      </w:r>
      <w:r>
        <w:t xml:space="preserve">16 are controlled for process consistency. The single critical</w:t>
      </w:r>
      <w:r>
        <w:t xml:space="preserve"> </w:t>
      </w:r>
      <w:r>
        <w:t xml:space="preserve">process parameter is the inactivation pH of Step 6, for the reason given in §4.</w:t>
      </w:r>
    </w:p>
    <w:p>
      <w:pPr>
        <w:pStyle w:val="BodyText"/>
      </w:pPr>
      <w:r>
        <w:t xml:space="preserve">It delivered a design space per step, bounded by the criteria in</w:t>
      </w:r>
      <w:r>
        <w:t xml:space="preserve"> </w:t>
      </w:r>
      <w:hyperlink w:anchor="tbl-ipc">
        <w:r>
          <w:rPr>
            <w:rStyle w:val="Hyperlink"/>
          </w:rPr>
          <w:t xml:space="preserve">Table 13</w:t>
        </w:r>
      </w:hyperlink>
      <w:r>
        <w:t xml:space="preserve">, together with the</w:t>
      </w:r>
      <w:r>
        <w:t xml:space="preserve"> </w:t>
      </w:r>
      <w:r>
        <w:t xml:space="preserve">proven acceptable ranges reported per attribute and per parameter in the step reports. §7 states</w:t>
      </w:r>
      <w:r>
        <w:t xml:space="preserve"> </w:t>
      </w:r>
      <w:r>
        <w:t xml:space="preserve">how much of each characterized region meets every criterion, and the normal operating ranges sit</w:t>
      </w:r>
      <w:r>
        <w:t xml:space="preserve"> </w:t>
      </w:r>
      <w:r>
        <w:t xml:space="preserve">inside those regions.</w:t>
      </w:r>
    </w:p>
    <w:p>
      <w:pPr>
        <w:pStyle w:val="BodyText"/>
      </w:pPr>
      <w:r>
        <w:t xml:space="preserve">It delivered a capability estimate. Every attribute in the register met its acceptance criterion</w:t>
      </w:r>
      <w:r>
        <w:t xml:space="preserve"> </w:t>
      </w:r>
      <w:r>
        <w:t xml:space="preserve">across 2,000 simulated commercial batches, with a lowest capability index of</w:t>
      </w:r>
      <w:r>
        <w:t xml:space="preserve"> </w:t>
      </w:r>
      <w:r>
        <w:t xml:space="preserve">1.51.</w:t>
      </w:r>
    </w:p>
    <w:p>
      <w:pPr>
        <w:pStyle w:val="BodyText"/>
      </w:pPr>
      <w:r>
        <w:t xml:space="preserve">It delivered a modular viral clearance claim of 18.87 log10 for XMuLV and</w:t>
      </w:r>
      <w:r>
        <w:t xml:space="preserve"> </w:t>
      </w:r>
      <w:r>
        <w:t xml:space="preserve">10.03 log10 for MVM, from 3 steps with</w:t>
      </w:r>
      <w:r>
        <w:t xml:space="preserve"> </w:t>
      </w:r>
      <w:r>
        <w:t xml:space="preserve">independent removal mechanisms,</w:t>
      </w:r>
      <w:r>
        <w:t xml:space="preserve"> </w:t>
      </w:r>
      <w:r>
        <w:t xml:space="preserve">against requirements of 16.7 and 8.6 log10.</w:t>
      </w:r>
    </w:p>
    <w:bookmarkEnd w:id="85"/>
    <w:bookmarkStart w:id="86" w:name="what-remains-for-stage-2"/>
    <w:p>
      <w:pPr>
        <w:pStyle w:val="Heading2"/>
      </w:pPr>
      <w:r>
        <w:t xml:space="preserve">9.2 What remains for Stage 2</w:t>
      </w:r>
    </w:p>
    <w:p>
      <w:pPr>
        <w:pStyle w:val="FirstParagraph"/>
      </w:pPr>
      <w:r>
        <w:t xml:space="preserve">Stage 2 has not been executed. Process performance qualification must demonstrate at commercial</w:t>
      </w:r>
      <w:r>
        <w:t xml:space="preserve"> </w:t>
      </w:r>
      <w:r>
        <w:t xml:space="preserve">scale what this report predicts from scale-down data. Three things in particular are not yet</w:t>
      </w:r>
      <w:r>
        <w:t xml:space="preserve"> </w:t>
      </w:r>
      <w:r>
        <w:t xml:space="preserve">demonstrated.</w:t>
      </w:r>
    </w:p>
    <w:p>
      <w:pPr>
        <w:pStyle w:val="BodyText"/>
      </w:pPr>
      <w:r>
        <w:t xml:space="preserve">Commercial scale performance has not been measured. The capability figures in §5 are model based</w:t>
      </w:r>
      <w:r>
        <w:t xml:space="preserve"> </w:t>
      </w:r>
      <w:r>
        <w:t xml:space="preserve">predictions from simulated batches, and the qualification batches will be the first commercial</w:t>
      </w:r>
      <w:r>
        <w:t xml:space="preserve"> </w:t>
      </w:r>
      <w:r>
        <w:t xml:space="preserve">measurement of the drug substance distribution.</w:t>
      </w:r>
    </w:p>
    <w:p>
      <w:pPr>
        <w:pStyle w:val="BodyText"/>
      </w:pPr>
      <w:r>
        <w:t xml:space="preserve">The scale-down models have been qualified but not confirmed against commercial material for this</w:t>
      </w:r>
      <w:r>
        <w:t xml:space="preserve"> </w:t>
      </w:r>
      <w:r>
        <w:t xml:space="preserve">process. Each model was qualified before its study under SOP-1001, and the qualification rests on</w:t>
      </w:r>
      <w:r>
        <w:t xml:space="preserve"> </w:t>
      </w:r>
      <w:r>
        <w:t xml:space="preserve">comparison against development and pilot data. Commercial batches are what close that comparison.</w:t>
      </w:r>
    </w:p>
    <w:p>
      <w:pPr>
        <w:pStyle w:val="BodyText"/>
      </w:pPr>
      <w:r>
        <w:t xml:space="preserve">The edges of the characterized regions have not been run at commercial scale. Every design space</w:t>
      </w:r>
      <w:r>
        <w:t xml:space="preserve"> </w:t>
      </w:r>
      <w:r>
        <w:t xml:space="preserve">in this package is defined from scale-down data, and no commercial batch has been run at the edge</w:t>
      </w:r>
      <w:r>
        <w:t xml:space="preserve"> </w:t>
      </w:r>
      <w:r>
        <w:t xml:space="preserve">of one</w:t>
      </w:r>
      <w:r>
        <w:t xml:space="preserve"> </w:t>
      </w:r>
      <w:r>
        <w:t xml:space="preserve">(CMC Biotech Working Group 2009)</w:t>
      </w:r>
      <w:r>
        <w:t xml:space="preserve">. Movement within a design space remains subject to the change 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86"/>
    <w:bookmarkStart w:id="87" w:name="the-bound-on-the-claims-in-this-report"/>
    <w:p>
      <w:pPr>
        <w:pStyle w:val="Heading2"/>
      </w:pPr>
      <w:r>
        <w:t xml:space="preserve">9.3 The bound on the claims in this report</w:t>
      </w:r>
    </w:p>
    <w:p>
      <w:pPr>
        <w:pStyle w:val="FirstParagraph"/>
      </w:pPr>
      <w:r>
        <w:t xml:space="preserve">Every claim in this report summarizes a claim made in a step report, and it carries the same</w:t>
      </w:r>
      <w:r>
        <w:t xml:space="preserve"> </w:t>
      </w:r>
      <w:r>
        <w:t xml:space="preserve">bounds. The effects are measured over the characterized ranges and not beyond them. The models</w:t>
      </w:r>
      <w:r>
        <w:t xml:space="preserve"> </w:t>
      </w:r>
      <w:r>
        <w:t xml:space="preserve">predict mean levels and not individual batches. The viral clearance figures are from spiked</w:t>
      </w:r>
      <w:r>
        <w:t xml:space="preserve"> </w:t>
      </w:r>
      <w:r>
        <w:t xml:space="preserve">scale-down runs. Residual DNA carries no fitted model at any step. Where this report states a</w:t>
      </w:r>
      <w:r>
        <w:t xml:space="preserve"> </w:t>
      </w:r>
      <w:r>
        <w:t xml:space="preserve">margin, that margin is the distance between a prediction and a limit, and Stage 2 is what turns</w:t>
      </w:r>
      <w:r>
        <w:t xml:space="preserve"> </w:t>
      </w:r>
      <w:r>
        <w:t xml:space="preserve">the prediction into a measurement.</w:t>
      </w:r>
    </w:p>
    <w:p>
      <w:pPr>
        <w:pStyle w:val="BodyText"/>
      </w:pPr>
      <w:r>
        <w:t xml:space="preserve">The process as characterized is ready for Stage 2. The parameters that matter are identified and</w:t>
      </w:r>
      <w:r>
        <w:t xml:space="preserve"> </w:t>
      </w:r>
      <w:r>
        <w:t xml:space="preserve">classified, the ranges that hold them are defined and bounded, the criteria that link the steps</w:t>
      </w:r>
      <w:r>
        <w:t xml:space="preserve"> </w:t>
      </w:r>
      <w:r>
        <w:t xml:space="preserve">to the drug substance are set, and the deviations recorded during the campaign are dispositioned</w:t>
      </w:r>
      <w:r>
        <w:t xml:space="preserve"> </w:t>
      </w:r>
      <w:r>
        <w:t xml:space="preserve">and do not affect the conclusions above.</w:t>
      </w:r>
    </w:p>
    <w:bookmarkEnd w:id="87"/>
    <w:bookmarkEnd w:id="88"/>
    <w:bookmarkStart w:id="97" w:name="references"/>
    <w:p>
      <w:pPr>
        <w:pStyle w:val="Heading1"/>
      </w:pPr>
      <w:r>
        <w:t xml:space="preserve">References</w:t>
      </w:r>
    </w:p>
    <w:bookmarkStart w:id="96" w:name="refs"/>
    <w:bookmarkStart w:id="8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89"/>
    <w:bookmarkStart w:id="9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0"/>
    <w:bookmarkStart w:id="9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1"/>
    <w:bookmarkStart w:id="92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2"/>
    <w:bookmarkStart w:id="93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93"/>
    <w:bookmarkStart w:id="94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94"/>
    <w:bookmarkStart w:id="9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42" Target="media/rId42.png" /><Relationship Type="http://schemas.openxmlformats.org/officeDocument/2006/relationships/image" Id="rId20" Target="media/rId20.png" /><Relationship Type="http://schemas.openxmlformats.org/officeDocument/2006/relationships/image" Id="rId61" Target="media/rId6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Report</dc:title>
  <dc:creator>Process Development / Manufacturing Science &amp; Technology (MSAT)</dc:creator>
  <cp:keywords/>
  <dcterms:created xsi:type="dcterms:W3CDTF">2026-08-21T14:10:46Z</dcterms:created>
  <dcterms:modified xsi:type="dcterms:W3CDTF">2026-08-21T14:10:46Z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PCMR-001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