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50.png" ContentType="image/png"/>
  <Override PartName="/word/media/rId58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Low-pH Viral Inactivation (Step 6) — PCR-006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Low-pH Viral Inactivation (Step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/ Viral Safety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ANOVA, analysis of variance · BLA, Biologics License Application · CCD,</w:t>
      </w:r>
      <w:r>
        <w:t xml:space="preserve"> </w:t>
      </w:r>
      <w:r>
        <w:t xml:space="preserve">central-composite design · CPP, critical process parameter · CQA, critical quality</w:t>
      </w:r>
      <w:r>
        <w:t xml:space="preserve"> </w:t>
      </w:r>
      <w:r>
        <w:t xml:space="preserve">attribute · DoE, design of experiments · DS, drug substance · GPP, general process</w:t>
      </w:r>
      <w:r>
        <w:t xml:space="preserve"> </w:t>
      </w:r>
      <w:r>
        <w:t xml:space="preserve">parameter · HMW, high-molecular-weight (aggregate) · ICH, International Council for</w:t>
      </w:r>
      <w:r>
        <w:t xml:space="preserve"> </w:t>
      </w:r>
      <w:r>
        <w:t xml:space="preserve">Harmonisation · icIEF, imaged capillary isoelectric focusing · IPC, in-process</w:t>
      </w:r>
      <w:r>
        <w:t xml:space="preserve"> </w:t>
      </w:r>
      <w:r>
        <w:t xml:space="preserve">control · LRF, log-reduction factor · LRV, log-reduction value · MSAT, Manufacturing</w:t>
      </w:r>
      <w:r>
        <w:t xml:space="preserve"> </w:t>
      </w:r>
      <w:r>
        <w:t xml:space="preserve">Science and Technology · MVM, minute virus of mice · NOR, normal operating range ·</w:t>
      </w:r>
      <w:r>
        <w:t xml:space="preserve"> </w:t>
      </w:r>
      <w:r>
        <w:t xml:space="preserve">PAR, proven acceptable range · PPQ, process performance qualification · QbD, Quality</w:t>
      </w:r>
      <w:r>
        <w:t xml:space="preserve"> </w:t>
      </w:r>
      <w:r>
        <w:t xml:space="preserve">by Design · RSM, response-surface methodology · SDM, scale-down model · SEC,</w:t>
      </w:r>
      <w:r>
        <w:t xml:space="preserve"> </w:t>
      </w:r>
      <w:r>
        <w:t xml:space="preserve">size-exclusion chromatography · TCID50, 50% tissue-culture infectious dose · WC-CPP,</w:t>
      </w:r>
      <w:r>
        <w:t xml:space="preserve"> </w:t>
      </w:r>
      <w:r>
        <w:t xml:space="preserve">well-controlled CPP · XMuLV, xenotropic murine leukemia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documents the Stage 1 (Process Design) characterization of the A-Mab</w:t>
      </w:r>
      <w:r>
        <w:t xml:space="preserve"> </w:t>
      </w:r>
      <w:r>
        <w:t xml:space="preserve">low-pH viral inactivation step (Step 6), the dedicated viral-clearance operation in</w:t>
      </w:r>
      <w:r>
        <w:t xml:space="preserve"> </w:t>
      </w:r>
      <w:r>
        <w:t xml:space="preserve">which the Protein A eluate is held at low pH to inactivate enveloped viruses. The</w:t>
      </w:r>
      <w:r>
        <w:t xml:space="preserve"> </w:t>
      </w:r>
      <w:r>
        <w:t xml:space="preserve">study was executed under the Process Characterization Plan</w:t>
      </w:r>
      <w:r>
        <w:t xml:space="preserve"> </w:t>
      </w:r>
      <w:r>
        <w:rPr>
          <w:b/>
          <w:bCs/>
        </w:rPr>
        <w:t xml:space="preserve">PCP-006</w:t>
      </w:r>
      <w:r>
        <w:t xml:space="preserve"> </w:t>
      </w:r>
      <w:r>
        <w:t xml:space="preserve">on a qualified</w:t>
      </w:r>
      <w:r>
        <w:t xml:space="preserve"> </w:t>
      </w:r>
      <w:r>
        <w:t xml:space="preserve">scale-down inactivation model, following the lifecycle approach to process validation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, the Quality-by-Design principles of ICH Q8, Q9 and</w:t>
      </w:r>
      <w:r>
        <w:t xml:space="preserve"> </w:t>
      </w:r>
      <w:r>
        <w:t xml:space="preserve">Q11</w:t>
      </w:r>
      <w:r>
        <w:t xml:space="preserve"> </w:t>
      </w:r>
      <w:r>
        <w:t xml:space="preserve">(International Council for Harmonisation 2009, 2023b, 2012)</w:t>
      </w:r>
      <w:r>
        <w:t xml:space="preserve">, and the viral-safety framework of ICH Q5A</w:t>
      </w:r>
      <w:r>
        <w:t xml:space="preserve"> </w:t>
      </w:r>
      <w:r>
        <w:t xml:space="preserve">(International Council for Harmonisation 2023a)</w:t>
      </w:r>
      <w:r>
        <w:t xml:space="preserve">, with the process model and risk methodology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Four process parameters were evaluated. A 11-run two-level full</w:t>
      </w:r>
      <w:r>
        <w:t xml:space="preserve"> </w:t>
      </w:r>
      <w:r>
        <w:t xml:space="preserve">factorial screening design identified the significant factors and interactions for</w:t>
      </w:r>
      <w:r>
        <w:t xml:space="preserve"> </w:t>
      </w:r>
      <w:r>
        <w:t xml:space="preserve">the XMuLV log-reduction, the aggregate and the acidic charge variants; a</w:t>
      </w:r>
      <w:r>
        <w:t xml:space="preserve"> </w:t>
      </w:r>
      <w:r>
        <w:t xml:space="preserve">18-run face-centred central-composite response-surface design then</w:t>
      </w:r>
      <w:r>
        <w:t xml:space="preserve"> </w:t>
      </w:r>
      <w:r>
        <w:t xml:space="preserve">quantified main effects, interactions and curvature and defined the multivariate</w:t>
      </w:r>
      <w:r>
        <w:t xml:space="preserve"> </w:t>
      </w:r>
      <w:r>
        <w:t xml:space="preserve">design space in inactivation pH and hold time.</w:t>
      </w:r>
    </w:p>
    <w:p>
      <w:pPr>
        <w:pStyle w:val="BodyText"/>
      </w:pPr>
      <w:r>
        <w:rPr>
          <w:b/>
          <w:bCs/>
        </w:rPr>
        <w:t xml:space="preserve">Key outcomes</w:t>
      </w:r>
    </w:p>
    <w:p>
      <w:pPr>
        <w:pStyle w:val="Compact"/>
        <w:numPr>
          <w:ilvl w:val="0"/>
          <w:numId w:val="1001"/>
        </w:numPr>
      </w:pPr>
      <w:r>
        <w:t xml:space="preserve">Inactivation pH is the dominant factor for enveloped-virus inactivation and is</w:t>
      </w:r>
      <w:r>
        <w:t xml:space="preserve"> </w:t>
      </w:r>
      <w:r>
        <w:t xml:space="preserve">classified</w:t>
      </w:r>
      <w:r>
        <w:t xml:space="preserve"> </w:t>
      </w:r>
      <w:r>
        <w:rPr>
          <w:b/>
          <w:bCs/>
        </w:rPr>
        <w:t xml:space="preserve">CPP</w:t>
      </w:r>
      <w:r>
        <w:t xml:space="preserve"> </w:t>
      </w:r>
      <w:r>
        <w:t xml:space="preserve">— the only true critical process parameter in the drug-substance</w:t>
      </w:r>
      <w:r>
        <w:t xml:space="preserve"> </w:t>
      </w:r>
      <w:r>
        <w:t xml:space="preserve">process. Hold time and temperature significantly affect both the inactivation and</w:t>
      </w:r>
      <w:r>
        <w:t xml:space="preserve"> </w:t>
      </w:r>
      <w:r>
        <w:t xml:space="preserve">the aggregate and are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; A-Mab concentration is</w:t>
      </w:r>
      <w:r>
        <w:t xml:space="preserve"> </w:t>
      </w:r>
      <w:r>
        <w:rPr>
          <w:b/>
          <w:bCs/>
        </w:rPr>
        <w:t xml:space="preserve">GPP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At the nominal condition the step delivers an XMuLV log-reduction of approximately</w:t>
      </w:r>
      <w:r>
        <w:t xml:space="preserve"> </w:t>
      </w:r>
      <w:r>
        <w:rPr>
          <w:b/>
          <w:bCs/>
        </w:rPr>
        <w:t xml:space="preserve">6.7 log₁₀</w:t>
      </w:r>
      <w:r>
        <w:t xml:space="preserve"> </w:t>
      </w:r>
      <w:r>
        <w:t xml:space="preserve">and holds aggregate at</w:t>
      </w:r>
      <w:r>
        <w:t xml:space="preserve"> </w:t>
      </w:r>
      <w:r>
        <w:rPr>
          <w:b/>
          <w:bCs/>
        </w:rPr>
        <w:t xml:space="preserve">2.0%</w:t>
      </w:r>
      <w:r>
        <w:t xml:space="preserve">, well below</w:t>
      </w:r>
      <w:r>
        <w:t xml:space="preserve"> </w:t>
      </w:r>
      <w:r>
        <w:t xml:space="preserve">the 5% drug-substance limit. Because low-pH inactivation is effective</w:t>
      </w:r>
      <w:r>
        <w:t xml:space="preserve"> </w:t>
      </w:r>
      <w:r>
        <w:t xml:space="preserve">only against enveloped viruses, the step provides</w:t>
      </w:r>
      <w:r>
        <w:t xml:space="preserve"> </w:t>
      </w:r>
      <w:r>
        <w:rPr>
          <w:b/>
          <w:bCs/>
        </w:rPr>
        <w:t xml:space="preserve">no clearance of the</w:t>
      </w:r>
      <w:r>
        <w:rPr>
          <w:b/>
          <w:bCs/>
        </w:rPr>
        <w:t xml:space="preserve"> </w:t>
      </w:r>
      <w:r>
        <w:rPr>
          <w:b/>
          <w:bCs/>
        </w:rPr>
        <w:t xml:space="preserve">non-enveloped model virus MVM</w:t>
      </w:r>
      <w:r>
        <w:t xml:space="preserve"> </w:t>
      </w:r>
      <w:r>
        <w:t xml:space="preserve">(0 log₁₀), which is cleared orthogonally by</w:t>
      </w:r>
      <w:r>
        <w:t xml:space="preserve"> </w:t>
      </w:r>
      <w:r>
        <w:t xml:space="preserve">anion exchange and virus filtration.</w:t>
      </w:r>
    </w:p>
    <w:p>
      <w:pPr>
        <w:pStyle w:val="Compact"/>
        <w:numPr>
          <w:ilvl w:val="0"/>
          <w:numId w:val="1001"/>
        </w:numPr>
      </w:pPr>
      <w:r>
        <w:t xml:space="preserve">The aggregate response-surface model is excellent (R² = 0.997); the XMuLV</w:t>
      </w:r>
      <w:r>
        <w:t xml:space="preserve"> </w:t>
      </w:r>
      <w:r>
        <w:t xml:space="preserve">log-reduction model is adequate (R² = 0.90) with no significant lack of</w:t>
      </w:r>
      <w:r>
        <w:t xml:space="preserve"> </w:t>
      </w:r>
      <w:r>
        <w:t xml:space="preserve">fit, the residual scatter reflecting the inherent variability of the viral-infectivity</w:t>
      </w:r>
      <w:r>
        <w:t xml:space="preserve"> </w:t>
      </w:r>
      <w:r>
        <w:t xml:space="preserve">assay. The viral-clearance claim is taken conservatively rather than from the model.</w:t>
      </w:r>
    </w:p>
    <w:p>
      <w:pPr>
        <w:pStyle w:val="Compact"/>
        <w:numPr>
          <w:ilvl w:val="0"/>
          <w:numId w:val="1001"/>
        </w:numPr>
      </w:pPr>
      <w:r>
        <w:t xml:space="preserve">A design space in inactivation pH and hold time was established over which the XMuLV</w:t>
      </w:r>
      <w:r>
        <w:t xml:space="preserve"> </w:t>
      </w:r>
      <w:r>
        <w:t xml:space="preserve">log-reduction is assured and aggregate remains within its limit. Across the</w:t>
      </w:r>
      <w:r>
        <w:t xml:space="preserve"> </w:t>
      </w:r>
      <w:r>
        <w:t xml:space="preserve">drug-substance process the cumulative XMuLV clearance is</w:t>
      </w:r>
      <w:r>
        <w:t xml:space="preserve"> </w:t>
      </w:r>
      <w:r>
        <w:rPr>
          <w:b/>
          <w:bCs/>
        </w:rPr>
        <w:t xml:space="preserve">18.9 log₁₀</w:t>
      </w:r>
      <w:r>
        <w:t xml:space="preserve"> </w:t>
      </w:r>
      <w:r>
        <w:t xml:space="preserve">against the ≥ 16.7 log₁₀ requirement, with a commercial-scale capability of</w:t>
      </w:r>
      <w:r>
        <w:t xml:space="preserve"> </w:t>
      </w:r>
      <w:r>
        <w:rPr>
          <w:b/>
          <w:bCs/>
        </w:rPr>
        <w:t xml:space="preserve">Cpk = 1.53</w:t>
      </w:r>
      <w:r>
        <w:t xml:space="preserve"> </w:t>
      </w:r>
      <w:r>
        <w:t xml:space="preserve">— the process-minimum capability, reflecting the</w:t>
      </w:r>
      <w:r>
        <w:t xml:space="preserve"> </w:t>
      </w:r>
      <w:r>
        <w:t xml:space="preserve">conservative viral-safety margin.</w:t>
      </w:r>
    </w:p>
    <w:p>
      <w:pPr>
        <w:pStyle w:val="FirstParagraph"/>
      </w:pPr>
      <w:r>
        <w:t xml:space="preserve">The low-pH viral inactivation step is demonstrated to be well understood and robust.</w:t>
      </w:r>
      <w:r>
        <w:t xml:space="preserve"> </w:t>
      </w:r>
      <w:r>
        <w:t xml:space="preserve">The design space, parameter classifications and proven acceptable ranges support the</w:t>
      </w:r>
      <w:r>
        <w:t xml:space="preserve"> </w:t>
      </w:r>
      <w:r>
        <w:t xml:space="preserve">Stage 2 operating ranges and the viral-safety control strategy, and this report rolls</w:t>
      </w:r>
      <w:r>
        <w:t xml:space="preserve"> </w:t>
      </w:r>
      <w:r>
        <w:t xml:space="preserve">up into the Process Characterization Master Report (</w:t>
      </w:r>
      <w:r>
        <w:rPr>
          <w:b/>
          <w:bCs/>
        </w:rPr>
        <w:t xml:space="preserve">PCMR-001</w:t>
      </w:r>
      <w:r>
        <w:t xml:space="preserve">).</w:t>
      </w:r>
    </w:p>
    <w:bookmarkEnd w:id="12"/>
    <w:bookmarkStart w:id="16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viral safety is assured by a combination of testing and by the demonstrated</w:t>
      </w:r>
      <w:r>
        <w:t xml:space="preserve"> </w:t>
      </w:r>
      <w:r>
        <w:t xml:space="preserve">capacity of the purification process to clear adventitious and endogenous viruses</w:t>
      </w:r>
      <w:r>
        <w:t xml:space="preserve"> </w:t>
      </w:r>
      <w:r>
        <w:t xml:space="preserve">(International Council for Harmonisation 2023a; CMC Biotech Working Group 2009)</w:t>
      </w:r>
      <w:r>
        <w:t xml:space="preserve">. Low-pH viral inactivation is the dedicated inactivation step:</w:t>
      </w:r>
      <w:r>
        <w:t xml:space="preserve"> </w:t>
      </w:r>
      <w:r>
        <w:t xml:space="preserve">the Protein A eluate, already at low pH from the acidic elution, is titrated to the</w:t>
      </w:r>
      <w:r>
        <w:t xml:space="preserve"> </w:t>
      </w:r>
      <w:r>
        <w:t xml:space="preserve">target inactivation pH, held for a defined time at controlled temperature, and then</w:t>
      </w:r>
      <w:r>
        <w:t xml:space="preserve"> </w:t>
      </w:r>
      <w:r>
        <w:t xml:space="preserve">neutralized before the next step. Low pH disrupts the lipid envelope of enveloped</w:t>
      </w:r>
      <w:r>
        <w:t xml:space="preserve"> </w:t>
      </w:r>
      <w:r>
        <w:t xml:space="preserve">viruses and is a robust, well-characterized clearance mechanism for the endogenous</w:t>
      </w:r>
      <w:r>
        <w:t xml:space="preserve"> </w:t>
      </w:r>
      <w:r>
        <w:t xml:space="preserve">retrovirus-like particles modelled by xenotropic murine leukemia virus (XMuLV); it is</w:t>
      </w:r>
      <w:r>
        <w:t xml:space="preserve"> </w:t>
      </w:r>
      <w:r>
        <w:t xml:space="preserve">ineffective against non-enveloped viruses such as the parvovirus model MVM, whose</w:t>
      </w:r>
      <w:r>
        <w:t xml:space="preserve"> </w:t>
      </w:r>
      <w:r>
        <w:t xml:space="preserve">clearance is provided orthogonally by anion exchange and small-virus filtration. This</w:t>
      </w:r>
      <w:r>
        <w:t xml:space="preserve"> </w:t>
      </w:r>
      <w:r>
        <w:t xml:space="preserve">characterization quantifies how the inactivation parameters govern the XMuLV</w:t>
      </w:r>
      <w:r>
        <w:t xml:space="preserve"> </w:t>
      </w:r>
      <w:r>
        <w:t xml:space="preserve">log-reduction and the associated product-quality risk of aggregate formation during</w:t>
      </w:r>
      <w:r>
        <w:t xml:space="preserve"> </w:t>
      </w:r>
      <w:r>
        <w:t xml:space="preserve">the low-pH hold.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study were to (i) establish the quantitative relationships</w:t>
      </w:r>
      <w:r>
        <w:t xml:space="preserve"> </w:t>
      </w:r>
      <w:r>
        <w:t xml:space="preserve">between the inactivation parameters and the XMuLV log-reduction, the aggregate and the</w:t>
      </w:r>
      <w:r>
        <w:t xml:space="preserve"> </w:t>
      </w:r>
      <w:r>
        <w:t xml:space="preserve">acidic charge variants; (ii) define the multivariate design space over which the</w:t>
      </w:r>
      <w:r>
        <w:t xml:space="preserve"> </w:t>
      </w:r>
      <w:r>
        <w:t xml:space="preserve">enveloped-virus inactivation is assured while aggregate remains within its limit;</w:t>
      </w:r>
      <w:r>
        <w:t xml:space="preserve"> </w:t>
      </w:r>
      <w:r>
        <w:t xml:space="preserve">(iii) establish proven acceptable ranges (PARs) and normal operating ranges (NORs) for</w:t>
      </w:r>
      <w:r>
        <w:t xml:space="preserve"> </w:t>
      </w:r>
      <w:r>
        <w:t xml:space="preserve">each parameter; (iv) classify each parameter for its risk of impact to CQAs and to</w:t>
      </w:r>
      <w:r>
        <w:t xml:space="preserve"> </w:t>
      </w:r>
      <w:r>
        <w:t xml:space="preserve">process performance; and (v) provide the process understanding and ranges that justify</w:t>
      </w:r>
      <w:r>
        <w:t xml:space="preserve"> </w:t>
      </w:r>
      <w:r>
        <w:t xml:space="preserve">the Stage 2 operating conditions and the viral-safety control strategy.</w:t>
      </w:r>
    </w:p>
    <w:bookmarkEnd w:id="14"/>
    <w:bookmarkStart w:id="15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work follows the lifecycle approach to process validation of the FDA 2011 guidance</w:t>
      </w:r>
      <w:r>
        <w:t xml:space="preserve"> </w:t>
      </w:r>
      <w:r>
        <w:t xml:space="preserve">(U.S. Food and Drug Administration 2011)</w:t>
      </w:r>
      <w:r>
        <w:t xml:space="preserve">, PDA Technical Report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 Guide</w:t>
      </w:r>
      <w:r>
        <w:t xml:space="preserve"> </w:t>
      </w:r>
      <w:r>
        <w:t xml:space="preserve">(International Society for Pharmaceutical Engineering 2023)</w:t>
      </w:r>
      <w:r>
        <w:t xml:space="preserve">, applies the enhanced (QbD) development approach of ICH Q8, Q9 and Q11</w:t>
      </w:r>
      <w:r>
        <w:t xml:space="preserve"> </w:t>
      </w:r>
      <w:r>
        <w:t xml:space="preserve">(International Council for Harmonisation 2009, 2023b, 2012)</w:t>
      </w:r>
      <w:r>
        <w:t xml:space="preserve">, and addresses viral clearance under ICH Q5A</w:t>
      </w:r>
      <w:r>
        <w:t xml:space="preserve"> </w:t>
      </w:r>
      <w:r>
        <w:t xml:space="preserve">(International Council for Harmonisation 2023a)</w:t>
      </w:r>
      <w:r>
        <w:t xml:space="preserve">.</w:t>
      </w:r>
      <w:r>
        <w:t xml:space="preserve"> </w:t>
      </w:r>
      <w:r>
        <w:t xml:space="preserve">Criticality is treated as a continuum (ICH Q9). The report structure corresponds to</w:t>
      </w:r>
      <w:r>
        <w:t xml:space="preserve"> </w:t>
      </w:r>
      <w:r>
        <w:t xml:space="preserve">the Stage 1 Process Design Report of PDA TR 60 §3.11 and provides development-report</w:t>
      </w:r>
      <w:r>
        <w:t xml:space="preserve"> </w:t>
      </w:r>
      <w:r>
        <w:t xml:space="preserve">content suitable to support a Biologics License Application.</w:t>
      </w:r>
    </w:p>
    <w:bookmarkEnd w:id="15"/>
    <w:bookmarkEnd w:id="16"/>
    <w:bookmarkStart w:id="21" w:name="prior-knowledge-and-quality-risk-basis"/>
    <w:p>
      <w:pPr>
        <w:pStyle w:val="Heading1"/>
      </w:pPr>
      <w:r>
        <w:t xml:space="preserve">2. Prior knowledge and quality risk basis</w:t>
      </w:r>
    </w:p>
    <w:bookmarkStart w:id="17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Low-pH inactivation is a platform viral-clearance operation whose behaviour is well</w:t>
      </w:r>
      <w:r>
        <w:t xml:space="preserve"> </w:t>
      </w:r>
      <w:r>
        <w:t xml:space="preserve">established from related humanized IgG1 antibodies and A-Mab experience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r>
        <w:t xml:space="preserve">Prior knowledge established that enveloped-virus inactivation increases as the pH is</w:t>
      </w:r>
      <w:r>
        <w:t xml:space="preserve"> </w:t>
      </w:r>
      <w:r>
        <w:t xml:space="preserve">lowered and as the hold time and temperature increase; that the acceptable pH window is</w:t>
      </w:r>
      <w:r>
        <w:t xml:space="preserve"> </w:t>
      </w:r>
      <w:r>
        <w:t xml:space="preserve">narrow and high-consequence — above approximately 4.0 the inactivation is incomplete,</w:t>
      </w:r>
      <w:r>
        <w:t xml:space="preserve"> </w:t>
      </w:r>
      <w:r>
        <w:t xml:space="preserve">while below approximately 3.2 the product is at risk of acid-induced aggregation; and</w:t>
      </w:r>
      <w:r>
        <w:t xml:space="preserve"> </w:t>
      </w:r>
      <w:r>
        <w:t xml:space="preserve">that aggregate can also form during a prolonged or warm hold. This knowledge framed the</w:t>
      </w:r>
      <w:r>
        <w:t xml:space="preserve"> </w:t>
      </w:r>
      <w:r>
        <w:t xml:space="preserve">attributes in scope and the prioritization of parameters for characterization.</w:t>
      </w:r>
    </w:p>
    <w:bookmarkEnd w:id="17"/>
    <w:bookmarkStart w:id="19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step sets the (cumulative) enveloped-virus clearance CQA (</w:t>
      </w:r>
      <w:hyperlink w:anchor="tbl-cqa">
        <w:r>
          <w:rPr>
            <w:rStyle w:val="Hyperlink"/>
          </w:rPr>
          <w:t xml:space="preserve">Table 2</w:t>
        </w:r>
      </w:hyperlink>
      <w:r>
        <w:t xml:space="preserve">) and carries a</w:t>
      </w:r>
      <w:r>
        <w:t xml:space="preserve"> </w:t>
      </w:r>
      <w:r>
        <w:t xml:space="preserve">product-quality risk of aggregate formation during the low-pH hold; the acidic charge</w:t>
      </w:r>
      <w:r>
        <w:t xml:space="preserve"> </w:t>
      </w:r>
      <w:r>
        <w:t xml:space="preserve">variants are followed as they can shift slightly during the hold. Criticality is scored</w:t>
      </w:r>
      <w:r>
        <w:t xml:space="preserve"> </w:t>
      </w:r>
      <w:r>
        <w:t xml:space="preserve">on the A-Mab continuum using Tool #1 (Risk Score = Impact × Uncertainty); attributes</w:t>
      </w:r>
      <w:r>
        <w:t xml:space="preserve"> </w:t>
      </w:r>
      <w:r>
        <w:t xml:space="preserve">rated High (H) or Very High (VH) are 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Viral-clearance CQA set by the low-pH inactivation step, with acceptance criterion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90"/>
              <w:gridCol w:w="1056"/>
              <w:gridCol w:w="2112"/>
              <w:gridCol w:w="1131"/>
              <w:gridCol w:w="8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XMuLV clearance CQA is expressed as the cumulative log-reduction across the process</w:t>
      </w:r>
      <w:r>
        <w:t xml:space="preserve"> </w:t>
      </w:r>
      <w:r>
        <w:t xml:space="preserve">(≥ 16.7 log₁₀); this step is the single largest contributor. The</w:t>
      </w:r>
      <w:r>
        <w:t xml:space="preserve"> </w:t>
      </w:r>
      <w:r>
        <w:t xml:space="preserve">aggregate is a High-criticality size-variant CQA (limit 5% HMW)</w:t>
      </w:r>
      <w:r>
        <w:t xml:space="preserve"> </w:t>
      </w:r>
      <w:r>
        <w:t xml:space="preserve">that this step can increase and that the cation-exchange step subsequently polishes.</w:t>
      </w:r>
    </w:p>
    <w:bookmarkEnd w:id="19"/>
    <w:bookmarkStart w:id="20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Consistent with the A-Mab lifecycle of iterative risk assessments, the characterization</w:t>
      </w:r>
      <w:r>
        <w:t xml:space="preserve"> </w:t>
      </w:r>
      <w:r>
        <w:t xml:space="preserve">scope was set by the Pre-Characterization Process Risk Assessment (</w:t>
      </w:r>
      <w:r>
        <w:rPr>
          <w:b/>
          <w:bCs/>
        </w:rPr>
        <w:t xml:space="preserve">RA-001</w:t>
      </w:r>
      <w:r>
        <w:t xml:space="preserve">), which</w:t>
      </w:r>
      <w:r>
        <w:t xml:space="preserve"> </w:t>
      </w:r>
      <w:r>
        <w:t xml:space="preserve">used prior knowledge and a risk-ranking-and-filtering screen to prioritize parameters</w:t>
      </w:r>
      <w:r>
        <w:t xml:space="preserve"> </w:t>
      </w:r>
      <w:r>
        <w:t xml:space="preserve">and to assign the study type. Inactivation pH, hold time and temperature, which carry a</w:t>
      </w:r>
      <w:r>
        <w:t xml:space="preserve"> </w:t>
      </w:r>
      <w:r>
        <w:t xml:space="preserve">credible risk to the enveloped-virus inactivation and to aggregate, were assigned to the</w:t>
      </w:r>
      <w:r>
        <w:t xml:space="preserve"> </w:t>
      </w:r>
      <w:r>
        <w:t xml:space="preserve">multivariate DoE; A-Mab concentration, expected to affect neither over a wide range, was</w:t>
      </w:r>
      <w:r>
        <w:t xml:space="preserve"> </w:t>
      </w:r>
      <w:r>
        <w:t xml:space="preserve">assigned to univariate assessment</w:t>
      </w:r>
      <w:r>
        <w:t xml:space="preserve"> </w:t>
      </w:r>
      <w:r>
        <w:t xml:space="preserve">(CMC Biotech Working Group 2009; Parenteral Drug Association 2013)</w:t>
      </w:r>
      <w:r>
        <w:t xml:space="preserve">. The parameters and ranges</w:t>
      </w:r>
      <w:r>
        <w:t xml:space="preserve"> </w:t>
      </w:r>
      <w:r>
        <w:t xml:space="preserve">carried into this study are given in</w:t>
      </w:r>
      <w:r>
        <w:t xml:space="preserve"> 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(§5.1).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3. Materials and methods</w:t>
      </w:r>
    </w:p>
    <w:bookmarkStart w:id="22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All characterization runs were performed on a qualified small-scale inactivation model</w:t>
      </w:r>
      <w:r>
        <w:t xml:space="preserve"> </w:t>
      </w:r>
      <w:r>
        <w:t xml:space="preserve">operated at the commercial-process equivalents for the acidification, mixing, hold</w:t>
      </w:r>
      <w:r>
        <w:t xml:space="preserve"> </w:t>
      </w:r>
      <w:r>
        <w:t xml:space="preserve">vessel geometry and temperature control (</w:t>
      </w:r>
      <w:r>
        <w:rPr>
          <w:b/>
          <w:bCs/>
        </w:rPr>
        <w:t xml:space="preserve">SOP-2009</w:t>
      </w:r>
      <w:r>
        <w:t xml:space="preserve">). Viral log-reduction was</w:t>
      </w:r>
      <w:r>
        <w:t xml:space="preserve"> </w:t>
      </w:r>
      <w:r>
        <w:t xml:space="preserve">determined in spiking studies in which a characterized XMuLV stock was added to the</w:t>
      </w:r>
      <w:r>
        <w:t xml:space="preserve"> </w:t>
      </w:r>
      <w:r>
        <w:t xml:space="preserve">starting material and the infectious titre measured before and after the hold. The SDM</w:t>
      </w:r>
      <w:r>
        <w:t xml:space="preserve"> </w:t>
      </w:r>
      <w:r>
        <w:t xml:space="preserve">was qualified against at-scale reference data (</w:t>
      </w:r>
      <w:r>
        <w:rPr>
          <w:b/>
          <w:bCs/>
        </w:rPr>
        <w:t xml:space="preserve">SOP-1001</w:t>
      </w:r>
      <w:r>
        <w:t xml:space="preserve">) by comparing the</w:t>
      </w:r>
      <w:r>
        <w:t xml:space="preserve"> </w:t>
      </w:r>
      <w:r>
        <w:t xml:space="preserve">operational parameters and the output attributes — XMuLV log-reduction, aggregate and</w:t>
      </w:r>
      <w:r>
        <w:t xml:space="preserve"> </w:t>
      </w:r>
      <w:r>
        <w:t xml:space="preserve">charge variants — confirming that the model is representative and suitable to support</w:t>
      </w:r>
      <w:r>
        <w:t xml:space="preserve"> </w:t>
      </w:r>
      <w:r>
        <w:t xml:space="preserve">design-space and PAR claims</w:t>
      </w:r>
      <w:r>
        <w:t xml:space="preserve"> </w:t>
      </w:r>
      <w:r>
        <w:t xml:space="preserve">(Parenteral Drug Association 2013; International Council for Harmonisation 2023a)</w:t>
      </w:r>
      <w:r>
        <w:t xml:space="preserve">. The between-run reproducibility of the</w:t>
      </w:r>
      <w:r>
        <w:t xml:space="preserve"> </w:t>
      </w:r>
      <w:r>
        <w:t xml:space="preserve">centre-point condition (§6.1) provides the pure-error term in the lack-of-fit assessment.</w:t>
      </w:r>
    </w:p>
    <w:bookmarkEnd w:id="22"/>
    <w:bookmarkStart w:id="23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Protein A eluate is titrated with acid to the target inactivation pH, mixed, and</w:t>
      </w:r>
      <w:r>
        <w:t xml:space="preserve"> </w:t>
      </w:r>
      <w:r>
        <w:t xml:space="preserve">held for the defined hold time at controlled temperature; the solution is then</w:t>
      </w:r>
      <w:r>
        <w:t xml:space="preserve"> </w:t>
      </w:r>
      <w:r>
        <w:t xml:space="preserve">neutralized to the load condition of the next step. Inactivation pH and temperature are</w:t>
      </w:r>
      <w:r>
        <w:t xml:space="preserve"> </w:t>
      </w:r>
      <w:r>
        <w:t xml:space="preserve">controlled to set-point and the hold time is timed from the attainment of the target pH.</w:t>
      </w:r>
      <w:r>
        <w:t xml:space="preserve"> </w:t>
      </w:r>
      <w:r>
        <w:t xml:space="preserve">Buffers and the A-Mab concentration of the incoming pool are controlled to platform</w:t>
      </w:r>
      <w:r>
        <w:t xml:space="preserve"> </w:t>
      </w:r>
      <w:r>
        <w:t xml:space="preserve">specifications and are treated as quality-controlled inputs rather than characterized</w:t>
      </w:r>
      <w:r>
        <w:t xml:space="preserve"> </w:t>
      </w:r>
      <w:r>
        <w:t xml:space="preserve">variables, except for the concentration range assessed univariately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3"/>
    <w:bookmarkStart w:id="25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The step responses were measured by validated methods (</w:t>
      </w:r>
      <w:hyperlink w:anchor="tbl-methods">
        <w:r>
          <w:rPr>
            <w:rStyle w:val="Hyperlink"/>
          </w:rPr>
          <w:t xml:space="preserve">Table 3</w:t>
        </w:r>
      </w:hyperlink>
      <w:r>
        <w:t xml:space="preserve">). XMuLV infectious</w:t>
      </w:r>
      <w:r>
        <w:t xml:space="preserve"> </w:t>
      </w:r>
      <w:r>
        <w:t xml:space="preserve">titre was determined by a TCID50 infectivity assay (</w:t>
      </w:r>
      <w:r>
        <w:rPr>
          <w:b/>
          <w:bCs/>
        </w:rPr>
        <w:t xml:space="preserve">AMV-3017</w:t>
      </w:r>
      <w:r>
        <w:t xml:space="preserve">) and the log-reduction</w:t>
      </w:r>
      <w:r>
        <w:t xml:space="preserve"> </w:t>
      </w:r>
      <w:r>
        <w:t xml:space="preserve">computed from the pre- and post-hold titres; aggregate by SEC-HPLC (</w:t>
      </w:r>
      <w:r>
        <w:rPr>
          <w:b/>
          <w:bCs/>
        </w:rPr>
        <w:t xml:space="preserve">AMV-3011</w:t>
      </w:r>
      <w:r>
        <w:t xml:space="preserve">); and</w:t>
      </w:r>
      <w:r>
        <w:t xml:space="preserve"> </w:t>
      </w:r>
      <w:r>
        <w:t xml:space="preserve">acidic charge variants by icIEF (</w:t>
      </w:r>
      <w:r>
        <w:rPr>
          <w:b/>
          <w:bCs/>
        </w:rPr>
        <w:t xml:space="preserve">AMV-3013</w:t>
      </w:r>
      <w:r>
        <w:t xml:space="preserve">). Method performance characteristics are</w:t>
      </w:r>
      <w:r>
        <w:t xml:space="preserve"> </w:t>
      </w:r>
      <w:r>
        <w:t xml:space="preserve">summarized in 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Validated analytical methods used in the characterization.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DoE run was sampled before and after the hold for the XMuLV infectious titre and</w:t>
      </w:r>
      <w:r>
        <w:t xml:space="preserve"> </w:t>
      </w:r>
      <w:r>
        <w:t xml:space="preserve">sampled at the end of the hold for aggregate and acidic charge variants; in-process pH,</w:t>
      </w:r>
      <w:r>
        <w:t xml:space="preserve"> </w:t>
      </w:r>
      <w:r>
        <w:t xml:space="preserve">temperature and hold-time records confirmed the run conditions. Centre-point runs were</w:t>
      </w:r>
      <w:r>
        <w:t xml:space="preserve"> </w:t>
      </w:r>
      <w:r>
        <w:t xml:space="preserve">replicated within each design (three in screening, four in the response-surface design)</w:t>
      </w:r>
      <w:r>
        <w:t xml:space="preserve"> </w:t>
      </w:r>
      <w:r>
        <w:t xml:space="preserve">to quantify reproducibility and pure error.</w:t>
      </w:r>
    </w:p>
    <w:bookmarkEnd w:id="26"/>
    <w:bookmarkStart w:id="27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Designs were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</w:t>
      </w:r>
      <w:r>
        <w:t xml:space="preserve"> </w:t>
      </w:r>
      <w:r>
        <w:t xml:space="preserve">±1 (</w:t>
      </w:r>
      <w:r>
        <w:rPr>
          <w:b/>
          <w:bCs/>
        </w:rPr>
        <w:t xml:space="preserve">SOP-1002</w:t>
      </w:r>
      <w:r>
        <w:t xml:space="preserve">). Screening data were analyzed by ordinary-least-squares regression of</w:t>
      </w:r>
      <w:r>
        <w:t xml:space="preserve"> </w:t>
      </w:r>
      <w:r>
        <w:t xml:space="preserve">each response on the main effects and all two-factor interactions; factor</w:t>
      </w:r>
      <w:r>
        <w:t xml:space="preserve"> </w:t>
      </w:r>
      <w:r>
        <w:rPr>
          <w:i/>
          <w:iCs/>
        </w:rPr>
        <w:t xml:space="preserve">effects</w:t>
      </w:r>
      <w:r>
        <w:t xml:space="preserve"> </w:t>
      </w:r>
      <w:r>
        <w:t xml:space="preserve">are</w:t>
      </w:r>
      <w:r>
        <w:t xml:space="preserve"> </w:t>
      </w:r>
      <w:r>
        <w:t xml:space="preserve">reported as twice the coded coefficient. Response-surface data were analyzed with the</w:t>
      </w:r>
      <w:r>
        <w:t xml:space="preserve"> </w:t>
      </w:r>
      <w:r>
        <w:t xml:space="preserve">full quadratic model. Statistical significance was assessed at α = 0.05. Model adequacy</w:t>
      </w:r>
      <w:r>
        <w:t xml:space="preserve"> </w:t>
      </w:r>
      <w:r>
        <w:t xml:space="preserve">was judged by R², the adjusted and predicted R², the overall model F-test, and an</w:t>
      </w:r>
      <w:r>
        <w:t xml:space="preserve"> </w:t>
      </w:r>
      <w:r>
        <w:t xml:space="preserve">analysis of variance partitioning the residual into lack of fit and pure error; a</w:t>
      </w:r>
      <w:r>
        <w:t xml:space="preserve"> </w:t>
      </w:r>
      <w:r>
        <w:t xml:space="preserve">non-significant lack-of-fit F-test (p &gt; 0.05) indicates an adequate model. Consistent</w:t>
      </w:r>
      <w:r>
        <w:t xml:space="preserve"> </w:t>
      </w:r>
      <w:r>
        <w:t xml:space="preserve">with the conservative treatment of viral clearance</w:t>
      </w:r>
      <w:r>
        <w:t xml:space="preserve"> </w:t>
      </w:r>
      <w:r>
        <w:t xml:space="preserve">(International Council for Harmonisation 2023a)</w:t>
      </w:r>
      <w:r>
        <w:t xml:space="preserve">, the enveloped-virus</w:t>
      </w:r>
      <w:r>
        <w:t xml:space="preserve"> </w:t>
      </w:r>
      <w:r>
        <w:t xml:space="preserve">clearance claim is taken from the demonstrated log-reduction rather than from an</w:t>
      </w:r>
      <w:r>
        <w:t xml:space="preserve"> </w:t>
      </w:r>
      <w:r>
        <w:t xml:space="preserve">extrapolated model. The design space was defined as the region of inactivation pH and</w:t>
      </w:r>
      <w:r>
        <w:t xml:space="preserve"> </w:t>
      </w:r>
      <w:r>
        <w:t xml:space="preserve">hold time over which the XMuLV log-reduction is assured and aggregate remains within its</w:t>
      </w:r>
      <w:r>
        <w:t xml:space="preserve"> </w:t>
      </w:r>
      <w:r>
        <w:t xml:space="preserve">limit. Commercial-scale capability of the cumulative XMuLV clearance was estimated by</w:t>
      </w:r>
      <w:r>
        <w:t xml:space="preserve"> </w:t>
      </w:r>
      <w:r>
        <w:t xml:space="preserve">Monte-Carlo simulation of 2,000 batches with each</w:t>
      </w:r>
      <w:r>
        <w:t xml:space="preserve"> </w:t>
      </w:r>
      <w:r>
        <w:t xml:space="preserve">parameter varied within its NOR, reporting the one-sided (lower) capability index.</w:t>
      </w:r>
    </w:p>
    <w:bookmarkEnd w:id="27"/>
    <w:bookmarkEnd w:id="28"/>
    <w:bookmarkStart w:id="35" w:name="study-design"/>
    <w:p>
      <w:pPr>
        <w:pStyle w:val="Heading1"/>
      </w:pPr>
      <w:r>
        <w:t xml:space="preserve">4. Study design</w:t>
      </w:r>
    </w:p>
    <w:bookmarkStart w:id="31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Four parameters were studied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). The characterization range of each factor</w:t>
      </w:r>
      <w:r>
        <w:t xml:space="preserve"> </w:t>
      </w:r>
      <w:r>
        <w:t xml:space="preserve">(</w:t>
      </w:r>
      <w:r>
        <w:t xml:space="preserve">“PAR”</w:t>
      </w:r>
      <w:r>
        <w:t xml:space="preserve"> </w:t>
      </w:r>
      <w:r>
        <w:t xml:space="preserve">column) defines the edges of the explored knowledge space and the basis of the</w:t>
      </w:r>
      <w:r>
        <w:t xml:space="preserve"> </w:t>
      </w:r>
      <w:r>
        <w:t xml:space="preserve">proven acceptable range; the NOR is the tighter routine-control range. The DoE factor</w:t>
      </w:r>
      <w:r>
        <w:t xml:space="preserve"> </w:t>
      </w:r>
      <w:r>
        <w:t xml:space="preserve">coding for the three multivariate factors is given in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Low-pH inactivation process parameters, set-points, ranges and post-characterization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28"/>
              <w:gridCol w:w="772"/>
              <w:gridCol w:w="1255"/>
              <w:gridCol w:w="869"/>
              <w:gridCol w:w="772"/>
              <w:gridCol w:w="869"/>
              <w:gridCol w:w="135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Design-of-experiments factor legend (coded A–C).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Factor screening used a two-level full factorial in the three multivariate factors</w:t>
      </w:r>
      <w:r>
        <w:t xml:space="preserve"> </w:t>
      </w:r>
      <w:r>
        <w:t xml:space="preserve">(A–C) with three centre-point replicates, 11 runs in total. The full</w:t>
      </w:r>
      <w:r>
        <w:t xml:space="preserve"> </w:t>
      </w:r>
      <w:r>
        <w:t xml:space="preserve">factorial estimates all three main effects and all three two-factor interactions without</w:t>
      </w:r>
      <w:r>
        <w:t xml:space="preserve"> </w:t>
      </w:r>
      <w:r>
        <w:t xml:space="preserve">confounding. The three responses recorded for each run were the XMuLV log-reduction, the</w:t>
      </w:r>
      <w:r>
        <w:t xml:space="preserve"> </w:t>
      </w:r>
      <w:r>
        <w:t xml:space="preserve">aggregate and the acidic charge variants. The complete coded design matrix and run</w:t>
      </w:r>
      <w:r>
        <w:t xml:space="preserve"> </w:t>
      </w:r>
      <w:r>
        <w:t xml:space="preserve">responses are given in Appendix A.</w:t>
      </w:r>
    </w:p>
    <w:bookmarkEnd w:id="32"/>
    <w:bookmarkStart w:id="33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three multivariate factors were carried into a face-centred central-composite design</w:t>
      </w:r>
      <w:r>
        <w:t xml:space="preserve"> </w:t>
      </w:r>
      <w:r>
        <w:t xml:space="preserve">(cube points, axial points at the face centres, and four centre-point replicates),</w:t>
      </w:r>
      <w:r>
        <w:t xml:space="preserve"> </w:t>
      </w:r>
      <w:r>
        <w:t xml:space="preserve">18 runs in total, enabling estimation of curvature in addition to main</w:t>
      </w:r>
      <w:r>
        <w:t xml:space="preserve"> </w:t>
      </w:r>
      <w:r>
        <w:t xml:space="preserve">effects and interactions. The complete coded design matrix and responses are given in</w:t>
      </w:r>
      <w:r>
        <w:t xml:space="preserve"> </w:t>
      </w:r>
      <w:r>
        <w:t xml:space="preserve">Appendix B.</w:t>
      </w:r>
    </w:p>
    <w:bookmarkEnd w:id="33"/>
    <w:bookmarkStart w:id="34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A-Mab concentration was evaluated one factor at a time across its characterization range</w:t>
      </w:r>
      <w:r>
        <w:t xml:space="preserve"> </w:t>
      </w:r>
      <w:r>
        <w:t xml:space="preserve">for its effect on the XMuLV log-reduction and aggregate; it was not carried into the</w:t>
      </w:r>
      <w:r>
        <w:t xml:space="preserve"> </w:t>
      </w:r>
      <w:r>
        <w:t xml:space="preserve">multivariate design because prior knowledge indicated no credible impact over the range</w:t>
      </w:r>
      <w:r>
        <w:t xml:space="preserve"> </w:t>
      </w:r>
      <w:r>
        <w:t xml:space="preserve">studied.</w:t>
      </w:r>
    </w:p>
    <w:bookmarkEnd w:id="34"/>
    <w:bookmarkEnd w:id="35"/>
    <w:bookmarkStart w:id="64" w:name="results"/>
    <w:p>
      <w:pPr>
        <w:pStyle w:val="Heading1"/>
      </w:pPr>
      <w:r>
        <w:t xml:space="preserve">5. Results</w:t>
      </w:r>
    </w:p>
    <w:bookmarkStart w:id="37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At the nominal (centre-point) condition the step delivers an XMuLV log-reduction of</w:t>
      </w:r>
      <w:r>
        <w:t xml:space="preserve"> </w:t>
      </w:r>
      <w:r>
        <w:t xml:space="preserve">6.7 log₁₀ and an aggregate of 2.0%</w:t>
      </w:r>
      <w:r>
        <w:t xml:space="preserve"> </w:t>
      </w:r>
      <w:r>
        <w:t xml:space="preserve">HMW. The between-replicate reproducibility of the centre point (</w:t>
      </w:r>
      <w:hyperlink w:anchor="tbl-cv">
        <w:r>
          <w:rPr>
            <w:rStyle w:val="Hyperlink"/>
          </w:rPr>
          <w:t xml:space="preserve">Table 6</w:t>
        </w:r>
      </w:hyperlink>
      <w:r>
        <w:t xml:space="preserve">) is the</w:t>
      </w:r>
      <w:r>
        <w:t xml:space="preserve"> </w:t>
      </w:r>
      <w:r>
        <w:t xml:space="preserve">pure-error estimate used in the lack-of-fit assessment; the higher coefficient of</w:t>
      </w:r>
      <w:r>
        <w:t xml:space="preserve"> </w:t>
      </w:r>
      <w:r>
        <w:t xml:space="preserve">variation of the XMuLV response reflects the inherent variability of the infectious-titre</w:t>
      </w:r>
      <w:r>
        <w:t xml:space="preserve"> </w:t>
      </w:r>
      <w:r>
        <w:t xml:space="preserve">assay, whereas the aggregate and charge-variant measurements are highly reproducible.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Centre-point reproducibility (response-surface design; n = 4 replicates).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6"/>
          <w:p/>
        </w:tc>
      </w:tr>
    </w:tbl>
    <w:bookmarkEnd w:id="37"/>
    <w:bookmarkStart w:id="41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models resolve the active factors and interactions for the three responses</w:t>
      </w:r>
      <w:r>
        <w:t xml:space="preserve"> </w:t>
      </w:r>
      <w:r>
        <w:t xml:space="preserve">(</w:t>
      </w:r>
      <w:hyperlink w:anchor="tbl-scr-fit">
        <w:r>
          <w:rPr>
            <w:rStyle w:val="Hyperlink"/>
          </w:rPr>
          <w:t xml:space="preserve">Table 7</w:t>
        </w:r>
      </w:hyperlink>
      <w:r>
        <w:t xml:space="preserve">). Consistent with a screening analysis, the magnitudes are refined by the</w:t>
      </w:r>
      <w:r>
        <w:t xml:space="preserve"> </w:t>
      </w:r>
      <w:r>
        <w:t xml:space="preserve">response-surface models (§6.3).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scr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Screening-design model summary by response (main effects + two-factor interactions).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90"/>
              <w:gridCol w:w="450"/>
              <w:gridCol w:w="630"/>
              <w:gridCol w:w="990"/>
              <w:gridCol w:w="1080"/>
              <w:gridCol w:w="990"/>
              <w:gridCol w:w="99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3.93e+26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1.73e-53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1.16e-14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The largest effects are tabulated for the XMuLV log-reduction (</w:t>
      </w:r>
      <w:hyperlink w:anchor="tbl-eff-xmulv">
        <w:r>
          <w:rPr>
            <w:rStyle w:val="Hyperlink"/>
          </w:rPr>
          <w:t xml:space="preserve">Table 8</w:t>
        </w:r>
      </w:hyperlink>
      <w:r>
        <w:t xml:space="preserve">) and the</w:t>
      </w:r>
      <w:r>
        <w:t xml:space="preserve"> </w:t>
      </w:r>
      <w:r>
        <w:t xml:space="preserve">aggregate (</w:t>
      </w:r>
      <w:hyperlink w:anchor="tbl-eff-agg">
        <w:r>
          <w:rPr>
            <w:rStyle w:val="Hyperlink"/>
          </w:rPr>
          <w:t xml:space="preserve">Table 9</w:t>
        </w:r>
      </w:hyperlink>
      <w:r>
        <w:t xml:space="preserve">). Full effect tables for all three responses are given in</w:t>
      </w:r>
      <w:r>
        <w:t xml:space="preserve"> </w:t>
      </w:r>
      <w:r>
        <w:t xml:space="preserve">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eff-xmul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Largest standardized effects on the XMuLV log-reduction (screening; effect = 2 × coded coefficient; A = pH, B = hold time, C = temperature).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eff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Largest standardized effects on aggregate (screening).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Inactivation pH is the dominant factor for the XMuLV log-reduction — the log-reduction</w:t>
      </w:r>
      <w:r>
        <w:t xml:space="preserve"> </w:t>
      </w:r>
      <w:r>
        <w:t xml:space="preserve">increases as the pH is lowered — followed by hold time and temperature, which also</w:t>
      </w:r>
      <w:r>
        <w:t xml:space="preserve"> </w:t>
      </w:r>
      <w:r>
        <w:t xml:space="preserve">increase the inactivation. Aggregate, by contrast, is driven principally by hold time and</w:t>
      </w:r>
      <w:r>
        <w:t xml:space="preserve"> </w:t>
      </w:r>
      <w:r>
        <w:t xml:space="preserve">temperature and is comparatively insensitive to pH over the range studied. The</w:t>
      </w:r>
      <w:r>
        <w:t xml:space="preserve"> </w:t>
      </w:r>
      <w:r>
        <w:t xml:space="preserve">enveloped-virus inactivation and the aggregate risk therefore respond to a shared set of</w:t>
      </w:r>
      <w:r>
        <w:t xml:space="preserve"> </w:t>
      </w:r>
      <w:r>
        <w:t xml:space="preserve">factors, which is why a multivariate design space — rather than independent</w:t>
      </w:r>
      <w:r>
        <w:t xml:space="preserve"> </w:t>
      </w:r>
      <w:r>
        <w:t xml:space="preserve">one-dimensional ranges — is required to assure clearance while limiting aggregate.</w:t>
      </w:r>
    </w:p>
    <w:bookmarkEnd w:id="41"/>
    <w:bookmarkStart w:id="62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full quadratic response-surface models are summarized in</w:t>
      </w:r>
      <w:r>
        <w:t xml:space="preserve"> </w:t>
      </w:r>
      <w:hyperlink w:anchor="tbl-rsm-fit">
        <w:r>
          <w:rPr>
            <w:rStyle w:val="Hyperlink"/>
          </w:rPr>
          <w:t xml:space="preserve">Table 10</w:t>
        </w:r>
      </w:hyperlink>
      <w:r>
        <w:t xml:space="preserve">. The aggregate</w:t>
      </w:r>
      <w:r>
        <w:t xml:space="preserve"> </w:t>
      </w:r>
      <w:r>
        <w:t xml:space="preserve">model is excellent (R² = 0.997), and the acidic-charge-variant</w:t>
      </w:r>
      <w:r>
        <w:t xml:space="preserve"> </w:t>
      </w:r>
      <w:r>
        <w:t xml:space="preserve">response is an essentially deterministic, minor shift over the hold. The XMuLV</w:t>
      </w:r>
      <w:r>
        <w:t xml:space="preserve"> </w:t>
      </w:r>
      <w:r>
        <w:t xml:space="preserve">log-reduction model is adequate (R² = 0.90, adjusted R² =</w:t>
      </w:r>
      <w:r>
        <w:t xml:space="preserve"> </w:t>
      </w:r>
      <w:r>
        <w:t xml:space="preserve">0.78); its lower coefficient of determination reflects the</w:t>
      </w:r>
      <w:r>
        <w:t xml:space="preserve"> </w:t>
      </w:r>
      <w:r>
        <w:t xml:space="preserve">inherent variability of the infectivity assay rather than an inadequate functional form.</w:t>
      </w:r>
      <w:r>
        <w:t xml:space="preserve"> </w:t>
      </w:r>
      <w:r>
        <w:t xml:space="preserve">For every response the lack-of-fit F-test was not significant (p &gt; 0.05) relative to the centre-point pure error, confirming that the models are adequate.</w:t>
      </w:r>
      <w:r>
        <w:t xml:space="preserve"> </w:t>
      </w:r>
      <w:r>
        <w:t xml:space="preserve">Consistent with ICH Q5A, the enveloped-virus clearance claim is taken conservatively from</w:t>
      </w:r>
      <w:r>
        <w:t xml:space="preserve"> </w:t>
      </w:r>
      <w:r>
        <w:t xml:space="preserve">the demonstrated log-reduction and not extrapolated from the model.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rsm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Response-surface model summary by response (full quadratic model).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68"/>
              <w:gridCol w:w="444"/>
              <w:gridCol w:w="622"/>
              <w:gridCol w:w="978"/>
              <w:gridCol w:w="1067"/>
              <w:gridCol w:w="1067"/>
              <w:gridCol w:w="978"/>
              <w:gridCol w:w="8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6.57e-09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5.99e+26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2.43e-106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8.61e-15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The fitted coefficients for the XMuLV log-reduction and the aggregate are given in</w:t>
      </w:r>
      <w:r>
        <w:t xml:space="preserve"> </w:t>
      </w:r>
      <w:hyperlink w:anchor="tbl-coef-xmul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-agg">
        <w:r>
          <w:rPr>
            <w:rStyle w:val="Hyperlink"/>
          </w:rPr>
          <w:t xml:space="preserve">Table 12</w:t>
        </w:r>
      </w:hyperlink>
      <w:r>
        <w:t xml:space="preserve">, and the analysis of variance for the XMuLV</w:t>
      </w:r>
      <w:r>
        <w:t xml:space="preserve"> </w:t>
      </w:r>
      <w:r>
        <w:t xml:space="preserve">log-reduction — including the lack-of-fit/pure-error partition — in</w:t>
      </w:r>
      <w:r>
        <w:t xml:space="preserve"> </w:t>
      </w:r>
      <w:hyperlink w:anchor="tbl-anova-xmulv">
        <w:r>
          <w:rPr>
            <w:rStyle w:val="Hyperlink"/>
          </w:rPr>
          <w:t xml:space="preserve">Table 13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coef-xmul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Response-surface coefficients for the XMuLV log-reduction (coded factors A = pH, B = hold time, C = temperature).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3.99e-11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coef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coefficients for aggregate.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7.76e-11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anova-xmul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Analysis of variance for the XMuLV log-reduction response-surface model, with lack-of-fit and pure-error partition.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response surfaces over the two dominant factors (inactivation pH and hold time) are</w:t>
      </w:r>
      <w:r>
        <w:t xml:space="preserve"> </w:t>
      </w:r>
      <w:r>
        <w:t xml:space="preserve">shown for all three responses in</w:t>
      </w:r>
      <w:r>
        <w:t xml:space="preserve"> </w:t>
      </w:r>
      <w:hyperlink w:anchor="fig-contours">
        <w:r>
          <w:rPr>
            <w:rStyle w:val="Hyperlink"/>
          </w:rPr>
          <w:t xml:space="preserve">Figure 2</w:t>
        </w:r>
      </w:hyperlink>
      <w:r>
        <w:t xml:space="preserve">, and the aggregate and XMuLV behaviour is</w:t>
      </w:r>
      <w:r>
        <w:t xml:space="preserve"> </w:t>
      </w:r>
      <w:r>
        <w:t xml:space="preserve">summarized in</w:t>
      </w:r>
      <w:r>
        <w:t xml:space="preserve"> </w:t>
      </w:r>
      <w:hyperlink w:anchor="fig-vi">
        <w:r>
          <w:rPr>
            <w:rStyle w:val="Hyperlink"/>
          </w:rPr>
          <w:t xml:space="preserve">Figure 1</w:t>
        </w:r>
      </w:hyperlink>
      <w:r>
        <w:t xml:space="preserve">. The model diagnostics for the XMuLV and aggregate models are in</w:t>
      </w:r>
      <w:r>
        <w:t xml:space="preserve"> </w:t>
      </w:r>
      <w:hyperlink w:anchor="fig-diag-xmulv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agg">
        <w:r>
          <w:rPr>
            <w:rStyle w:val="Hyperlink"/>
          </w:rPr>
          <w:t xml:space="preserve">Figure 4</w:t>
        </w:r>
      </w:hyperlink>
      <w:r>
        <w:t xml:space="preserve">; the residual and quantile plots show no systematic</w:t>
      </w:r>
      <w:r>
        <w:t xml:space="preserve"> </w:t>
      </w:r>
      <w:r>
        <w:t xml:space="preserve">structure, supporting the use of the aggregate model for design-space definition and the</w:t>
      </w:r>
      <w:r>
        <w:t xml:space="preserve"> </w:t>
      </w:r>
      <w:r>
        <w:t xml:space="preserve">conservative use of the XMuLV model.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i"/>
          <w:p>
            <w:pPr>
              <w:pStyle w:val="Compact"/>
              <w:jc w:val="center"/>
            </w:pPr>
            <w:r>
              <w:drawing>
                <wp:inline>
                  <wp:extent cx="5334000" cy="1967377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vi_aggrega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673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Low-pH viral inactivation: aggregate formation versus hold time at 15/25 °C (left) and the XMuLV log-reduction surface over inactivation pH × hold time with the required per-step floor (right).</w:t>
            </w:r>
          </w:p>
          <w:bookmarkEnd w:id="4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contours-output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for the XMuLV log-reduction, aggregate and acidic charge variants over inactivation pH × hold time (temperature at set-point).</w:t>
            </w:r>
          </w:p>
          <w:bookmarkEnd w:id="5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iag-xmulv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diag-xmulv-output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the XMuLV log-reduction response-surface model.</w:t>
            </w:r>
          </w:p>
          <w:bookmarkEnd w:id="5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iag-agg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diag-agg-output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the aggregate response-surface model.</w:t>
            </w:r>
          </w:p>
          <w:bookmarkEnd w:id="61"/>
        </w:tc>
      </w:tr>
    </w:tbl>
    <w:bookmarkEnd w:id="62"/>
    <w:bookmarkStart w:id="63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response-surface models reproduce the established behaviour of low-pH inactivation.</w:t>
      </w:r>
      <w:r>
        <w:t xml:space="preserve"> </w:t>
      </w:r>
      <w:r>
        <w:t xml:space="preserve">Enveloped-virus inactivation is driven primarily by hydrogen-ion concentration: lowering</w:t>
      </w:r>
      <w:r>
        <w:t xml:space="preserve"> </w:t>
      </w:r>
      <w:r>
        <w:t xml:space="preserve">the inactivation pH accelerates the disruption of the viral lipid envelope and increases</w:t>
      </w:r>
      <w:r>
        <w:t xml:space="preserve"> </w:t>
      </w:r>
      <w:r>
        <w:t xml:space="preserve">the log-reduction, with additional inactivation from a longer hold and a warmer</w:t>
      </w:r>
      <w:r>
        <w:t xml:space="preserve"> </w:t>
      </w:r>
      <w:r>
        <w:t xml:space="preserve">temperature. Aggregate formation, in contrast, is a time- and temperature-dependent</w:t>
      </w:r>
      <w:r>
        <w:t xml:space="preserve"> </w:t>
      </w:r>
      <w:r>
        <w:t xml:space="preserve">process and is comparatively insensitive to pH over the studied window, so the practical</w:t>
      </w:r>
      <w:r>
        <w:t xml:space="preserve"> </w:t>
      </w:r>
      <w:r>
        <w:t xml:space="preserve">constraint on the hold is the aggregate that accrues at long hold times and high</w:t>
      </w:r>
      <w:r>
        <w:t xml:space="preserve"> </w:t>
      </w:r>
      <w:r>
        <w:t xml:space="preserve">temperature rather than at low pH. The acceptable pH window is nonetheless narrow and</w:t>
      </w:r>
      <w:r>
        <w:t xml:space="preserve"> </w:t>
      </w:r>
      <w:r>
        <w:t xml:space="preserve">high-consequence — bounded above by incomplete inactivation and below by the prior-knowledge</w:t>
      </w:r>
      <w:r>
        <w:t xml:space="preserve"> </w:t>
      </w:r>
      <w:r>
        <w:t xml:space="preserve">risk of acid-induced aggregation — which is why inactivation pH is controlled to a tight</w:t>
      </w:r>
      <w:r>
        <w:t xml:space="preserve"> </w:t>
      </w:r>
      <w:r>
        <w:t xml:space="preserve">range and treated as the process’s only true CPP. Because the mechanism acts on the lipid</w:t>
      </w:r>
      <w:r>
        <w:t xml:space="preserve"> </w:t>
      </w:r>
      <w:r>
        <w:t xml:space="preserve">envelope, the step provides no clearance of the non-enveloped parvovirus model MVM.</w:t>
      </w:r>
    </w:p>
    <w:bookmarkEnd w:id="63"/>
    <w:bookmarkEnd w:id="64"/>
    <w:bookmarkStart w:id="65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is the region of inactivation pH and hold time (at the controlled</w:t>
      </w:r>
      <w:r>
        <w:t xml:space="preserve"> </w:t>
      </w:r>
      <w:r>
        <w:t xml:space="preserve">temperature) over which the XMuLV log-reduction is assured with margin and the aggregate</w:t>
      </w:r>
      <w:r>
        <w:t xml:space="preserve"> </w:t>
      </w:r>
      <w:r>
        <w:t xml:space="preserve">remains within its 5% limit, computed by overlaying the</w:t>
      </w:r>
      <w:r>
        <w:t xml:space="preserve"> </w:t>
      </w:r>
      <w:r>
        <w:t xml:space="preserve">clearance and aggregate constraints on the fitted models.</w:t>
      </w:r>
      <w:r>
        <w:t xml:space="preserve"> </w:t>
      </w:r>
      <w:hyperlink w:anchor="fig-vi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(right) shows the XMuLV</w:t>
      </w:r>
      <w:r>
        <w:t xml:space="preserve"> </w:t>
      </w:r>
      <w:r>
        <w:t xml:space="preserve">log-reduction surface with the required per-step floor; the NOR of each parameter</w:t>
      </w:r>
      <w:r>
        <w:t xml:space="preserve"> </w:t>
      </w:r>
      <w:r>
        <w:t xml:space="preserve">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 — inactivation pH</w:t>
      </w:r>
      <w:r>
        <w:t xml:space="preserve"> </w:t>
      </w:r>
      <w:r>
        <w:t xml:space="preserve">3.4–3.6 and hold time</w:t>
      </w:r>
      <w:r>
        <w:t xml:space="preserve"> </w:t>
      </w:r>
      <w:r>
        <w:t xml:space="preserve">60–120</w:t>
      </w:r>
      <w:r>
        <w:t xml:space="preserve"> </w:t>
      </w:r>
      <w:r>
        <w:t xml:space="preserve">min — lies well inside the region over which clearance is assured, which in turn lies</w:t>
      </w:r>
      <w:r>
        <w:t xml:space="preserve"> </w:t>
      </w:r>
      <w:r>
        <w:t xml:space="preserve">within the broader knowledge space bounded by the proven acceptable ranges. Movement</w:t>
      </w:r>
      <w:r>
        <w:t xml:space="preserve"> </w:t>
      </w:r>
      <w:r>
        <w:t xml:space="preserve">within the design space is not a change, whereas movement outside it would require</w:t>
      </w:r>
      <w:r>
        <w:t xml:space="preserve"> </w:t>
      </w:r>
      <w:r>
        <w:t xml:space="preserve">assessment under the quality system</w:t>
      </w:r>
      <w:r>
        <w:t xml:space="preserve"> </w:t>
      </w:r>
      <w:r>
        <w:t xml:space="preserve">(CMC Biotech Working Group 2009; International Council for Harmonisation 2009)</w:t>
      </w:r>
      <w:r>
        <w:t xml:space="preserve">. Aggregate remains well below its</w:t>
      </w:r>
      <w:r>
        <w:t xml:space="preserve"> </w:t>
      </w:r>
      <w:r>
        <w:t xml:space="preserve">limit across the entire region, so the binding constraint is the assurance of the</w:t>
      </w:r>
      <w:r>
        <w:t xml:space="preserve"> </w:t>
      </w:r>
      <w:r>
        <w:t xml:space="preserve">enveloped-virus log-reduction.</w:t>
      </w:r>
    </w:p>
    <w:bookmarkEnd w:id="65"/>
    <w:bookmarkStart w:id="67" w:name="process-capability-and-robustness"/>
    <w:p>
      <w:pPr>
        <w:pStyle w:val="Heading1"/>
      </w:pPr>
      <w:r>
        <w:t xml:space="preserve">7. Process capability and robustness</w:t>
      </w:r>
    </w:p>
    <w:p>
      <w:pPr>
        <w:pStyle w:val="FirstParagraph"/>
      </w:pPr>
      <w:r>
        <w:t xml:space="preserve">The low-pH inactivation step is the largest single contributor to the enveloped-virus</w:t>
      </w:r>
      <w:r>
        <w:t xml:space="preserve"> </w:t>
      </w:r>
      <w:r>
        <w:t xml:space="preserve">clearance, providing 7.1 log₁₀ of the cumulative</w:t>
      </w:r>
      <w:r>
        <w:t xml:space="preserve"> </w:t>
      </w:r>
      <w:r>
        <w:t xml:space="preserve">18.9 log₁₀ XMuLV clearance; it provides</w:t>
      </w:r>
      <w:r>
        <w:t xml:space="preserve"> </w:t>
      </w:r>
      <w:r>
        <w:t xml:space="preserve">0 log₁₀ of MVM clearance, the non-enveloped parvovirus being</w:t>
      </w:r>
      <w:r>
        <w:t xml:space="preserve"> </w:t>
      </w:r>
      <w:r>
        <w:t xml:space="preserve">cleared orthogonally by anion exchange and virus filtration. A Monte-Carlo simulation of</w:t>
      </w:r>
      <w:r>
        <w:t xml:space="preserve"> </w:t>
      </w:r>
      <w:r>
        <w:t xml:space="preserve">2,000 commercial-scale batches, with every parameter varied</w:t>
      </w:r>
      <w:r>
        <w:t xml:space="preserve"> </w:t>
      </w:r>
      <w:r>
        <w:t xml:space="preserve">within its NOR, was used to estimate the commercial-scale distributions and process</w:t>
      </w:r>
      <w:r>
        <w:t xml:space="preserve"> </w:t>
      </w:r>
      <w:r>
        <w:t xml:space="preserve">capability of the CQAs governed by the step (</w:t>
      </w:r>
      <w:hyperlink w:anchor="tbl-cap">
        <w:r>
          <w:rPr>
            <w:rStyle w:val="Hyperlink"/>
          </w:rPr>
          <w:t xml:space="preserve">Table 14</w:t>
        </w:r>
      </w:hyperlink>
      <w:r>
        <w:t xml:space="preserve">). Capability is evaluated one-sided</w:t>
      </w:r>
      <w:r>
        <w:t xml:space="preserve"> </w:t>
      </w:r>
      <w:r>
        <w:t xml:space="preserve">against the lower requirement for viral clearance and the upper limit for aggregate.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Commercial-scale process capability for the CQAs governed by the low-pH inactivation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56"/>
              <w:gridCol w:w="792"/>
              <w:gridCol w:w="704"/>
              <w:gridCol w:w="1232"/>
              <w:gridCol w:w="1320"/>
              <w:gridCol w:w="61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</w:tbl>
          <w:bookmarkEnd w:id="66"/>
          <w:p/>
        </w:tc>
      </w:tr>
    </w:tbl>
    <w:p>
      <w:pPr>
        <w:pStyle w:val="BodyText"/>
      </w:pPr>
      <w:r>
        <w:t xml:space="preserve">The cumulative XMuLV clearance meets its ≥ 16.7 log₁₀ requirement</w:t>
      </w:r>
      <w:r>
        <w:t xml:space="preserve"> </w:t>
      </w:r>
      <w:r>
        <w:t xml:space="preserve">with a capability of</w:t>
      </w:r>
      <w:r>
        <w:t xml:space="preserve"> </w:t>
      </w:r>
      <w:r>
        <w:rPr>
          <w:b/>
          <w:bCs/>
        </w:rPr>
        <w:t xml:space="preserve">Cpk = 1.53</w:t>
      </w:r>
      <w:r>
        <w:t xml:space="preserve">. This is the minimum</w:t>
      </w:r>
      <w:r>
        <w:t xml:space="preserve"> </w:t>
      </w:r>
      <w:r>
        <w:t xml:space="preserve">capability in the drug-substance process and is deliberately conservative: the</w:t>
      </w:r>
      <w:r>
        <w:t xml:space="preserve"> </w:t>
      </w:r>
      <w:r>
        <w:t xml:space="preserve">viral-clearance requirement is set with a large safety margin, and the demonstrated</w:t>
      </w:r>
      <w:r>
        <w:t xml:space="preserve"> </w:t>
      </w:r>
      <w:r>
        <w:t xml:space="preserve">clearance exceeds it robustly. Aggregate is held well within its limit with high</w:t>
      </w:r>
      <w:r>
        <w:t xml:space="preserve"> </w:t>
      </w:r>
      <w:r>
        <w:t xml:space="preserve">capability. The margins confirm that the NOR-bounded step reliably assures viral safety</w:t>
      </w:r>
      <w:r>
        <w:t xml:space="preserve"> </w:t>
      </w:r>
      <w:r>
        <w:t xml:space="preserve">and product quality at commercial scale.</w:t>
      </w:r>
    </w:p>
    <w:bookmarkEnd w:id="67"/>
    <w:bookmarkStart w:id="69" w:name="parameter-classification"/>
    <w:p>
      <w:pPr>
        <w:pStyle w:val="Heading1"/>
      </w:pPr>
      <w:r>
        <w:t xml:space="preserve">8. Parameter classification</w:t>
      </w:r>
    </w:p>
    <w:p>
      <w:pPr>
        <w:pStyle w:val="FirstParagraph"/>
      </w:pPr>
      <w:r>
        <w:t xml:space="preserve">Each parameter was classified on the A-Mab continuum from the demonstrated effects and the</w:t>
      </w:r>
      <w:r>
        <w:t xml:space="preserve"> </w:t>
      </w:r>
      <w:r>
        <w:t xml:space="preserve">design-space risk (</w:t>
      </w:r>
      <w:hyperlink w:anchor="tbl-class">
        <w:r>
          <w:rPr>
            <w:rStyle w:val="Hyperlink"/>
          </w:rPr>
          <w:t xml:space="preserve">Table 15</w:t>
        </w:r>
      </w:hyperlink>
      <w:r>
        <w:t xml:space="preserve">). The rationale is as follows.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Inactivation pH — CPP.</w:t>
      </w:r>
      <w:r>
        <w:t xml:space="preserve"> </w:t>
      </w:r>
      <w:r>
        <w:t xml:space="preserve">pH is the dominant factor for the enveloped-virus</w:t>
      </w:r>
      <w:r>
        <w:t xml:space="preserve"> </w:t>
      </w:r>
      <w:r>
        <w:t xml:space="preserve">log-reduction (§6.2–6.3), which is a Very-High-criticality viral-safety CQA (Severity</w:t>
      </w:r>
      <w:r>
        <w:t xml:space="preserve"> </w:t>
      </w:r>
      <w:r>
        <w:t xml:space="preserve">≥ 8), and its acceptable window is narrow and high-consequence in both directions. It is</w:t>
      </w:r>
      <w:r>
        <w:t xml:space="preserve"> </w:t>
      </w:r>
      <w:r>
        <w:t xml:space="preserve">therefore a full critical process parameter — the only one in the drug-substance process</w:t>
      </w:r>
      <w:r>
        <w:t xml:space="preserve"> </w:t>
      </w:r>
      <w:r>
        <w:t xml:space="preserve">— controlled to a tight NOR with in-process pH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Hold time, temperature — WC-CPP.</w:t>
      </w:r>
      <w:r>
        <w:t xml:space="preserve"> </w:t>
      </w:r>
      <w:r>
        <w:t xml:space="preserve">Each significantly affects both the log-reduction</w:t>
      </w:r>
      <w:r>
        <w:t xml:space="preserve"> </w:t>
      </w:r>
      <w:r>
        <w:t xml:space="preserve">and the aggregate, but both are reliably held within the design space by timed,</w:t>
      </w:r>
      <w:r>
        <w:t xml:space="preserve"> </w:t>
      </w:r>
      <w:r>
        <w:t xml:space="preserve">temperature-controlled operation, giving a low risk of leaving the space.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A-Mab concentration — GPP.</w:t>
      </w:r>
      <w:r>
        <w:t xml:space="preserve"> </w:t>
      </w:r>
      <w:r>
        <w:t xml:space="preserve">No meaningful impact on the log-reduction or aggregate was</w:t>
      </w:r>
      <w:r>
        <w:t xml:space="preserve"> </w:t>
      </w:r>
      <w:r>
        <w:t xml:space="preserve">observed over the wide range studied.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cla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Post-characterization parameter classification.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68"/>
          <w:p/>
        </w:tc>
      </w:tr>
    </w:tbl>
    <w:bookmarkEnd w:id="69"/>
    <w:bookmarkStart w:id="70" w:name="contribution-to-the-control-strategy"/>
    <w:p>
      <w:pPr>
        <w:pStyle w:val="Heading1"/>
      </w:pPr>
      <w:r>
        <w:t xml:space="preserve">9. Contribution to the control strategy</w:t>
      </w:r>
    </w:p>
    <w:p>
      <w:pPr>
        <w:pStyle w:val="FirstParagraph"/>
      </w:pPr>
      <w:r>
        <w:t xml:space="preserve">The low-pH viral inactivation step is the primary control point for enveloped-virus</w:t>
      </w:r>
      <w:r>
        <w:t xml:space="preserve"> </w:t>
      </w:r>
      <w:r>
        <w:t xml:space="preserve">safety: it provides the dominant, robust XMuLV log-reduction and, with the orthogonal</w:t>
      </w:r>
      <w:r>
        <w:t xml:space="preserve"> </w:t>
      </w:r>
      <w:r>
        <w:t xml:space="preserve">non-enveloped clearance of anion exchange and virus filtration, establishes the total</w:t>
      </w:r>
      <w:r>
        <w:t xml:space="preserve"> </w:t>
      </w:r>
      <w:r>
        <w:t xml:space="preserve">viral-clearance claim consolidated in</w:t>
      </w:r>
      <w:r>
        <w:t xml:space="preserve"> </w:t>
      </w:r>
      <w:r>
        <w:rPr>
          <w:b/>
          <w:bCs/>
        </w:rPr>
        <w:t xml:space="preserve">PCMR-001</w:t>
      </w:r>
      <w:r>
        <w:t xml:space="preserve">. Its contribution to the overall</w:t>
      </w:r>
      <w:r>
        <w:t xml:space="preserve"> </w:t>
      </w:r>
      <w:r>
        <w:t xml:space="preserve">control strategy comprises: control of the CPP (inactivation pH) to a tight NOR with</w:t>
      </w:r>
      <w:r>
        <w:t xml:space="preserve"> </w:t>
      </w:r>
      <w:r>
        <w:t xml:space="preserve">in-process pH verification; control of the hold time and temperature (WC-CPP) by timed,</w:t>
      </w:r>
      <w:r>
        <w:t xml:space="preserve"> </w:t>
      </w:r>
      <w:r>
        <w:t xml:space="preserve">temperature-controlled operation; in-process monitoring of pH, temperature and hold time;</w:t>
      </w:r>
      <w:r>
        <w:t xml:space="preserve"> </w:t>
      </w:r>
      <w:r>
        <w:t xml:space="preserve">and end-of-hold testing of aggregate and charge variants. The aggregate that can form</w:t>
      </w:r>
      <w:r>
        <w:t xml:space="preserve"> </w:t>
      </w:r>
      <w:r>
        <w:t xml:space="preserve">during the hold is subsequently polished by cation exchange, and the enveloped-virus</w:t>
      </w:r>
      <w:r>
        <w:t xml:space="preserve"> </w:t>
      </w:r>
      <w:r>
        <w:t xml:space="preserve">clearance is claimed conservatively per ICH Q5A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70"/>
    <w:bookmarkStart w:id="71" w:name="discussion"/>
    <w:p>
      <w:pPr>
        <w:pStyle w:val="Heading1"/>
      </w:pPr>
      <w:r>
        <w:t xml:space="preserve">10. Discussion</w:t>
      </w:r>
    </w:p>
    <w:p>
      <w:pPr>
        <w:pStyle w:val="FirstParagraph"/>
      </w:pPr>
      <w:r>
        <w:t xml:space="preserve">The characterization quantifies the parameter–response relationships for the low-pH</w:t>
      </w:r>
      <w:r>
        <w:t xml:space="preserve"> </w:t>
      </w:r>
      <w:r>
        <w:t xml:space="preserve">inactivation step, defines a robust multivariate design space, and classifies every</w:t>
      </w:r>
      <w:r>
        <w:t xml:space="preserve"> </w:t>
      </w:r>
      <w:r>
        <w:t xml:space="preserve">parameter with a data-supported rationale, identifying inactivation pH as the process’s</w:t>
      </w:r>
      <w:r>
        <w:t xml:space="preserve"> </w:t>
      </w:r>
      <w:r>
        <w:t xml:space="preserve">only true CPP. The aggregate model is excellent and predictive; the XMuLV model is</w:t>
      </w:r>
      <w:r>
        <w:t xml:space="preserve"> </w:t>
      </w:r>
      <w:r>
        <w:t xml:space="preserve">adequate with no significant lack of fit, and its residual variability — inherent to the</w:t>
      </w:r>
      <w:r>
        <w:t xml:space="preserve"> </w:t>
      </w:r>
      <w:r>
        <w:t xml:space="preserve">infectivity assay — is handled by taking the clearance claim conservatively rather than by</w:t>
      </w:r>
      <w:r>
        <w:t xml:space="preserve"> </w:t>
      </w:r>
      <w:r>
        <w:t xml:space="preserve">extrapolation, consistent with ICH Q5A. The principal limitation is inherent to</w:t>
      </w:r>
      <w:r>
        <w:t xml:space="preserve"> </w:t>
      </w:r>
      <w:r>
        <w:t xml:space="preserve">scale-down viral-clearance characterization: absolute log-reduction values are validated in</w:t>
      </w:r>
      <w:r>
        <w:t xml:space="preserve"> </w:t>
      </w:r>
      <w:r>
        <w:t xml:space="preserve">dedicated spiking studies on the qualified model and confirmed as part of the viral-clearance</w:t>
      </w:r>
      <w:r>
        <w:t xml:space="preserve"> </w:t>
      </w:r>
      <w:r>
        <w:t xml:space="preserve">validation, and the design space is defined on that model and carried forward with</w:t>
      </w:r>
      <w:r>
        <w:t xml:space="preserve"> </w:t>
      </w:r>
      <w:r>
        <w:t xml:space="preserve">in-process control. The characterization confirms that inactivation pH requires the most</w:t>
      </w:r>
      <w:r>
        <w:t xml:space="preserve"> </w:t>
      </w:r>
      <w:r>
        <w:t xml:space="preserve">stringent (CPP) control, whereas hold time and temperature are well-controlled CPPs.</w:t>
      </w:r>
    </w:p>
    <w:bookmarkEnd w:id="71"/>
    <w:bookmarkStart w:id="72" w:name="conclusions"/>
    <w:p>
      <w:pPr>
        <w:pStyle w:val="Heading1"/>
      </w:pPr>
      <w:r>
        <w:t xml:space="preserve">11. Conclusions</w:t>
      </w:r>
    </w:p>
    <w:p>
      <w:pPr>
        <w:pStyle w:val="FirstParagraph"/>
      </w:pPr>
      <w:r>
        <w:t xml:space="preserve">The A-Mab low-pH viral inactivation step is well understood and robust. The relationships</w:t>
      </w:r>
      <w:r>
        <w:t xml:space="preserve"> </w:t>
      </w:r>
      <w:r>
        <w:t xml:space="preserve">between the inactivation parameters and the XMuLV log-reduction, aggregate and charge</w:t>
      </w:r>
      <w:r>
        <w:t xml:space="preserve"> </w:t>
      </w:r>
      <w:r>
        <w:t xml:space="preserve">variants are quantified by DoE; a multivariate design space in inactivation pH and hold</w:t>
      </w:r>
      <w:r>
        <w:t xml:space="preserve"> </w:t>
      </w:r>
      <w:r>
        <w:t xml:space="preserve">time is established; every parameter range is justified by data; and the cumulative XMuLV</w:t>
      </w:r>
      <w:r>
        <w:t xml:space="preserve"> </w:t>
      </w:r>
      <w:r>
        <w:t xml:space="preserve">clearance meets its requirement at commercial scale with a capability of Cpk =</w:t>
      </w:r>
      <w:r>
        <w:t xml:space="preserve"> </w:t>
      </w:r>
      <w:r>
        <w:t xml:space="preserve">1.53. Inactivation pH is identified as the sole critical process</w:t>
      </w:r>
      <w:r>
        <w:t xml:space="preserve"> </w:t>
      </w:r>
      <w:r>
        <w:t xml:space="preserve">parameter. The design space, parameter classifications and proven acceptable ranges provide</w:t>
      </w:r>
      <w:r>
        <w:t xml:space="preserve"> </w:t>
      </w:r>
      <w:r>
        <w:t xml:space="preserve">the basis for the Stage 2 operating ranges and the viral-safety control strategy. This</w:t>
      </w:r>
      <w:r>
        <w:t xml:space="preserve"> </w:t>
      </w:r>
      <w:r>
        <w:t xml:space="preserve">report rolls up into the Process Characterization Master Report (</w:t>
      </w:r>
      <w:r>
        <w:rPr>
          <w:b/>
          <w:bCs/>
        </w:rPr>
        <w:t xml:space="preserve">PCMR-001</w:t>
      </w:r>
      <w:r>
        <w:t xml:space="preserve">) and provides</w:t>
      </w:r>
      <w:r>
        <w:t xml:space="preserve"> </w:t>
      </w:r>
      <w:r>
        <w:t xml:space="preserve">the parameter risk basis for the post-characterization process risk assessment.</w:t>
      </w:r>
    </w:p>
    <w:bookmarkEnd w:id="72"/>
    <w:bookmarkStart w:id="73" w:name="deviations-from-the-plan"/>
    <w:p>
      <w:pPr>
        <w:pStyle w:val="Heading1"/>
      </w:pPr>
      <w:r>
        <w:t xml:space="preserve">Deviations from the plan</w:t>
      </w:r>
    </w:p>
    <w:p>
      <w:pPr>
        <w:pStyle w:val="FirstParagraph"/>
      </w:pPr>
      <w:r>
        <w:t xml:space="preserve">No deviations from</w:t>
      </w:r>
      <w:r>
        <w:t xml:space="preserve"> </w:t>
      </w:r>
      <w:r>
        <w:rPr>
          <w:b/>
          <w:bCs/>
        </w:rPr>
        <w:t xml:space="preserve">PCP-006</w:t>
      </w:r>
      <w:r>
        <w:t xml:space="preserve"> </w:t>
      </w:r>
      <w:r>
        <w:t xml:space="preserve">were recorded. All planned runs were executed and all</w:t>
      </w:r>
      <w:r>
        <w:t xml:space="preserve"> </w:t>
      </w:r>
      <w:r>
        <w:t xml:space="preserve">planned responses were measured on the qualified scale-down model.</w:t>
      </w:r>
    </w:p>
    <w:bookmarkEnd w:id="73"/>
    <w:bookmarkStart w:id="83" w:name="references"/>
    <w:p>
      <w:pPr>
        <w:pStyle w:val="Heading1"/>
      </w:pPr>
      <w:r>
        <w:t xml:space="preserve">References</w:t>
      </w:r>
    </w:p>
    <w:bookmarkStart w:id="82" w:name="refs"/>
    <w:bookmarkStart w:id="74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74"/>
    <w:bookmarkStart w:id="75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75"/>
    <w:bookmarkStart w:id="76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76"/>
    <w:bookmarkStart w:id="77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77"/>
    <w:bookmarkStart w:id="78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78"/>
    <w:bookmarkStart w:id="79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79"/>
    <w:bookmarkStart w:id="80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80"/>
    <w:bookmarkStart w:id="81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81"/>
    <w:bookmarkEnd w:id="82"/>
    <w:p>
      <w:r>
        <w:br w:type="page"/>
      </w:r>
    </w:p>
    <w:bookmarkEnd w:id="83"/>
    <w:bookmarkStart w:id="86" w:name="X77c0ef24ce4de9c1b8c35876c233736670b0bf3"/>
    <w:p>
      <w:pPr>
        <w:pStyle w:val="Heading1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two-level full-factorial design (factors A–C per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; coded levels</w:t>
      </w:r>
      <w:r>
        <w:t xml:space="preserve"> </w:t>
      </w:r>
      <w:r>
        <w:t xml:space="preserve">−1/0/+1) and 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app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Appendix A1 —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Appendix A2 — screening run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92"/>
              <w:gridCol w:w="2602"/>
              <w:gridCol w:w="2376"/>
              <w:gridCol w:w="214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</w:tbl>
          <w:bookmarkEnd w:id="85"/>
          <w:p/>
        </w:tc>
      </w:tr>
    </w:tbl>
    <w:p>
      <w:r>
        <w:br w:type="page"/>
      </w:r>
    </w:p>
    <w:bookmarkEnd w:id="86"/>
    <w:bookmarkStart w:id="89" w:name="Xc987739a58e5854fe31352d470a2bebef9123c1"/>
    <w:p>
      <w:pPr>
        <w:pStyle w:val="Heading1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face-centred central-composite design (factors A–C; coded levels −1/0/+1) and</w:t>
      </w:r>
      <w:r>
        <w:t xml:space="preserve"> </w:t>
      </w:r>
      <w:r>
        <w:t xml:space="preserve">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pp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Appendix B1 —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Appendix B2 — response-surface run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92"/>
              <w:gridCol w:w="2602"/>
              <w:gridCol w:w="2376"/>
              <w:gridCol w:w="214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</w:tbl>
          <w:bookmarkEnd w:id="88"/>
          <w:p/>
        </w:tc>
      </w:tr>
    </w:tbl>
    <w:p>
      <w:r>
        <w:br w:type="page"/>
      </w:r>
    </w:p>
    <w:bookmarkEnd w:id="89"/>
    <w:bookmarkStart w:id="92" w:name="Xa2fac5041b4173f7385fa99ae36b1e5b6f06fdd"/>
    <w:p>
      <w:pPr>
        <w:pStyle w:val="Heading1"/>
      </w:pPr>
      <w:r>
        <w:t xml:space="preserve">Appendix C — Full effect and coefficient tables</w:t>
      </w:r>
    </w:p>
    <w:bookmarkStart w:id="90" w:name="screening-effects-all-responses"/>
    <w:p>
      <w:pPr>
        <w:pStyle w:val="Heading2"/>
      </w:pPr>
      <w:r>
        <w:t xml:space="preserve">11.1 Screening effects — all responses</w:t>
      </w:r>
    </w:p>
    <w:p>
      <w:pPr>
        <w:pStyle w:val="FirstParagraph"/>
      </w:pPr>
      <w:r>
        <w:rPr>
          <w:b/>
          <w:bCs/>
        </w:rPr>
        <w:t xml:space="preserve">Aggregates (HMW, 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5"/>
        <w:gridCol w:w="1182"/>
        <w:gridCol w:w="1063"/>
        <w:gridCol w:w="1536"/>
        <w:gridCol w:w="945"/>
        <w:gridCol w:w="1300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XMuLV LRF (log₁₀)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5"/>
        <w:gridCol w:w="1182"/>
        <w:gridCol w:w="1063"/>
        <w:gridCol w:w="1536"/>
        <w:gridCol w:w="945"/>
        <w:gridCol w:w="1300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Acidic variants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7"/>
        <w:gridCol w:w="1193"/>
        <w:gridCol w:w="1193"/>
        <w:gridCol w:w="1410"/>
        <w:gridCol w:w="1193"/>
        <w:gridCol w:w="1193"/>
        <w:gridCol w:w="8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-6.19e-15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-3.09e-15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-5.35e-15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-2.67e-15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-4.57e-15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-2.29e-15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-2.6e-15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Xb2d4c2c70cc9bb557ed5c602d58c80747b03cc4"/>
    <w:p>
      <w:pPr>
        <w:pStyle w:val="Heading2"/>
      </w:pPr>
      <w:r>
        <w:t xml:space="preserve">11.2 Response-surface coefficients — acidic charge variants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6.11e+15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1.32e-108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-1.19e-15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-2.19e-15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-3.12e-15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-1.78e-15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91"/>
    <w:bookmarkEnd w:id="92"/>
    <w:bookmarkStart w:id="94" w:name="appendix-d-analytical-methods-summary"/>
    <w:p>
      <w:pPr>
        <w:pStyle w:val="Heading1"/>
      </w:pPr>
      <w:r>
        <w:t xml:space="preserve">Appendix D — Analytical methods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Analytical methods, techniques and validation references (performance characteristics per the cited method validation reports).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Technique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Analytes / attributes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Validation ref.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Reportable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XMuLV infectivity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TCID50 infectivity assay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XMuLV infectious titre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log₁₀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SEC-HPLC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 (HMW), monomer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HMW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Charge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icIEF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Acidic / main / basic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acidic</w:t>
                  </w:r>
                </w:p>
              </w:tc>
            </w:tr>
          </w:tbl>
          <w:bookmarkEnd w:id="93"/>
          <w:p/>
        </w:tc>
      </w:tr>
    </w:tbl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2026-07-25T08:26:29Z</dcterms:created>
  <dcterms:modified xsi:type="dcterms:W3CDTF">2026-07-25T08:26:29Z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Low-pH Viral Inactivation (Step 6) — PCR-006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